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4A09" w14:textId="14202983" w:rsidR="003B6EEA" w:rsidRPr="00C47364" w:rsidRDefault="003B6EEA" w:rsidP="003B6EEA">
      <w:pPr>
        <w:pStyle w:val="Heading1"/>
      </w:pPr>
      <w:bookmarkStart w:id="1" w:name="_Toc482348009"/>
      <w:r>
        <w:t xml:space="preserve">Guideline 3 (2025): </w:t>
      </w:r>
      <w:r w:rsidR="00C9334E">
        <w:t>Varying</w:t>
      </w:r>
      <w:r w:rsidRPr="00A90AEA">
        <w:t xml:space="preserve"> a </w:t>
      </w:r>
      <w:r w:rsidR="00C9334E">
        <w:t>P</w:t>
      </w:r>
      <w:r w:rsidR="006F3D19">
        <w:t xml:space="preserve">rice </w:t>
      </w:r>
      <w:r w:rsidR="00C9334E">
        <w:t>D</w:t>
      </w:r>
      <w:r w:rsidRPr="00A90AEA">
        <w:t>etermination</w:t>
      </w:r>
      <w:bookmarkEnd w:id="1"/>
      <w:r w:rsidR="00BE5486">
        <w:t xml:space="preserve"> (</w:t>
      </w:r>
      <w:r w:rsidR="00C9334E">
        <w:t>R</w:t>
      </w:r>
      <w:r w:rsidR="00BE5486">
        <w:t>e-opening)</w:t>
      </w:r>
    </w:p>
    <w:p w14:paraId="5286F530" w14:textId="77777777" w:rsidR="003B6EEA" w:rsidRDefault="003B6EEA" w:rsidP="003B6EEA">
      <w:pPr>
        <w:pStyle w:val="Heading2"/>
      </w:pPr>
      <w:bookmarkStart w:id="2" w:name="_Toc207817239"/>
      <w:r>
        <w:t>Purpose</w:t>
      </w:r>
      <w:bookmarkEnd w:id="2"/>
    </w:p>
    <w:p w14:paraId="1E791BF0" w14:textId="7EC3E69F" w:rsidR="003B6EEA" w:rsidRDefault="003B6EEA" w:rsidP="0CA80077">
      <w:pPr>
        <w:pStyle w:val="Pull-out"/>
      </w:pPr>
      <w:r>
        <w:t xml:space="preserve">Guideline 3 (2025): </w:t>
      </w:r>
      <w:r w:rsidR="006F3D19">
        <w:t>Varying</w:t>
      </w:r>
      <w:r>
        <w:t xml:space="preserve"> a </w:t>
      </w:r>
      <w:r w:rsidR="006F3D19">
        <w:t xml:space="preserve">Price </w:t>
      </w:r>
      <w:r>
        <w:t xml:space="preserve">Determination </w:t>
      </w:r>
      <w:r w:rsidR="00BE5486">
        <w:t xml:space="preserve">(Re-opening) </w:t>
      </w:r>
      <w:r w:rsidR="00580132">
        <w:t xml:space="preserve">provides </w:t>
      </w:r>
      <w:r>
        <w:t>guidance</w:t>
      </w:r>
      <w:r w:rsidR="00BC7FEE">
        <w:t xml:space="preserve"> </w:t>
      </w:r>
      <w:r w:rsidR="00BC7FEE" w:rsidRPr="00BC7FEE">
        <w:t>on the circumstances in which a price determination may be varied, and the process for varying a determination, inc</w:t>
      </w:r>
      <w:r w:rsidR="00BC7FEE">
        <w:t>l</w:t>
      </w:r>
      <w:r w:rsidR="00BC7FEE" w:rsidRPr="00BC7FEE">
        <w:t xml:space="preserve">uding </w:t>
      </w:r>
      <w:r w:rsidR="008332F5">
        <w:t>how a</w:t>
      </w:r>
      <w:r>
        <w:t xml:space="preserve"> water business </w:t>
      </w:r>
      <w:r w:rsidR="008332F5">
        <w:t xml:space="preserve">may apply to the </w:t>
      </w:r>
      <w:r w:rsidR="00B71F37">
        <w:t>commission</w:t>
      </w:r>
      <w:r w:rsidR="008332F5">
        <w:t xml:space="preserve"> to vary</w:t>
      </w:r>
      <w:r>
        <w:t xml:space="preserve"> </w:t>
      </w:r>
      <w:r w:rsidR="008332F5">
        <w:t>its</w:t>
      </w:r>
      <w:r>
        <w:t xml:space="preserve"> price determination</w:t>
      </w:r>
      <w:r w:rsidR="0066366E">
        <w:t xml:space="preserve"> (via a re-opening of the determination)</w:t>
      </w:r>
      <w:r w:rsidR="00C576C7">
        <w:t>. The g</w:t>
      </w:r>
      <w:r w:rsidR="004E1A82">
        <w:t>uideline also</w:t>
      </w:r>
      <w:r w:rsidR="00C01A9E">
        <w:t xml:space="preserve"> sets out the commission’s expectations of a water business when </w:t>
      </w:r>
      <w:r w:rsidR="004E1A82">
        <w:t>making an application.</w:t>
      </w:r>
    </w:p>
    <w:p w14:paraId="34650EC5" w14:textId="178C4A8C" w:rsidR="003B6EEA" w:rsidRDefault="003B6EEA" w:rsidP="0CA80077">
      <w:pPr>
        <w:pStyle w:val="Pull-out"/>
      </w:pPr>
      <w:r>
        <w:t xml:space="preserve">This guideline does not impose any new obligations on a water business and does not alter obligations in </w:t>
      </w:r>
      <w:r w:rsidR="00F27161">
        <w:t xml:space="preserve">any price determination or </w:t>
      </w:r>
      <w:r>
        <w:t>the Water Industry Standards.</w:t>
      </w:r>
    </w:p>
    <w:p w14:paraId="23F46B5E" w14:textId="77777777" w:rsidR="003B6EEA" w:rsidRDefault="003B6EEA" w:rsidP="003B6EEA">
      <w:pPr>
        <w:pStyle w:val="Heading2"/>
      </w:pPr>
      <w:bookmarkStart w:id="3" w:name="_Toc207817240"/>
      <w:r w:rsidRPr="005A4F25">
        <w:t>Application of this guideline</w:t>
      </w:r>
      <w:bookmarkEnd w:id="3"/>
      <w:r w:rsidRPr="005A4F25">
        <w:t xml:space="preserve"> </w:t>
      </w:r>
    </w:p>
    <w:p w14:paraId="72C7B9C8" w14:textId="77777777" w:rsidR="003B6EEA" w:rsidRDefault="003B6EEA" w:rsidP="003B6EEA">
      <w:pPr>
        <w:rPr>
          <w:noProof/>
          <w:lang w:val="en-GB" w:eastAsia="zh-CN"/>
        </w:rPr>
      </w:pPr>
      <w:r w:rsidRPr="005A4F25">
        <w:rPr>
          <w:noProof/>
          <w:lang w:eastAsia="zh-CN"/>
        </w:rPr>
        <w:t xml:space="preserve">The guideline has been published by the commission pursuant to section 13 of the </w:t>
      </w:r>
      <w:r w:rsidRPr="006554C6">
        <w:rPr>
          <w:i/>
          <w:iCs/>
          <w:noProof/>
          <w:lang w:eastAsia="zh-CN"/>
        </w:rPr>
        <w:t>Essential Services Commission Act 2001</w:t>
      </w:r>
      <w:r w:rsidRPr="005A4F25">
        <w:rPr>
          <w:noProof/>
          <w:lang w:eastAsia="zh-CN"/>
        </w:rPr>
        <w:t>.</w:t>
      </w:r>
    </w:p>
    <w:p w14:paraId="732F162E" w14:textId="25BB6F07" w:rsidR="003B6EEA" w:rsidRDefault="00C01A9E" w:rsidP="003B6EEA">
      <w:pPr>
        <w:pStyle w:val="Heading2"/>
      </w:pPr>
      <w:r>
        <w:t>Annual adjustment of prices</w:t>
      </w:r>
    </w:p>
    <w:p w14:paraId="7072CB88" w14:textId="2C20E15D" w:rsidR="003B6EEA" w:rsidRDefault="00C01A9E" w:rsidP="003B6EEA">
      <w:pPr>
        <w:rPr>
          <w:noProof/>
          <w:lang w:eastAsia="zh-CN"/>
        </w:rPr>
      </w:pPr>
      <w:r>
        <w:rPr>
          <w:noProof/>
          <w:lang w:eastAsia="zh-CN"/>
        </w:rPr>
        <w:t xml:space="preserve">In accordance with the applicable terms of </w:t>
      </w:r>
      <w:r w:rsidR="008F30D8">
        <w:rPr>
          <w:noProof/>
          <w:lang w:eastAsia="zh-CN"/>
        </w:rPr>
        <w:t>the relevant</w:t>
      </w:r>
      <w:r>
        <w:rPr>
          <w:noProof/>
          <w:lang w:eastAsia="zh-CN"/>
        </w:rPr>
        <w:t xml:space="preserve"> price determination, </w:t>
      </w:r>
      <w:r w:rsidR="003B6EEA">
        <w:rPr>
          <w:noProof/>
          <w:lang w:eastAsia="zh-CN"/>
        </w:rPr>
        <w:t>the commission approves an amended price schedule</w:t>
      </w:r>
      <w:r w:rsidR="003B6EEA">
        <w:rPr>
          <w:rStyle w:val="FootnoteReference"/>
        </w:rPr>
        <w:footnoteReference w:id="1"/>
      </w:r>
      <w:r w:rsidR="003B6EEA">
        <w:rPr>
          <w:noProof/>
          <w:lang w:eastAsia="zh-CN"/>
        </w:rPr>
        <w:t xml:space="preserve"> for each water business </w:t>
      </w:r>
      <w:r w:rsidR="00292952">
        <w:rPr>
          <w:noProof/>
          <w:lang w:eastAsia="zh-CN"/>
        </w:rPr>
        <w:t xml:space="preserve">each regulatory year </w:t>
      </w:r>
      <w:r w:rsidR="003B6EEA">
        <w:rPr>
          <w:noProof/>
          <w:lang w:eastAsia="zh-CN"/>
        </w:rPr>
        <w:t xml:space="preserve">as part of its annual </w:t>
      </w:r>
      <w:r>
        <w:rPr>
          <w:noProof/>
          <w:lang w:eastAsia="zh-CN"/>
        </w:rPr>
        <w:t>adjustment of prices</w:t>
      </w:r>
      <w:r w:rsidR="003B6EEA">
        <w:rPr>
          <w:noProof/>
          <w:lang w:eastAsia="zh-CN"/>
        </w:rPr>
        <w:t xml:space="preserve"> process</w:t>
      </w:r>
      <w:r w:rsidR="009A66B6">
        <w:rPr>
          <w:noProof/>
          <w:lang w:eastAsia="zh-CN"/>
        </w:rPr>
        <w:t>.</w:t>
      </w:r>
      <w:r>
        <w:rPr>
          <w:rStyle w:val="FootnoteReference"/>
        </w:rPr>
        <w:footnoteReference w:id="2"/>
      </w:r>
    </w:p>
    <w:p w14:paraId="771FD2AB" w14:textId="07BD2492" w:rsidR="00C46BD1" w:rsidRPr="00C15A08" w:rsidRDefault="00C46BD1" w:rsidP="00CB3107">
      <w:pPr>
        <w:keepNext/>
        <w:rPr>
          <w:noProof/>
          <w:lang w:eastAsia="zh-CN"/>
        </w:rPr>
      </w:pPr>
      <w:r w:rsidRPr="00C15A08">
        <w:rPr>
          <w:rFonts w:ascii="Tahoma" w:eastAsiaTheme="majorEastAsia" w:hAnsi="Tahoma" w:cstheme="majorBidi"/>
          <w:b/>
          <w:sz w:val="26"/>
          <w:szCs w:val="26"/>
        </w:rPr>
        <w:lastRenderedPageBreak/>
        <w:t>Application to vary a price determi</w:t>
      </w:r>
      <w:r>
        <w:rPr>
          <w:rFonts w:ascii="Tahoma" w:eastAsiaTheme="majorEastAsia" w:hAnsi="Tahoma" w:cstheme="majorBidi"/>
          <w:b/>
          <w:sz w:val="26"/>
          <w:szCs w:val="26"/>
        </w:rPr>
        <w:t>nation</w:t>
      </w:r>
    </w:p>
    <w:p w14:paraId="7EF7251A" w14:textId="388D3F82" w:rsidR="003B6EEA" w:rsidRDefault="00C46BD1" w:rsidP="003B6EEA">
      <w:pPr>
        <w:pStyle w:val="Pull-out"/>
      </w:pPr>
      <w:r>
        <w:t xml:space="preserve">A water business </w:t>
      </w:r>
      <w:r w:rsidR="00944FD7">
        <w:t>that</w:t>
      </w:r>
      <w:r>
        <w:t xml:space="preserve"> is seeking</w:t>
      </w:r>
      <w:r w:rsidR="00472EA9">
        <w:t xml:space="preserve"> to</w:t>
      </w:r>
      <w:r w:rsidR="00B4590D">
        <w:t xml:space="preserve"> vary</w:t>
      </w:r>
      <w:r>
        <w:t xml:space="preserve"> its </w:t>
      </w:r>
      <w:r w:rsidR="00BC7FEE">
        <w:t xml:space="preserve">price </w:t>
      </w:r>
      <w:r w:rsidR="00BF0C95">
        <w:t>d</w:t>
      </w:r>
      <w:r>
        <w:t>etermination or adjust its prices outside of the annual adjustment process</w:t>
      </w:r>
      <w:r w:rsidR="003B6EEA">
        <w:t xml:space="preserve"> </w:t>
      </w:r>
      <w:r>
        <w:t>may</w:t>
      </w:r>
      <w:r w:rsidR="009804DD">
        <w:t>, in certain circumstances,</w:t>
      </w:r>
      <w:r>
        <w:t xml:space="preserve"> </w:t>
      </w:r>
      <w:r w:rsidR="009804DD">
        <w:t>make an application for variation to the commission.</w:t>
      </w:r>
    </w:p>
    <w:p w14:paraId="6A574AA8" w14:textId="5AE3ED9E" w:rsidR="003B6EEA" w:rsidRDefault="009804DD" w:rsidP="003B6EEA">
      <w:pPr>
        <w:pStyle w:val="Heading3"/>
        <w:rPr>
          <w:noProof/>
          <w:lang w:eastAsia="zh-CN"/>
        </w:rPr>
      </w:pPr>
      <w:r>
        <w:rPr>
          <w:noProof/>
          <w:lang w:eastAsia="zh-CN"/>
        </w:rPr>
        <w:t xml:space="preserve">When a water business </w:t>
      </w:r>
      <w:r w:rsidR="00197826">
        <w:rPr>
          <w:noProof/>
          <w:lang w:eastAsia="zh-CN"/>
        </w:rPr>
        <w:t xml:space="preserve">may </w:t>
      </w:r>
      <w:r>
        <w:rPr>
          <w:noProof/>
          <w:lang w:eastAsia="zh-CN"/>
        </w:rPr>
        <w:t xml:space="preserve">apply to vary its determination </w:t>
      </w:r>
    </w:p>
    <w:p w14:paraId="31D804BF" w14:textId="4C167A80" w:rsidR="003B6EEA" w:rsidRPr="000825C0" w:rsidRDefault="003B6EEA" w:rsidP="003B6EEA">
      <w:pPr>
        <w:rPr>
          <w:lang w:eastAsia="zh-CN"/>
        </w:rPr>
      </w:pPr>
      <w:r>
        <w:rPr>
          <w:lang w:eastAsia="zh-CN"/>
        </w:rPr>
        <w:t xml:space="preserve">A water business may seek </w:t>
      </w:r>
      <w:r w:rsidR="009804DD">
        <w:rPr>
          <w:lang w:eastAsia="zh-CN"/>
        </w:rPr>
        <w:t xml:space="preserve">a variation </w:t>
      </w:r>
      <w:r>
        <w:rPr>
          <w:lang w:eastAsia="zh-CN"/>
        </w:rPr>
        <w:t xml:space="preserve">to </w:t>
      </w:r>
      <w:r w:rsidR="009804DD">
        <w:rPr>
          <w:lang w:eastAsia="zh-CN"/>
        </w:rPr>
        <w:t>its</w:t>
      </w:r>
      <w:r>
        <w:rPr>
          <w:lang w:eastAsia="zh-CN"/>
        </w:rPr>
        <w:t xml:space="preserve"> </w:t>
      </w:r>
      <w:r w:rsidR="00902C11">
        <w:rPr>
          <w:lang w:eastAsia="zh-CN"/>
        </w:rPr>
        <w:t xml:space="preserve">existing </w:t>
      </w:r>
      <w:r w:rsidR="00BC7FEE">
        <w:rPr>
          <w:lang w:eastAsia="zh-CN"/>
        </w:rPr>
        <w:t xml:space="preserve">price </w:t>
      </w:r>
      <w:r>
        <w:rPr>
          <w:lang w:eastAsia="zh-CN"/>
        </w:rPr>
        <w:t xml:space="preserve">determination (outside of the annual </w:t>
      </w:r>
      <w:r w:rsidR="002668DB">
        <w:rPr>
          <w:lang w:eastAsia="zh-CN"/>
        </w:rPr>
        <w:t xml:space="preserve">adjustment </w:t>
      </w:r>
      <w:r w:rsidR="008951E2">
        <w:rPr>
          <w:lang w:eastAsia="zh-CN"/>
        </w:rPr>
        <w:t>of</w:t>
      </w:r>
      <w:r w:rsidR="002668DB">
        <w:rPr>
          <w:lang w:eastAsia="zh-CN"/>
        </w:rPr>
        <w:t xml:space="preserve"> prices</w:t>
      </w:r>
      <w:r>
        <w:rPr>
          <w:lang w:eastAsia="zh-CN"/>
        </w:rPr>
        <w:t xml:space="preserve"> process)</w:t>
      </w:r>
      <w:r w:rsidR="00C769E5">
        <w:rPr>
          <w:lang w:eastAsia="zh-CN"/>
        </w:rPr>
        <w:t xml:space="preserve"> in very limited circumstances</w:t>
      </w:r>
      <w:r>
        <w:rPr>
          <w:lang w:eastAsia="zh-CN"/>
        </w:rPr>
        <w:t>:</w:t>
      </w:r>
    </w:p>
    <w:p w14:paraId="473AD493" w14:textId="0CEEE643" w:rsidR="003B6EEA" w:rsidRPr="003D4F7F" w:rsidRDefault="009804DD" w:rsidP="003D4F7F">
      <w:pPr>
        <w:pStyle w:val="ListBullet"/>
      </w:pPr>
      <w:proofErr w:type="gramStart"/>
      <w:r>
        <w:t>as a result of</w:t>
      </w:r>
      <w:proofErr w:type="gramEnd"/>
      <w:r>
        <w:t xml:space="preserve"> events which were </w:t>
      </w:r>
      <w:r w:rsidR="003B6EEA" w:rsidRPr="003D4F7F">
        <w:t xml:space="preserve">uncertain or unforeseen </w:t>
      </w:r>
      <w:r>
        <w:t xml:space="preserve">at the time </w:t>
      </w:r>
      <w:r w:rsidR="00BC7FEE">
        <w:t>th</w:t>
      </w:r>
      <w:r w:rsidR="00B234BD">
        <w:t>e</w:t>
      </w:r>
      <w:r>
        <w:t xml:space="preserve"> determination was made (</w:t>
      </w:r>
      <w:r w:rsidR="00AD1AA8">
        <w:t>U</w:t>
      </w:r>
      <w:r>
        <w:t xml:space="preserve">ncertain </w:t>
      </w:r>
      <w:r w:rsidR="00AD1AA8">
        <w:t>E</w:t>
      </w:r>
      <w:r>
        <w:t xml:space="preserve">vents </w:t>
      </w:r>
      <w:r w:rsidR="00AD1AA8">
        <w:t>A</w:t>
      </w:r>
      <w:r>
        <w:t>pplication)</w:t>
      </w:r>
      <w:r w:rsidR="00BC7FEE">
        <w:t>;</w:t>
      </w:r>
      <w:r w:rsidR="003B6EEA" w:rsidRPr="00C02900">
        <w:rPr>
          <w:rStyle w:val="FootnoteReference"/>
        </w:rPr>
        <w:footnoteReference w:id="3"/>
      </w:r>
      <w:r w:rsidR="003B6EEA" w:rsidRPr="003D4F7F">
        <w:t xml:space="preserve"> or</w:t>
      </w:r>
    </w:p>
    <w:p w14:paraId="0A2C2DA3" w14:textId="5EBE01E6" w:rsidR="00DB5E56" w:rsidRDefault="009804DD" w:rsidP="00DB5E56">
      <w:pPr>
        <w:pStyle w:val="ListBullet"/>
      </w:pPr>
      <w:r>
        <w:t xml:space="preserve">where </w:t>
      </w:r>
      <w:r w:rsidR="003B6EEA" w:rsidRPr="003D4F7F">
        <w:t xml:space="preserve">the determination </w:t>
      </w:r>
      <w:r w:rsidR="00BC7FEE">
        <w:t>expressly</w:t>
      </w:r>
      <w:r w:rsidR="00BC7FEE" w:rsidRPr="00BC7FEE">
        <w:t xml:space="preserve"> permits a variation to enable the </w:t>
      </w:r>
      <w:r w:rsidR="00C12E2E" w:rsidRPr="00C12E2E">
        <w:t>pass through of specified changes in costs when relevant grounds</w:t>
      </w:r>
      <w:r w:rsidR="00BC7FEE" w:rsidRPr="00BC7FEE">
        <w:t xml:space="preserve"> or conditions are met</w:t>
      </w:r>
      <w:r w:rsidR="00BC7FEE">
        <w:t xml:space="preserve"> </w:t>
      </w:r>
      <w:r w:rsidR="00436E60">
        <w:t>(</w:t>
      </w:r>
      <w:r w:rsidR="00AD1AA8">
        <w:t>P</w:t>
      </w:r>
      <w:r w:rsidR="00436E60">
        <w:t xml:space="preserve">ass </w:t>
      </w:r>
      <w:r w:rsidR="00AD1AA8">
        <w:t>T</w:t>
      </w:r>
      <w:r w:rsidR="00436E60">
        <w:t xml:space="preserve">hrough </w:t>
      </w:r>
      <w:r w:rsidR="00AD1AA8">
        <w:t>A</w:t>
      </w:r>
      <w:r w:rsidR="00436E60">
        <w:t>pplication)</w:t>
      </w:r>
      <w:r w:rsidR="003B6EEA" w:rsidRPr="003D4F7F">
        <w:t>.</w:t>
      </w:r>
      <w:r w:rsidR="003B6EEA" w:rsidRPr="00C02900">
        <w:rPr>
          <w:rStyle w:val="FootnoteReference"/>
        </w:rPr>
        <w:footnoteReference w:id="4"/>
      </w:r>
    </w:p>
    <w:p w14:paraId="34B45627" w14:textId="08357FEF" w:rsidR="00DB5E56" w:rsidRDefault="00692177" w:rsidP="00355368">
      <w:pPr>
        <w:pStyle w:val="Pull-out"/>
        <w:rPr>
          <w:noProof/>
          <w:lang w:eastAsia="zh-CN"/>
        </w:rPr>
      </w:pPr>
      <w:r>
        <w:t>Where practicable, an application for variation should be made by 31 December, so that any variation can occur on 1 July of the following year, in conjunction with the annual adjustment of prices</w:t>
      </w:r>
      <w:r w:rsidR="00DB5E56" w:rsidRPr="00855E0C">
        <w:rPr>
          <w:noProof/>
          <w:lang w:eastAsia="zh-CN"/>
        </w:rPr>
        <w:t xml:space="preserve"> (</w:t>
      </w:r>
      <w:r w:rsidR="00DB5E56">
        <w:rPr>
          <w:noProof/>
          <w:lang w:eastAsia="zh-CN"/>
        </w:rPr>
        <w:t>s</w:t>
      </w:r>
      <w:r w:rsidR="00DB5E56" w:rsidRPr="00855E0C">
        <w:rPr>
          <w:noProof/>
          <w:lang w:eastAsia="zh-CN"/>
        </w:rPr>
        <w:t xml:space="preserve">ee: Process for </w:t>
      </w:r>
      <w:r w:rsidR="000666B0">
        <w:rPr>
          <w:noProof/>
          <w:lang w:eastAsia="zh-CN"/>
        </w:rPr>
        <w:t>vary</w:t>
      </w:r>
      <w:r w:rsidR="00DB5E56" w:rsidRPr="00855E0C">
        <w:rPr>
          <w:noProof/>
          <w:lang w:eastAsia="zh-CN"/>
        </w:rPr>
        <w:t>ing a determination).</w:t>
      </w:r>
    </w:p>
    <w:p w14:paraId="23ED4015" w14:textId="586A6CDD" w:rsidR="00D30A85" w:rsidRPr="00D30A85" w:rsidRDefault="00D30A85" w:rsidP="00D30A85">
      <w:pPr>
        <w:pStyle w:val="ListBullet"/>
        <w:numPr>
          <w:ilvl w:val="0"/>
          <w:numId w:val="0"/>
        </w:numPr>
        <w:rPr>
          <w:rFonts w:ascii="Tahoma" w:eastAsiaTheme="majorEastAsia" w:hAnsi="Tahoma" w:cstheme="majorBidi"/>
          <w:b/>
          <w:noProof/>
          <w:color w:val="4986A0" w:themeColor="text2"/>
          <w:szCs w:val="24"/>
          <w:lang w:eastAsia="zh-CN"/>
        </w:rPr>
      </w:pPr>
      <w:r w:rsidRPr="00D30A85">
        <w:rPr>
          <w:rFonts w:ascii="Tahoma" w:eastAsiaTheme="majorEastAsia" w:hAnsi="Tahoma" w:cstheme="majorBidi"/>
          <w:b/>
          <w:noProof/>
          <w:color w:val="4986A0" w:themeColor="text2"/>
          <w:szCs w:val="24"/>
          <w:lang w:eastAsia="zh-CN"/>
        </w:rPr>
        <w:t>Commission initiated varia</w:t>
      </w:r>
      <w:r>
        <w:rPr>
          <w:rFonts w:ascii="Tahoma" w:eastAsiaTheme="majorEastAsia" w:hAnsi="Tahoma" w:cstheme="majorBidi"/>
          <w:b/>
          <w:noProof/>
          <w:color w:val="4986A0" w:themeColor="text2"/>
          <w:szCs w:val="24"/>
          <w:lang w:eastAsia="zh-CN"/>
        </w:rPr>
        <w:t>t</w:t>
      </w:r>
      <w:r w:rsidRPr="00D30A85">
        <w:rPr>
          <w:rFonts w:ascii="Tahoma" w:eastAsiaTheme="majorEastAsia" w:hAnsi="Tahoma" w:cstheme="majorBidi"/>
          <w:b/>
          <w:noProof/>
          <w:color w:val="4986A0" w:themeColor="text2"/>
          <w:szCs w:val="24"/>
          <w:lang w:eastAsia="zh-CN"/>
        </w:rPr>
        <w:t>ions</w:t>
      </w:r>
    </w:p>
    <w:p w14:paraId="17DE7C3A" w14:textId="1A0E38AD" w:rsidR="00D76B43" w:rsidRDefault="009804DD" w:rsidP="003B6EEA">
      <w:pPr>
        <w:rPr>
          <w:noProof/>
          <w:lang w:eastAsia="zh-CN"/>
        </w:rPr>
      </w:pPr>
      <w:r>
        <w:rPr>
          <w:noProof/>
          <w:lang w:eastAsia="zh-CN"/>
        </w:rPr>
        <w:t>T</w:t>
      </w:r>
      <w:r w:rsidR="003B6EEA">
        <w:rPr>
          <w:noProof/>
          <w:lang w:eastAsia="zh-CN"/>
        </w:rPr>
        <w:t xml:space="preserve">he commission may initiate </w:t>
      </w:r>
      <w:r>
        <w:rPr>
          <w:noProof/>
          <w:lang w:eastAsia="zh-CN"/>
        </w:rPr>
        <w:t xml:space="preserve">its own </w:t>
      </w:r>
      <w:r w:rsidR="003B6EEA">
        <w:rPr>
          <w:noProof/>
          <w:lang w:eastAsia="zh-CN"/>
        </w:rPr>
        <w:t xml:space="preserve">process to </w:t>
      </w:r>
      <w:r>
        <w:rPr>
          <w:noProof/>
          <w:lang w:eastAsia="zh-CN"/>
        </w:rPr>
        <w:t xml:space="preserve">vary </w:t>
      </w:r>
      <w:r w:rsidR="003B6EEA">
        <w:rPr>
          <w:noProof/>
          <w:lang w:eastAsia="zh-CN"/>
        </w:rPr>
        <w:t>a</w:t>
      </w:r>
      <w:r w:rsidR="00902C11">
        <w:rPr>
          <w:noProof/>
          <w:lang w:eastAsia="zh-CN"/>
        </w:rPr>
        <w:t xml:space="preserve">n existing price </w:t>
      </w:r>
      <w:r w:rsidR="003B6EEA">
        <w:rPr>
          <w:noProof/>
          <w:lang w:eastAsia="zh-CN"/>
        </w:rPr>
        <w:t>determination or adjust the scheduled prices</w:t>
      </w:r>
      <w:r w:rsidR="00D76B43">
        <w:rPr>
          <w:noProof/>
          <w:lang w:eastAsia="zh-CN"/>
        </w:rPr>
        <w:t>:</w:t>
      </w:r>
    </w:p>
    <w:p w14:paraId="253EA507" w14:textId="33E8A814" w:rsidR="00026FFE" w:rsidRDefault="00090696" w:rsidP="00AC79DE">
      <w:pPr>
        <w:pStyle w:val="ListBullet"/>
        <w:rPr>
          <w:noProof/>
          <w:lang w:eastAsia="zh-CN"/>
        </w:rPr>
      </w:pPr>
      <w:r>
        <w:rPr>
          <w:noProof/>
          <w:lang w:eastAsia="zh-CN"/>
        </w:rPr>
        <w:t xml:space="preserve">as a result of </w:t>
      </w:r>
      <w:r>
        <w:t>events</w:t>
      </w:r>
      <w:r w:rsidR="00D76B43">
        <w:rPr>
          <w:noProof/>
          <w:lang w:eastAsia="zh-CN"/>
        </w:rPr>
        <w:t xml:space="preserve"> which</w:t>
      </w:r>
      <w:r w:rsidR="00184AFA">
        <w:rPr>
          <w:noProof/>
          <w:lang w:eastAsia="zh-CN"/>
        </w:rPr>
        <w:t xml:space="preserve"> </w:t>
      </w:r>
      <w:r w:rsidR="002424A0">
        <w:rPr>
          <w:noProof/>
          <w:lang w:eastAsia="zh-CN"/>
        </w:rPr>
        <w:t>we</w:t>
      </w:r>
      <w:r w:rsidR="00184AFA">
        <w:rPr>
          <w:noProof/>
          <w:lang w:eastAsia="zh-CN"/>
        </w:rPr>
        <w:t>re</w:t>
      </w:r>
      <w:r w:rsidR="003B6EEA">
        <w:rPr>
          <w:noProof/>
          <w:lang w:eastAsia="zh-CN"/>
        </w:rPr>
        <w:t xml:space="preserve"> uncertain or unforeseen </w:t>
      </w:r>
      <w:r w:rsidR="00D76B43">
        <w:rPr>
          <w:noProof/>
          <w:lang w:eastAsia="zh-CN"/>
        </w:rPr>
        <w:t>at</w:t>
      </w:r>
      <w:r w:rsidR="003B6EEA">
        <w:rPr>
          <w:noProof/>
          <w:lang w:eastAsia="zh-CN"/>
        </w:rPr>
        <w:t xml:space="preserve"> the</w:t>
      </w:r>
      <w:r w:rsidR="002424A0">
        <w:rPr>
          <w:noProof/>
          <w:lang w:eastAsia="zh-CN"/>
        </w:rPr>
        <w:t xml:space="preserve"> time </w:t>
      </w:r>
      <w:r w:rsidR="00BC7FEE">
        <w:rPr>
          <w:noProof/>
          <w:lang w:eastAsia="zh-CN"/>
        </w:rPr>
        <w:t>a</w:t>
      </w:r>
      <w:r w:rsidR="003B6EEA">
        <w:rPr>
          <w:noProof/>
          <w:lang w:eastAsia="zh-CN"/>
        </w:rPr>
        <w:t xml:space="preserve"> determination</w:t>
      </w:r>
      <w:r w:rsidR="009E022F">
        <w:rPr>
          <w:noProof/>
          <w:lang w:eastAsia="zh-CN"/>
        </w:rPr>
        <w:t xml:space="preserve"> was made</w:t>
      </w:r>
      <w:r w:rsidR="003B6EEA">
        <w:rPr>
          <w:rStyle w:val="FootnoteReference"/>
        </w:rPr>
        <w:footnoteReference w:id="5"/>
      </w:r>
      <w:r w:rsidR="00FB3C97">
        <w:rPr>
          <w:noProof/>
          <w:lang w:eastAsia="zh-CN"/>
        </w:rPr>
        <w:t xml:space="preserve"> and/or </w:t>
      </w:r>
      <w:r w:rsidR="003B6EEA">
        <w:rPr>
          <w:noProof/>
          <w:lang w:eastAsia="zh-CN"/>
        </w:rPr>
        <w:t xml:space="preserve"> </w:t>
      </w:r>
      <w:r w:rsidR="00026FFE" w:rsidDel="00026FFE">
        <w:rPr>
          <w:noProof/>
          <w:lang w:eastAsia="zh-CN"/>
        </w:rPr>
        <w:t xml:space="preserve"> </w:t>
      </w:r>
      <w:r w:rsidR="003B6EEA">
        <w:rPr>
          <w:noProof/>
          <w:lang w:eastAsia="zh-CN"/>
        </w:rPr>
        <w:t xml:space="preserve"> </w:t>
      </w:r>
    </w:p>
    <w:p w14:paraId="33FE4C55" w14:textId="268CE6F6" w:rsidR="00E522E1" w:rsidRDefault="003B6EEA" w:rsidP="00E522E1">
      <w:pPr>
        <w:pStyle w:val="ListBullet"/>
        <w:rPr>
          <w:noProof/>
          <w:lang w:eastAsia="zh-CN"/>
        </w:rPr>
      </w:pPr>
      <w:r>
        <w:rPr>
          <w:noProof/>
          <w:lang w:eastAsia="zh-CN"/>
        </w:rPr>
        <w:t xml:space="preserve">on the basis of </w:t>
      </w:r>
      <w:r w:rsidRPr="001C7BCC">
        <w:rPr>
          <w:noProof/>
          <w:lang w:eastAsia="zh-CN"/>
        </w:rPr>
        <w:t xml:space="preserve">material error or unintended </w:t>
      </w:r>
      <w:r w:rsidRPr="001C7BCC">
        <w:t>consequences</w:t>
      </w:r>
      <w:r w:rsidR="00E522E1">
        <w:rPr>
          <w:noProof/>
          <w:lang w:eastAsia="zh-CN"/>
        </w:rPr>
        <w:t>,</w:t>
      </w:r>
      <w:r>
        <w:rPr>
          <w:rStyle w:val="FootnoteReference"/>
        </w:rPr>
        <w:footnoteReference w:id="6"/>
      </w:r>
    </w:p>
    <w:p w14:paraId="18733D25" w14:textId="499B143B" w:rsidR="00E522E1" w:rsidRDefault="00E522E1" w:rsidP="00DC1588">
      <w:pPr>
        <w:pStyle w:val="ListBullet"/>
        <w:numPr>
          <w:ilvl w:val="0"/>
          <w:numId w:val="0"/>
        </w:numPr>
        <w:ind w:firstLine="198"/>
        <w:rPr>
          <w:noProof/>
          <w:lang w:eastAsia="zh-CN"/>
        </w:rPr>
      </w:pPr>
      <w:r>
        <w:rPr>
          <w:noProof/>
          <w:lang w:eastAsia="zh-CN"/>
        </w:rPr>
        <w:t>(Commission Initiated Variation).</w:t>
      </w:r>
    </w:p>
    <w:p w14:paraId="53ED81A1" w14:textId="7ED6C78F" w:rsidR="00063E76" w:rsidRPr="00737C41" w:rsidRDefault="00063E76" w:rsidP="00063E76">
      <w:pPr>
        <w:pStyle w:val="Pull-out"/>
        <w:rPr>
          <w:noProof/>
          <w:lang w:eastAsia="zh-CN"/>
        </w:rPr>
      </w:pPr>
      <w:r>
        <w:rPr>
          <w:noProof/>
          <w:lang w:eastAsia="zh-CN"/>
        </w:rPr>
        <w:t xml:space="preserve">If a water business identifies a material error or unintended consequence in </w:t>
      </w:r>
      <w:r w:rsidR="00692BAF">
        <w:rPr>
          <w:noProof/>
          <w:lang w:eastAsia="zh-CN"/>
        </w:rPr>
        <w:t>its</w:t>
      </w:r>
      <w:r>
        <w:rPr>
          <w:noProof/>
          <w:lang w:eastAsia="zh-CN"/>
        </w:rPr>
        <w:t xml:space="preserve"> determination, it should notify the commission as soon as possible.</w:t>
      </w:r>
    </w:p>
    <w:p w14:paraId="6CC9D6D5" w14:textId="46A93B31" w:rsidR="00BC7FEE" w:rsidRDefault="00BC7FEE" w:rsidP="003B6EEA">
      <w:pPr>
        <w:pStyle w:val="Heading3"/>
        <w:rPr>
          <w:noProof/>
          <w:lang w:eastAsia="zh-CN"/>
        </w:rPr>
      </w:pPr>
      <w:bookmarkStart w:id="4" w:name="_Toc207817243"/>
      <w:r>
        <w:rPr>
          <w:noProof/>
          <w:lang w:eastAsia="zh-CN"/>
        </w:rPr>
        <w:lastRenderedPageBreak/>
        <w:t>Uncertain Events Application</w:t>
      </w:r>
    </w:p>
    <w:p w14:paraId="733BEE60" w14:textId="1E54B64C" w:rsidR="00BC7FEE" w:rsidRDefault="00B234BD" w:rsidP="00BC7FEE">
      <w:pPr>
        <w:rPr>
          <w:lang w:eastAsia="zh-CN"/>
        </w:rPr>
      </w:pPr>
      <w:r>
        <w:rPr>
          <w:lang w:eastAsia="zh-CN"/>
        </w:rPr>
        <w:t>Examples of uncertain and unforeseen events, as well as exclusions, general principles</w:t>
      </w:r>
      <w:r w:rsidR="00DC1588">
        <w:rPr>
          <w:lang w:eastAsia="zh-CN"/>
        </w:rPr>
        <w:t>,</w:t>
      </w:r>
      <w:r>
        <w:rPr>
          <w:lang w:eastAsia="zh-CN"/>
        </w:rPr>
        <w:t xml:space="preserve"> </w:t>
      </w:r>
      <w:r w:rsidR="00E522E1">
        <w:rPr>
          <w:lang w:eastAsia="zh-CN"/>
        </w:rPr>
        <w:t xml:space="preserve">substantive requirements </w:t>
      </w:r>
      <w:r w:rsidR="00115E34">
        <w:rPr>
          <w:lang w:eastAsia="zh-CN"/>
        </w:rPr>
        <w:t xml:space="preserve">and procedural options </w:t>
      </w:r>
      <w:r>
        <w:rPr>
          <w:lang w:eastAsia="zh-CN"/>
        </w:rPr>
        <w:t xml:space="preserve">relating to </w:t>
      </w:r>
      <w:r w:rsidR="00E522E1">
        <w:rPr>
          <w:lang w:eastAsia="zh-CN"/>
        </w:rPr>
        <w:t xml:space="preserve">an </w:t>
      </w:r>
      <w:r>
        <w:rPr>
          <w:lang w:eastAsia="zh-CN"/>
        </w:rPr>
        <w:t xml:space="preserve">Uncertain Event Application </w:t>
      </w:r>
      <w:r w:rsidR="00E522E1">
        <w:rPr>
          <w:lang w:eastAsia="zh-CN"/>
        </w:rPr>
        <w:t>are</w:t>
      </w:r>
      <w:r>
        <w:rPr>
          <w:lang w:eastAsia="zh-CN"/>
        </w:rPr>
        <w:t xml:space="preserve"> set out in </w:t>
      </w:r>
      <w:r w:rsidR="003A71ED">
        <w:rPr>
          <w:lang w:eastAsia="zh-CN"/>
        </w:rPr>
        <w:t xml:space="preserve">the </w:t>
      </w:r>
      <w:r w:rsidR="003A71ED" w:rsidRPr="00DC1588">
        <w:rPr>
          <w:i/>
          <w:iCs/>
          <w:lang w:eastAsia="zh-CN"/>
        </w:rPr>
        <w:t>Uncertain or unforeseen events</w:t>
      </w:r>
      <w:r w:rsidR="003A71ED">
        <w:rPr>
          <w:lang w:eastAsia="zh-CN"/>
        </w:rPr>
        <w:t xml:space="preserve"> clause of </w:t>
      </w:r>
      <w:r w:rsidR="00E522E1">
        <w:rPr>
          <w:lang w:eastAsia="zh-CN"/>
        </w:rPr>
        <w:t>a</w:t>
      </w:r>
      <w:r>
        <w:rPr>
          <w:lang w:eastAsia="zh-CN"/>
        </w:rPr>
        <w:t xml:space="preserve"> price determination</w:t>
      </w:r>
      <w:r w:rsidR="00902C11">
        <w:rPr>
          <w:lang w:eastAsia="zh-CN"/>
        </w:rPr>
        <w:t xml:space="preserve"> </w:t>
      </w:r>
      <w:r w:rsidR="00902C11" w:rsidRPr="003A71ED">
        <w:t>(clause 3 or 4, depending on the determination)</w:t>
      </w:r>
      <w:r>
        <w:rPr>
          <w:lang w:eastAsia="zh-CN"/>
        </w:rPr>
        <w:t>. Water businesses should refer to th</w:t>
      </w:r>
      <w:r w:rsidR="003A71ED">
        <w:rPr>
          <w:lang w:eastAsia="zh-CN"/>
        </w:rPr>
        <w:t>is</w:t>
      </w:r>
      <w:r>
        <w:rPr>
          <w:lang w:eastAsia="zh-CN"/>
        </w:rPr>
        <w:t xml:space="preserve"> clause</w:t>
      </w:r>
      <w:r w:rsidR="00E522E1">
        <w:rPr>
          <w:lang w:eastAsia="zh-CN"/>
        </w:rPr>
        <w:t xml:space="preserve"> </w:t>
      </w:r>
      <w:r w:rsidR="00115E34">
        <w:rPr>
          <w:lang w:eastAsia="zh-CN"/>
        </w:rPr>
        <w:t>in deciding whether to pursue an Uncertain Event Application</w:t>
      </w:r>
      <w:r w:rsidR="00E522E1">
        <w:rPr>
          <w:lang w:eastAsia="zh-CN"/>
        </w:rPr>
        <w:t xml:space="preserve">, particularly </w:t>
      </w:r>
      <w:r w:rsidR="00115E34">
        <w:rPr>
          <w:lang w:eastAsia="zh-CN"/>
        </w:rPr>
        <w:t xml:space="preserve">to understand whether the basis on which a variation is sought </w:t>
      </w:r>
      <w:r>
        <w:rPr>
          <w:lang w:eastAsia="zh-CN"/>
        </w:rPr>
        <w:t>constitutes an un</w:t>
      </w:r>
      <w:r w:rsidR="00E522E1">
        <w:rPr>
          <w:lang w:eastAsia="zh-CN"/>
        </w:rPr>
        <w:t>certain and unforeseen event.</w:t>
      </w:r>
      <w:r>
        <w:rPr>
          <w:lang w:eastAsia="zh-CN"/>
        </w:rPr>
        <w:t xml:space="preserve"> </w:t>
      </w:r>
    </w:p>
    <w:p w14:paraId="02FFB3C5" w14:textId="58DD30A9" w:rsidR="00E522E1" w:rsidRDefault="00E522E1" w:rsidP="00E522E1">
      <w:pPr>
        <w:pStyle w:val="Pull-out"/>
        <w:rPr>
          <w:noProof/>
          <w:lang w:eastAsia="zh-CN"/>
        </w:rPr>
      </w:pPr>
      <w:r>
        <w:t>U</w:t>
      </w:r>
      <w:r w:rsidRPr="00DC57A6">
        <w:t xml:space="preserve">ncertain </w:t>
      </w:r>
      <w:r>
        <w:t>E</w:t>
      </w:r>
      <w:r w:rsidRPr="00DC57A6">
        <w:t xml:space="preserve">vents </w:t>
      </w:r>
      <w:r>
        <w:t>A</w:t>
      </w:r>
      <w:r w:rsidRPr="00DC57A6">
        <w:t xml:space="preserve">pplications are not intended as an avenue for a water business </w:t>
      </w:r>
      <w:r>
        <w:t>to</w:t>
      </w:r>
      <w:r w:rsidRPr="00DC57A6">
        <w:t xml:space="preserve"> manag</w:t>
      </w:r>
      <w:r>
        <w:t>e</w:t>
      </w:r>
      <w:r w:rsidRPr="00DC57A6">
        <w:t xml:space="preserve"> </w:t>
      </w:r>
      <w:r w:rsidR="00181776">
        <w:t xml:space="preserve">the </w:t>
      </w:r>
      <w:r w:rsidR="00F352B7">
        <w:t xml:space="preserve">downside </w:t>
      </w:r>
      <w:r w:rsidRPr="00DC57A6">
        <w:t>risk</w:t>
      </w:r>
      <w:r w:rsidR="0008016C">
        <w:t xml:space="preserve"> taken by the business</w:t>
      </w:r>
      <w:r w:rsidR="0008016C" w:rsidRPr="0008016C">
        <w:t xml:space="preserve"> </w:t>
      </w:r>
      <w:r w:rsidR="0008016C">
        <w:t xml:space="preserve">in </w:t>
      </w:r>
      <w:r w:rsidR="0008016C" w:rsidRPr="00DC57A6">
        <w:t>the context of risk sharing under the PREMO framework</w:t>
      </w:r>
      <w:r w:rsidRPr="00DC57A6">
        <w:t xml:space="preserve">. This includes matters that should have been within the control </w:t>
      </w:r>
      <w:r>
        <w:t xml:space="preserve">of the business </w:t>
      </w:r>
      <w:r w:rsidRPr="00DC57A6">
        <w:t xml:space="preserve">or should have reasonably been known or foreseen by the business (and managed or </w:t>
      </w:r>
      <w:proofErr w:type="gramStart"/>
      <w:r w:rsidRPr="00DC57A6">
        <w:t>taken into account</w:t>
      </w:r>
      <w:proofErr w:type="gramEnd"/>
      <w:r w:rsidRPr="00DC57A6">
        <w:t xml:space="preserve"> appropriately throughout the regulatory period). </w:t>
      </w:r>
      <w:r w:rsidR="0008016C">
        <w:t>A</w:t>
      </w:r>
      <w:r w:rsidRPr="00DC57A6">
        <w:t xml:space="preserve">ny </w:t>
      </w:r>
      <w:r>
        <w:t>U</w:t>
      </w:r>
      <w:r w:rsidRPr="00DC57A6">
        <w:t xml:space="preserve">ncertain </w:t>
      </w:r>
      <w:r>
        <w:t>E</w:t>
      </w:r>
      <w:r w:rsidRPr="00DC57A6">
        <w:t xml:space="preserve">vents </w:t>
      </w:r>
      <w:r>
        <w:t>A</w:t>
      </w:r>
      <w:r w:rsidRPr="00DC57A6">
        <w:t>pplication should not undermine the risk taken by the business under the framework and reflected in approved prices.</w:t>
      </w:r>
    </w:p>
    <w:p w14:paraId="09E69F45" w14:textId="4CD7DCA5" w:rsidR="00C769E5" w:rsidRPr="00DC1588" w:rsidRDefault="00C769E5" w:rsidP="003B6EEA">
      <w:pPr>
        <w:pStyle w:val="Heading3"/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</w:pPr>
      <w:r w:rsidRPr="00DC1588"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  <w:t xml:space="preserve">The commission expects that </w:t>
      </w:r>
      <w:r w:rsidR="00A953FE"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  <w:t xml:space="preserve">risks that do not </w:t>
      </w:r>
      <w:r w:rsidR="005B3A65"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  <w:t xml:space="preserve">constitute </w:t>
      </w:r>
      <w:r w:rsidR="008906C2"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  <w:t xml:space="preserve">an uncertain and unforeseen event are addressed by </w:t>
      </w:r>
      <w:r w:rsidRPr="00DC1588">
        <w:rPr>
          <w:rFonts w:asciiTheme="minorHAnsi" w:eastAsiaTheme="minorHAnsi" w:hAnsiTheme="minorHAnsi" w:cstheme="minorBidi"/>
          <w:b w:val="0"/>
          <w:color w:val="auto"/>
          <w:szCs w:val="22"/>
          <w:lang w:eastAsia="zh-CN"/>
        </w:rPr>
        <w:t>appropriate risk-sharing and management of risks under the PREMO framework.</w:t>
      </w:r>
    </w:p>
    <w:p w14:paraId="45641B06" w14:textId="14CFFB41" w:rsidR="003B6EEA" w:rsidRDefault="003B6EEA" w:rsidP="003B6EEA">
      <w:pPr>
        <w:pStyle w:val="Heading3"/>
        <w:rPr>
          <w:noProof/>
          <w:lang w:eastAsia="zh-CN"/>
        </w:rPr>
      </w:pPr>
      <w:r>
        <w:rPr>
          <w:noProof/>
          <w:lang w:eastAsia="zh-CN"/>
        </w:rPr>
        <w:t xml:space="preserve">What we expect a water business to do before applying for a </w:t>
      </w:r>
      <w:bookmarkEnd w:id="4"/>
      <w:r w:rsidR="00AA5844">
        <w:rPr>
          <w:noProof/>
          <w:lang w:eastAsia="zh-CN"/>
        </w:rPr>
        <w:t>variation</w:t>
      </w:r>
    </w:p>
    <w:p w14:paraId="2C6D88A7" w14:textId="36AFE443" w:rsidR="003B6EEA" w:rsidRPr="00795541" w:rsidRDefault="003B6EEA" w:rsidP="003B6EEA">
      <w:pPr>
        <w:rPr>
          <w:lang w:eastAsia="zh-CN"/>
        </w:rPr>
      </w:pPr>
      <w:r w:rsidRPr="00795541">
        <w:rPr>
          <w:lang w:eastAsia="zh-CN"/>
        </w:rPr>
        <w:t xml:space="preserve">Before </w:t>
      </w:r>
      <w:r w:rsidR="008B5A78">
        <w:rPr>
          <w:lang w:eastAsia="zh-CN"/>
        </w:rPr>
        <w:t>applying</w:t>
      </w:r>
      <w:r w:rsidRPr="00795541">
        <w:rPr>
          <w:lang w:eastAsia="zh-CN"/>
        </w:rPr>
        <w:t xml:space="preserve"> for </w:t>
      </w:r>
      <w:r w:rsidR="008B5A78">
        <w:rPr>
          <w:lang w:eastAsia="zh-CN"/>
        </w:rPr>
        <w:t xml:space="preserve">a </w:t>
      </w:r>
      <w:r w:rsidR="005F6220">
        <w:rPr>
          <w:lang w:eastAsia="zh-CN"/>
        </w:rPr>
        <w:t>variation</w:t>
      </w:r>
      <w:r w:rsidR="008B5A78">
        <w:rPr>
          <w:lang w:eastAsia="zh-CN"/>
        </w:rPr>
        <w:t xml:space="preserve"> to </w:t>
      </w:r>
      <w:r w:rsidR="003A71ED">
        <w:rPr>
          <w:lang w:eastAsia="zh-CN"/>
        </w:rPr>
        <w:t>an existing</w:t>
      </w:r>
      <w:r w:rsidR="008B5A78">
        <w:rPr>
          <w:lang w:eastAsia="zh-CN"/>
        </w:rPr>
        <w:t xml:space="preserve"> price determination</w:t>
      </w:r>
      <w:r w:rsidRPr="00795541">
        <w:rPr>
          <w:lang w:eastAsia="zh-CN"/>
        </w:rPr>
        <w:t xml:space="preserve">, we expect that a water business </w:t>
      </w:r>
      <w:r w:rsidR="00D61DC9">
        <w:rPr>
          <w:lang w:eastAsia="zh-CN"/>
        </w:rPr>
        <w:t>will have</w:t>
      </w:r>
      <w:r w:rsidRPr="00795541">
        <w:rPr>
          <w:lang w:eastAsia="zh-CN"/>
        </w:rPr>
        <w:t>:</w:t>
      </w:r>
    </w:p>
    <w:p w14:paraId="01202F7C" w14:textId="2636667C" w:rsidR="003B6EEA" w:rsidRPr="00795541" w:rsidRDefault="001F3481" w:rsidP="003D4F7F">
      <w:pPr>
        <w:pStyle w:val="ListBullet"/>
      </w:pPr>
      <w:r>
        <w:t>C</w:t>
      </w:r>
      <w:r w:rsidR="003B6EEA" w:rsidRPr="00795541">
        <w:t xml:space="preserve">onsidered </w:t>
      </w:r>
      <w:r w:rsidR="008B5A78">
        <w:t xml:space="preserve">the </w:t>
      </w:r>
      <w:r w:rsidR="003A71ED">
        <w:t xml:space="preserve">relevant </w:t>
      </w:r>
      <w:r w:rsidR="00E522E1">
        <w:t xml:space="preserve">provisions of </w:t>
      </w:r>
      <w:r w:rsidR="00AB4A74">
        <w:t>its</w:t>
      </w:r>
      <w:r w:rsidR="003B6EEA" w:rsidRPr="00795541">
        <w:t xml:space="preserve"> </w:t>
      </w:r>
      <w:r w:rsidR="00E522E1">
        <w:t xml:space="preserve">price </w:t>
      </w:r>
      <w:r w:rsidR="003B6EEA" w:rsidRPr="00795541">
        <w:t>determination</w:t>
      </w:r>
      <w:r w:rsidR="008B5A78">
        <w:t xml:space="preserve"> to confirm that the</w:t>
      </w:r>
      <w:r w:rsidR="003B6EEA" w:rsidRPr="00795541">
        <w:t xml:space="preserve"> grounds for</w:t>
      </w:r>
      <w:r w:rsidR="008B5A78">
        <w:t xml:space="preserve"> seeking a </w:t>
      </w:r>
      <w:r w:rsidR="00691CC7">
        <w:t>variation</w:t>
      </w:r>
      <w:r w:rsidR="008B5A78">
        <w:t xml:space="preserve"> have been met</w:t>
      </w:r>
      <w:r w:rsidR="00EA79FD">
        <w:t>.</w:t>
      </w:r>
      <w:r w:rsidR="008B5A78">
        <w:t xml:space="preserve"> In the case of Uncertain Events Applications, water businesses must turn their mind to whether </w:t>
      </w:r>
      <w:r w:rsidR="008B5A78" w:rsidRPr="008B5A78">
        <w:t xml:space="preserve">an uncertain </w:t>
      </w:r>
      <w:r w:rsidR="003A71ED">
        <w:t>or</w:t>
      </w:r>
      <w:r w:rsidR="008B5A78" w:rsidRPr="008B5A78">
        <w:t xml:space="preserve"> unforeseen event</w:t>
      </w:r>
      <w:r w:rsidR="008B5A78">
        <w:t xml:space="preserve"> has taken place</w:t>
      </w:r>
      <w:r w:rsidR="003A71ED">
        <w:t xml:space="preserve"> by reference to</w:t>
      </w:r>
      <w:r w:rsidR="003A71ED" w:rsidRPr="003A71ED">
        <w:t xml:space="preserve"> the</w:t>
      </w:r>
      <w:r w:rsidR="00902C11">
        <w:t xml:space="preserve"> examples and exclusions set out in</w:t>
      </w:r>
      <w:r w:rsidR="00DC1588">
        <w:t xml:space="preserve"> the</w:t>
      </w:r>
      <w:r w:rsidR="003A71ED" w:rsidRPr="003A71ED">
        <w:t xml:space="preserve"> </w:t>
      </w:r>
      <w:r w:rsidR="003A71ED" w:rsidRPr="00DC1588">
        <w:rPr>
          <w:i/>
          <w:iCs/>
        </w:rPr>
        <w:t>Uncertain or unforeseen events</w:t>
      </w:r>
      <w:r w:rsidR="003A71ED" w:rsidRPr="003A71ED">
        <w:t xml:space="preserve"> clause</w:t>
      </w:r>
      <w:r w:rsidR="003A71ED">
        <w:t xml:space="preserve"> of its Price Determination </w:t>
      </w:r>
      <w:r w:rsidR="003A71ED" w:rsidRPr="003A71ED">
        <w:t>(clause 3 or 4, depending on the determination)</w:t>
      </w:r>
      <w:r w:rsidR="008B5A78">
        <w:t xml:space="preserve">.  </w:t>
      </w:r>
    </w:p>
    <w:p w14:paraId="50D54D77" w14:textId="049D8D42" w:rsidR="003B6EEA" w:rsidRPr="00855E0C" w:rsidRDefault="001F3481" w:rsidP="003D4F7F">
      <w:pPr>
        <w:pStyle w:val="ListBullet"/>
      </w:pPr>
      <w:r>
        <w:t>C</w:t>
      </w:r>
      <w:r w:rsidR="003B6EEA" w:rsidRPr="00795541">
        <w:t xml:space="preserve">onsidered </w:t>
      </w:r>
      <w:r w:rsidR="004207BD">
        <w:t xml:space="preserve">whether </w:t>
      </w:r>
      <w:r w:rsidR="003B6EEA" w:rsidRPr="00795541">
        <w:t xml:space="preserve">other steps or </w:t>
      </w:r>
      <w:r w:rsidR="004207BD">
        <w:t xml:space="preserve">mitigation </w:t>
      </w:r>
      <w:r w:rsidR="003B6EEA" w:rsidRPr="00795541">
        <w:t xml:space="preserve">options </w:t>
      </w:r>
      <w:r w:rsidR="00713141">
        <w:t>can be taken before making</w:t>
      </w:r>
      <w:r w:rsidR="00B70654">
        <w:t xml:space="preserve"> </w:t>
      </w:r>
      <w:r w:rsidR="00DC1588">
        <w:t>the</w:t>
      </w:r>
      <w:r w:rsidR="00713141">
        <w:t xml:space="preserve"> application</w:t>
      </w:r>
      <w:r w:rsidR="00EA79FD">
        <w:t>.</w:t>
      </w:r>
    </w:p>
    <w:p w14:paraId="65FA9DCC" w14:textId="1DCFBBC3" w:rsidR="003B6EEA" w:rsidRPr="00855E0C" w:rsidRDefault="001F3481" w:rsidP="003D4F7F">
      <w:pPr>
        <w:pStyle w:val="ListBullet"/>
        <w:rPr>
          <w:lang w:eastAsia="zh-CN"/>
        </w:rPr>
      </w:pPr>
      <w:r>
        <w:t>S</w:t>
      </w:r>
      <w:r w:rsidR="003B6EEA" w:rsidRPr="00855E0C">
        <w:t>ought attestatio</w:t>
      </w:r>
      <w:r w:rsidR="003B6EEA" w:rsidRPr="00855E0C">
        <w:rPr>
          <w:lang w:eastAsia="zh-CN"/>
        </w:rPr>
        <w:t xml:space="preserve">n from the board of directors </w:t>
      </w:r>
      <w:r w:rsidR="008B5A78">
        <w:rPr>
          <w:lang w:eastAsia="zh-CN"/>
        </w:rPr>
        <w:t xml:space="preserve">as </w:t>
      </w:r>
      <w:r w:rsidR="003B6EEA" w:rsidRPr="00855E0C">
        <w:rPr>
          <w:lang w:eastAsia="zh-CN"/>
        </w:rPr>
        <w:t>to the completeness and accuracy of the information in the application and support for the application.</w:t>
      </w:r>
    </w:p>
    <w:p w14:paraId="29CB1623" w14:textId="26CF3C80" w:rsidR="003B6EEA" w:rsidRDefault="003B6EEA" w:rsidP="003B6EEA">
      <w:pPr>
        <w:pStyle w:val="Heading2"/>
        <w:rPr>
          <w:noProof/>
          <w:lang w:eastAsia="zh-CN"/>
        </w:rPr>
      </w:pPr>
      <w:bookmarkStart w:id="5" w:name="_Toc207817248"/>
      <w:r>
        <w:rPr>
          <w:noProof/>
          <w:lang w:eastAsia="zh-CN"/>
        </w:rPr>
        <w:t xml:space="preserve">Process for </w:t>
      </w:r>
      <w:r w:rsidR="00630F4E">
        <w:rPr>
          <w:noProof/>
          <w:lang w:eastAsia="zh-CN"/>
        </w:rPr>
        <w:t>varying</w:t>
      </w:r>
      <w:r>
        <w:rPr>
          <w:noProof/>
          <w:lang w:eastAsia="zh-CN"/>
        </w:rPr>
        <w:t xml:space="preserve"> a determination</w:t>
      </w:r>
      <w:bookmarkEnd w:id="5"/>
    </w:p>
    <w:p w14:paraId="47BDF0DD" w14:textId="461607D3" w:rsidR="003B6EEA" w:rsidRDefault="003A71ED" w:rsidP="003B6EEA">
      <w:pPr>
        <w:rPr>
          <w:noProof/>
          <w:lang w:eastAsia="zh-CN"/>
        </w:rPr>
      </w:pPr>
      <w:bookmarkStart w:id="6" w:name="_Toc207817250"/>
      <w:r>
        <w:rPr>
          <w:noProof/>
          <w:lang w:eastAsia="zh-CN"/>
        </w:rPr>
        <w:t>When the commission receives an application to vary an existing price determination or commences a Commission Initiated Variation</w:t>
      </w:r>
      <w:r w:rsidR="00F61D89">
        <w:rPr>
          <w:noProof/>
          <w:lang w:eastAsia="zh-CN"/>
        </w:rPr>
        <w:t xml:space="preserve">, it </w:t>
      </w:r>
      <w:r>
        <w:rPr>
          <w:noProof/>
          <w:lang w:eastAsia="zh-CN"/>
        </w:rPr>
        <w:t>must</w:t>
      </w:r>
      <w:r w:rsidR="00902C11">
        <w:rPr>
          <w:noProof/>
          <w:lang w:eastAsia="zh-CN"/>
        </w:rPr>
        <w:t xml:space="preserve"> decide </w:t>
      </w:r>
      <w:r>
        <w:rPr>
          <w:noProof/>
          <w:lang w:eastAsia="zh-CN"/>
        </w:rPr>
        <w:t>whether the commission’s standard consultation process for making a price determination will be followed</w:t>
      </w:r>
      <w:r w:rsidR="001B2EEC">
        <w:rPr>
          <w:noProof/>
          <w:lang w:eastAsia="zh-CN"/>
        </w:rPr>
        <w:t>, and publish reasons if it is decide</w:t>
      </w:r>
      <w:r w:rsidR="00193F90">
        <w:rPr>
          <w:noProof/>
          <w:lang w:eastAsia="zh-CN"/>
        </w:rPr>
        <w:t>s</w:t>
      </w:r>
      <w:r w:rsidR="001B2EEC">
        <w:rPr>
          <w:noProof/>
          <w:lang w:eastAsia="zh-CN"/>
        </w:rPr>
        <w:t xml:space="preserve"> </w:t>
      </w:r>
      <w:r w:rsidR="00193F90">
        <w:rPr>
          <w:noProof/>
          <w:lang w:eastAsia="zh-CN"/>
        </w:rPr>
        <w:t>not to follow that</w:t>
      </w:r>
      <w:r w:rsidR="001B2EEC">
        <w:rPr>
          <w:noProof/>
          <w:lang w:eastAsia="zh-CN"/>
        </w:rPr>
        <w:t xml:space="preserve"> process</w:t>
      </w:r>
      <w:r>
        <w:rPr>
          <w:noProof/>
          <w:lang w:eastAsia="zh-CN"/>
        </w:rPr>
        <w:t>.</w:t>
      </w:r>
    </w:p>
    <w:p w14:paraId="5CCE3203" w14:textId="4BCC50F9" w:rsidR="003B6EEA" w:rsidRDefault="00193F90" w:rsidP="003B6EEA">
      <w:pPr>
        <w:rPr>
          <w:noProof/>
          <w:lang w:eastAsia="zh-CN"/>
        </w:rPr>
      </w:pPr>
      <w:r>
        <w:rPr>
          <w:noProof/>
          <w:lang w:eastAsia="zh-CN"/>
        </w:rPr>
        <w:lastRenderedPageBreak/>
        <w:t>Except in very limited circumstances</w:t>
      </w:r>
      <w:r w:rsidR="003B6EEA">
        <w:rPr>
          <w:noProof/>
          <w:lang w:eastAsia="zh-CN"/>
        </w:rPr>
        <w:t>,</w:t>
      </w:r>
      <w:r w:rsidR="00465A39">
        <w:rPr>
          <w:noProof/>
          <w:lang w:eastAsia="zh-CN"/>
        </w:rPr>
        <w:t xml:space="preserve"> </w:t>
      </w:r>
      <w:r w:rsidR="003B6EEA">
        <w:rPr>
          <w:noProof/>
          <w:lang w:eastAsia="zh-CN"/>
        </w:rPr>
        <w:t xml:space="preserve">the commission’s standard consultation process </w:t>
      </w:r>
      <w:r w:rsidR="00FA43A0">
        <w:rPr>
          <w:noProof/>
          <w:lang w:eastAsia="zh-CN"/>
        </w:rPr>
        <w:t>will be followed</w:t>
      </w:r>
      <w:r w:rsidR="00902C11">
        <w:rPr>
          <w:noProof/>
          <w:lang w:eastAsia="zh-CN"/>
        </w:rPr>
        <w:t>.</w:t>
      </w:r>
      <w:r w:rsidR="003B6EEA">
        <w:rPr>
          <w:noProof/>
          <w:lang w:eastAsia="zh-CN"/>
        </w:rPr>
        <w:t xml:space="preserve"> </w:t>
      </w:r>
      <w:r w:rsidR="00BA4DB7">
        <w:rPr>
          <w:noProof/>
          <w:lang w:eastAsia="zh-CN"/>
        </w:rPr>
        <w:t xml:space="preserve">This process is </w:t>
      </w:r>
      <w:r w:rsidR="003B6EEA">
        <w:rPr>
          <w:noProof/>
          <w:lang w:eastAsia="zh-CN"/>
        </w:rPr>
        <w:t>set out in clauses 16</w:t>
      </w:r>
      <w:r w:rsidR="00902C11">
        <w:rPr>
          <w:noProof/>
          <w:lang w:eastAsia="zh-CN"/>
        </w:rPr>
        <w:t>(a) and (b)</w:t>
      </w:r>
      <w:r w:rsidR="003B6EEA">
        <w:rPr>
          <w:noProof/>
          <w:lang w:eastAsia="zh-CN"/>
        </w:rPr>
        <w:t xml:space="preserve"> of the W</w:t>
      </w:r>
      <w:r w:rsidR="00902C11">
        <w:rPr>
          <w:noProof/>
          <w:lang w:eastAsia="zh-CN"/>
        </w:rPr>
        <w:t xml:space="preserve">ater </w:t>
      </w:r>
      <w:r w:rsidR="003B6EEA">
        <w:rPr>
          <w:noProof/>
          <w:lang w:eastAsia="zh-CN"/>
        </w:rPr>
        <w:t>I</w:t>
      </w:r>
      <w:r w:rsidR="00902C11">
        <w:rPr>
          <w:noProof/>
          <w:lang w:eastAsia="zh-CN"/>
        </w:rPr>
        <w:t xml:space="preserve">ndustry </w:t>
      </w:r>
      <w:r w:rsidR="003B6EEA">
        <w:rPr>
          <w:noProof/>
          <w:lang w:eastAsia="zh-CN"/>
        </w:rPr>
        <w:t>R</w:t>
      </w:r>
      <w:r w:rsidR="00902C11">
        <w:rPr>
          <w:noProof/>
          <w:lang w:eastAsia="zh-CN"/>
        </w:rPr>
        <w:t xml:space="preserve">egulatory </w:t>
      </w:r>
      <w:r w:rsidR="003B6EEA">
        <w:rPr>
          <w:noProof/>
          <w:lang w:eastAsia="zh-CN"/>
        </w:rPr>
        <w:t>O</w:t>
      </w:r>
      <w:r w:rsidR="00902C11">
        <w:rPr>
          <w:noProof/>
          <w:lang w:eastAsia="zh-CN"/>
        </w:rPr>
        <w:t>rder, and</w:t>
      </w:r>
      <w:r w:rsidR="001B2EEC">
        <w:rPr>
          <w:noProof/>
          <w:lang w:eastAsia="zh-CN"/>
        </w:rPr>
        <w:t xml:space="preserve"> is also </w:t>
      </w:r>
      <w:r w:rsidR="00902C11">
        <w:rPr>
          <w:noProof/>
          <w:lang w:eastAsia="zh-CN"/>
        </w:rPr>
        <w:t>referred to in relevant clauses of all existing price determinations</w:t>
      </w:r>
      <w:r w:rsidR="003B6EEA">
        <w:rPr>
          <w:noProof/>
          <w:lang w:eastAsia="zh-CN"/>
        </w:rPr>
        <w:t xml:space="preserve">. </w:t>
      </w:r>
      <w:r w:rsidR="001B2EEC">
        <w:rPr>
          <w:noProof/>
          <w:lang w:eastAsia="zh-CN"/>
        </w:rPr>
        <w:t>This process</w:t>
      </w:r>
      <w:r w:rsidR="00BA4DB7">
        <w:rPr>
          <w:noProof/>
          <w:lang w:eastAsia="zh-CN"/>
        </w:rPr>
        <w:t xml:space="preserve"> </w:t>
      </w:r>
      <w:r w:rsidR="003B6EEA">
        <w:rPr>
          <w:noProof/>
          <w:lang w:eastAsia="zh-CN"/>
        </w:rPr>
        <w:t>includes the release of a draft decision</w:t>
      </w:r>
      <w:r>
        <w:rPr>
          <w:noProof/>
          <w:lang w:eastAsia="zh-CN"/>
        </w:rPr>
        <w:t xml:space="preserve"> and</w:t>
      </w:r>
      <w:r w:rsidR="001B2EEC">
        <w:rPr>
          <w:noProof/>
          <w:lang w:eastAsia="zh-CN"/>
        </w:rPr>
        <w:t xml:space="preserve"> reasons</w:t>
      </w:r>
      <w:r w:rsidR="003B6EEA">
        <w:rPr>
          <w:noProof/>
          <w:lang w:eastAsia="zh-CN"/>
        </w:rPr>
        <w:t xml:space="preserve"> and </w:t>
      </w:r>
      <w:r>
        <w:rPr>
          <w:noProof/>
          <w:lang w:eastAsia="zh-CN"/>
        </w:rPr>
        <w:t xml:space="preserve">a </w:t>
      </w:r>
      <w:r w:rsidR="003B6EEA">
        <w:rPr>
          <w:noProof/>
          <w:lang w:eastAsia="zh-CN"/>
        </w:rPr>
        <w:t>consultation p</w:t>
      </w:r>
      <w:r>
        <w:rPr>
          <w:noProof/>
          <w:lang w:eastAsia="zh-CN"/>
        </w:rPr>
        <w:t xml:space="preserve">eriod in which </w:t>
      </w:r>
      <w:r w:rsidR="001B2EEC">
        <w:rPr>
          <w:noProof/>
          <w:lang w:eastAsia="zh-CN"/>
        </w:rPr>
        <w:t xml:space="preserve">submissions </w:t>
      </w:r>
      <w:r w:rsidR="00C769E5">
        <w:rPr>
          <w:noProof/>
          <w:lang w:eastAsia="zh-CN"/>
        </w:rPr>
        <w:t>will be sought fro</w:t>
      </w:r>
      <w:r w:rsidR="001B2EEC">
        <w:rPr>
          <w:noProof/>
          <w:lang w:eastAsia="zh-CN"/>
        </w:rPr>
        <w:t>m interested parties</w:t>
      </w:r>
      <w:r w:rsidR="003B6EEA">
        <w:rPr>
          <w:noProof/>
          <w:lang w:eastAsia="zh-CN"/>
        </w:rPr>
        <w:t xml:space="preserve">, before the commission makes its final decision on the </w:t>
      </w:r>
      <w:r w:rsidR="001B2EEC">
        <w:rPr>
          <w:noProof/>
          <w:lang w:eastAsia="zh-CN"/>
        </w:rPr>
        <w:t>variation</w:t>
      </w:r>
      <w:r w:rsidR="003B6EEA">
        <w:rPr>
          <w:noProof/>
          <w:lang w:eastAsia="zh-CN"/>
        </w:rPr>
        <w:t>.</w:t>
      </w:r>
    </w:p>
    <w:p w14:paraId="6D619439" w14:textId="37FE2B05" w:rsidR="003B6EEA" w:rsidRDefault="00B42A2E" w:rsidP="003B6EEA">
      <w:pPr>
        <w:rPr>
          <w:noProof/>
          <w:lang w:eastAsia="zh-CN"/>
        </w:rPr>
      </w:pPr>
      <w:r>
        <w:rPr>
          <w:noProof/>
          <w:lang w:eastAsia="zh-CN"/>
        </w:rPr>
        <w:t>There are limited circumstances</w:t>
      </w:r>
      <w:r w:rsidR="008E1265">
        <w:rPr>
          <w:noProof/>
          <w:lang w:eastAsia="zh-CN"/>
        </w:rPr>
        <w:t xml:space="preserve"> </w:t>
      </w:r>
      <w:r w:rsidR="00C769E5">
        <w:rPr>
          <w:noProof/>
          <w:lang w:eastAsia="zh-CN"/>
        </w:rPr>
        <w:t xml:space="preserve">(where a variation is not sufficiently material or where it is sufficiently urgent) </w:t>
      </w:r>
      <w:r w:rsidR="008E1265">
        <w:rPr>
          <w:noProof/>
          <w:lang w:eastAsia="zh-CN"/>
        </w:rPr>
        <w:t>in which the commission may vary a price determination without following its standard consultation process</w:t>
      </w:r>
      <w:r w:rsidR="00C769E5">
        <w:rPr>
          <w:noProof/>
          <w:lang w:eastAsia="zh-CN"/>
        </w:rPr>
        <w:t xml:space="preserve">. </w:t>
      </w:r>
    </w:p>
    <w:p w14:paraId="6EF467D9" w14:textId="2001001C" w:rsidR="001C750A" w:rsidRPr="00DE129D" w:rsidRDefault="003B6EEA" w:rsidP="00AD4092">
      <w:pPr>
        <w:pStyle w:val="Pull-out"/>
      </w:pPr>
      <w:r>
        <w:t xml:space="preserve">A water business should expect and allow for the </w:t>
      </w:r>
      <w:r w:rsidR="00D6499F">
        <w:t xml:space="preserve">variation </w:t>
      </w:r>
      <w:r>
        <w:t xml:space="preserve">process to be completed over 6 months. </w:t>
      </w:r>
      <w:bookmarkStart w:id="7" w:name="_Hlk208838257"/>
      <w:r w:rsidR="000A3186">
        <w:t>Where practicable, a</w:t>
      </w:r>
      <w:r>
        <w:t xml:space="preserve">n application for </w:t>
      </w:r>
      <w:r w:rsidR="00A52E7A">
        <w:t>variation</w:t>
      </w:r>
      <w:r>
        <w:t xml:space="preserve"> should be made </w:t>
      </w:r>
      <w:r w:rsidR="006C5B7C">
        <w:t>by 31 December,</w:t>
      </w:r>
      <w:r w:rsidR="008B69FA">
        <w:t xml:space="preserve"> so that </w:t>
      </w:r>
      <w:r w:rsidR="00B255DF">
        <w:t xml:space="preserve">any variation </w:t>
      </w:r>
      <w:r w:rsidR="00E561D9">
        <w:t>can occur on 1 July</w:t>
      </w:r>
      <w:r w:rsidR="00532706">
        <w:t xml:space="preserve"> </w:t>
      </w:r>
      <w:r w:rsidR="00F84CD1">
        <w:t xml:space="preserve">of the following year, </w:t>
      </w:r>
      <w:r w:rsidR="00532706">
        <w:t xml:space="preserve">in conjunction with the </w:t>
      </w:r>
      <w:r w:rsidR="006B6625">
        <w:t xml:space="preserve">annual </w:t>
      </w:r>
      <w:r w:rsidR="009650E4">
        <w:t xml:space="preserve">adjustment </w:t>
      </w:r>
      <w:r w:rsidR="007E2CD3">
        <w:t>of prices</w:t>
      </w:r>
      <w:r>
        <w:t>.</w:t>
      </w:r>
      <w:bookmarkEnd w:id="6"/>
      <w:bookmarkEnd w:id="7"/>
    </w:p>
    <w:sectPr w:rsidR="001C750A" w:rsidRPr="00DE129D" w:rsidSect="000E4F9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111EF" w14:textId="77777777" w:rsidR="001E1246" w:rsidRDefault="001E1246" w:rsidP="00AE03FA">
      <w:pPr>
        <w:spacing w:after="0"/>
      </w:pPr>
      <w:r>
        <w:separator/>
      </w:r>
    </w:p>
    <w:p w14:paraId="2329E60D" w14:textId="77777777" w:rsidR="001E1246" w:rsidRDefault="001E1246"/>
  </w:endnote>
  <w:endnote w:type="continuationSeparator" w:id="0">
    <w:p w14:paraId="448CCE5C" w14:textId="77777777" w:rsidR="001E1246" w:rsidRDefault="001E1246" w:rsidP="00AE03FA">
      <w:pPr>
        <w:spacing w:after="0"/>
      </w:pPr>
      <w:r>
        <w:continuationSeparator/>
      </w:r>
    </w:p>
    <w:p w14:paraId="68D568D9" w14:textId="77777777" w:rsidR="001E1246" w:rsidRDefault="001E1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DE129D" w14:paraId="6EB23F58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7DEFAC4F" w14:textId="77777777" w:rsidR="00DE129D" w:rsidRPr="009E15D6" w:rsidRDefault="00DE129D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734FB7E" w14:textId="423A01E5" w:rsidR="00F06B55" w:rsidRPr="00DE129D" w:rsidRDefault="00DE129D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4092">
          <w:rPr>
            <w:b/>
          </w:rPr>
          <w:t>Guideline 3 (2025): Varying a Price Determination (Re-opening)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B7573" w14:paraId="1FE4258C" w14:textId="7777777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0DA2214C" w14:textId="77777777" w:rsidR="006B7573" w:rsidRPr="009E15D6" w:rsidRDefault="006B7573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1517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E812389" w14:textId="2B6F4892" w:rsidR="000E4F95" w:rsidRPr="006B7573" w:rsidRDefault="006B7573" w:rsidP="008E5CAD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7774522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4092" w:rsidRPr="00AD4092">
          <w:rPr>
            <w:b/>
          </w:rPr>
          <w:t>Guideline 3 (2025): Varying a Price Determination (Re-opening)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865B9" w14:textId="77777777" w:rsidR="001E1246" w:rsidRPr="00CF33F6" w:rsidRDefault="001E1246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C033522" w14:textId="77777777" w:rsidR="001E1246" w:rsidRDefault="001E1246" w:rsidP="00CF33F6">
      <w:pPr>
        <w:pStyle w:val="NoSpacing"/>
      </w:pPr>
    </w:p>
  </w:footnote>
  <w:footnote w:type="continuationSeparator" w:id="0">
    <w:p w14:paraId="55D98621" w14:textId="77777777" w:rsidR="001E1246" w:rsidRDefault="001E1246" w:rsidP="00AE03FA">
      <w:pPr>
        <w:spacing w:after="0"/>
      </w:pPr>
      <w:r>
        <w:continuationSeparator/>
      </w:r>
    </w:p>
    <w:p w14:paraId="14FB775C" w14:textId="77777777" w:rsidR="001E1246" w:rsidRDefault="001E1246"/>
  </w:footnote>
  <w:footnote w:id="1">
    <w:p w14:paraId="50651B35" w14:textId="5E2DA5CC" w:rsidR="003B6EEA" w:rsidRDefault="003B6EEA" w:rsidP="003B6EEA">
      <w:pPr>
        <w:pStyle w:val="FootnoteText"/>
      </w:pPr>
      <w:r>
        <w:rPr>
          <w:rStyle w:val="FootnoteReference"/>
        </w:rPr>
        <w:footnoteRef/>
      </w:r>
      <w:r>
        <w:t xml:space="preserve"> For most water businesses, the price schedule is Schedule 2 of their determination (however</w:t>
      </w:r>
      <w:r w:rsidR="00A1031F">
        <w:t>,</w:t>
      </w:r>
      <w:r>
        <w:t xml:space="preserve"> some businesses have price schedules in Schedules 2 and 3 of their determination).</w:t>
      </w:r>
    </w:p>
  </w:footnote>
  <w:footnote w:id="2">
    <w:p w14:paraId="0F7B757E" w14:textId="4C445A90" w:rsidR="00C01A9E" w:rsidRDefault="00C01A9E" w:rsidP="00C01A9E">
      <w:pPr>
        <w:pStyle w:val="FootnoteText"/>
      </w:pPr>
      <w:r>
        <w:rPr>
          <w:rStyle w:val="FootnoteReference"/>
        </w:rPr>
        <w:footnoteRef/>
      </w:r>
      <w:r>
        <w:t xml:space="preserve"> Scheduled prices are adjusted by the commission in accordance with clause 2.3 and the relevant schedule of a determination (for </w:t>
      </w:r>
      <w:r w:rsidRPr="00350D22">
        <w:t>most water businesses, the relevant schedule is Schedule 5). Water businesses may also apply for a revised tariff schedule in relation to a change to the tariff basket form of price control (under</w:t>
      </w:r>
      <w:r>
        <w:t xml:space="preserve"> clause 3 of the determination for most businesses), or for adjustments relating to any pass through of specific costs specified in their determination (clause 5 or 6 for most businesses that have a specified pass</w:t>
      </w:r>
      <w:r w:rsidR="00A822FA">
        <w:t xml:space="preserve"> </w:t>
      </w:r>
      <w:r>
        <w:t>through).</w:t>
      </w:r>
    </w:p>
  </w:footnote>
  <w:footnote w:id="3">
    <w:p w14:paraId="749AD3A6" w14:textId="4A628C8F" w:rsidR="003B6EEA" w:rsidRDefault="003B6EEA" w:rsidP="003B6E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686C">
        <w:t>U</w:t>
      </w:r>
      <w:r>
        <w:t xml:space="preserve">ncertain and unforeseen events </w:t>
      </w:r>
      <w:r w:rsidR="00F03A22">
        <w:t>are</w:t>
      </w:r>
      <w:r>
        <w:t xml:space="preserve"> covered </w:t>
      </w:r>
      <w:r w:rsidR="00A969F5">
        <w:t>under either</w:t>
      </w:r>
      <w:r>
        <w:t xml:space="preserve"> clause 3</w:t>
      </w:r>
      <w:r w:rsidR="00A969F5">
        <w:t xml:space="preserve"> or 4</w:t>
      </w:r>
      <w:r>
        <w:t xml:space="preserve"> of </w:t>
      </w:r>
      <w:r w:rsidR="008D5EC3">
        <w:t>a</w:t>
      </w:r>
      <w:r w:rsidR="00A969F5">
        <w:t xml:space="preserve"> </w:t>
      </w:r>
      <w:r>
        <w:t>determination.</w:t>
      </w:r>
    </w:p>
  </w:footnote>
  <w:footnote w:id="4">
    <w:p w14:paraId="72B68D46" w14:textId="77777777" w:rsidR="003B6EEA" w:rsidRDefault="003B6EEA" w:rsidP="003B6EEA">
      <w:pPr>
        <w:pStyle w:val="FootnoteText"/>
      </w:pPr>
      <w:r>
        <w:rPr>
          <w:rStyle w:val="FootnoteReference"/>
        </w:rPr>
        <w:footnoteRef/>
      </w:r>
      <w:r>
        <w:t xml:space="preserve"> Goulburn Valley Water is the only water business to have such a clause (clause 7) in its determination at the time this guideline was published.</w:t>
      </w:r>
    </w:p>
  </w:footnote>
  <w:footnote w:id="5">
    <w:p w14:paraId="6056ADF0" w14:textId="4AEC1AFF" w:rsidR="003B6EEA" w:rsidRDefault="003B6EEA" w:rsidP="003B6E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022F">
        <w:t>U</w:t>
      </w:r>
      <w:r>
        <w:t xml:space="preserve">ncertain and unforeseen events </w:t>
      </w:r>
      <w:r w:rsidR="00F03A22">
        <w:t>are</w:t>
      </w:r>
      <w:r>
        <w:t xml:space="preserve"> covered </w:t>
      </w:r>
      <w:r w:rsidR="009E022F">
        <w:t xml:space="preserve">under either </w:t>
      </w:r>
      <w:r>
        <w:t xml:space="preserve">clause 3 </w:t>
      </w:r>
      <w:r w:rsidR="009E022F">
        <w:t xml:space="preserve">or 4 </w:t>
      </w:r>
      <w:r>
        <w:t xml:space="preserve">of </w:t>
      </w:r>
      <w:r w:rsidR="009E022F">
        <w:t xml:space="preserve">a </w:t>
      </w:r>
      <w:r>
        <w:t>determination.</w:t>
      </w:r>
    </w:p>
  </w:footnote>
  <w:footnote w:id="6">
    <w:p w14:paraId="785BC599" w14:textId="3A7A665B" w:rsidR="003B6EEA" w:rsidRDefault="003B6EEA" w:rsidP="003B6E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C6D9A">
        <w:t>M</w:t>
      </w:r>
      <w:r>
        <w:t xml:space="preserve">aterial error or unintended consequences </w:t>
      </w:r>
      <w:r w:rsidR="00B466E3">
        <w:t>are</w:t>
      </w:r>
      <w:r>
        <w:t xml:space="preserve"> covered </w:t>
      </w:r>
      <w:r w:rsidR="004C6D9A">
        <w:t>under either</w:t>
      </w:r>
      <w:r>
        <w:t xml:space="preserve"> clause 4</w:t>
      </w:r>
      <w:r w:rsidR="004C6D9A">
        <w:t xml:space="preserve"> or 5</w:t>
      </w:r>
      <w:r>
        <w:t xml:space="preserve"> of </w:t>
      </w:r>
      <w:r w:rsidR="004C6D9A">
        <w:t>a</w:t>
      </w:r>
      <w:r>
        <w:t xml:space="preserve"> determination.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F21D3" w14:textId="7E5AFA85" w:rsidR="008E5CAD" w:rsidRDefault="00A90A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49C5B1" wp14:editId="31892D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73493398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69B31" w14:textId="13EC830A" w:rsidR="00A90AEA" w:rsidRPr="00A90AEA" w:rsidRDefault="00A90AEA" w:rsidP="00A90A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A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9C5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" filled="f" stroked="f">
              <v:textbox style="mso-fit-shape-to-text:t" inset="0,15pt,0,0">
                <w:txbxContent>
                  <w:p w14:paraId="52369B31" w14:textId="13EC830A" w:rsidR="00A90AEA" w:rsidRPr="00A90AEA" w:rsidRDefault="00A90AEA" w:rsidP="00A90A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AE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2910" w14:textId="6B590800" w:rsidR="003A30F3" w:rsidRPr="00633068" w:rsidRDefault="00A90AEA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194D41F" wp14:editId="6F519146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8013778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CD82B" w14:textId="37BDA677" w:rsidR="00A90AEA" w:rsidRPr="00A90AEA" w:rsidRDefault="00A90AEA" w:rsidP="00A90A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A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4D4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43.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" filled="f" stroked="f">
              <v:textbox style="mso-fit-shape-to-text:t" inset="0,15pt,0,0">
                <w:txbxContent>
                  <w:p w14:paraId="10BCD82B" w14:textId="37BDA677" w:rsidR="00A90AEA" w:rsidRPr="00A90AEA" w:rsidRDefault="00A90AEA" w:rsidP="00A90A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AE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440D7" w14:textId="139A7CA6" w:rsidR="000E4F95" w:rsidRDefault="00A90AEA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8ACAA92" wp14:editId="756CB1FB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1226027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5B7B4" w14:textId="2105751F" w:rsidR="00A90AEA" w:rsidRPr="00A90AEA" w:rsidRDefault="00A90AEA" w:rsidP="00A90A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90A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CAA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43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" filled="f" stroked="f">
              <v:textbox style="mso-fit-shape-to-text:t" inset="0,15pt,0,0">
                <w:txbxContent>
                  <w:p w14:paraId="6B25B7B4" w14:textId="2105751F" w:rsidR="00A90AEA" w:rsidRPr="00A90AEA" w:rsidRDefault="00A90AEA" w:rsidP="00A90A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90AE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4F95">
      <w:rPr>
        <w:noProof/>
        <w:lang w:eastAsia="en-AU"/>
      </w:rPr>
      <w:drawing>
        <wp:anchor distT="0" distB="180340" distL="114300" distR="114300" simplePos="0" relativeHeight="251658240" behindDoc="0" locked="0" layoutInCell="1" allowOverlap="1" wp14:anchorId="13C193A3" wp14:editId="04499A94">
          <wp:simplePos x="0" y="0"/>
          <wp:positionH relativeFrom="column">
            <wp:posOffset>8890</wp:posOffset>
          </wp:positionH>
          <wp:positionV relativeFrom="paragraph">
            <wp:posOffset>276860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6BE5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204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FE7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6A6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DDA00D3"/>
    <w:multiLevelType w:val="hybridMultilevel"/>
    <w:tmpl w:val="9D149F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05284">
    <w:abstractNumId w:val="9"/>
  </w:num>
  <w:num w:numId="2" w16cid:durableId="486015555">
    <w:abstractNumId w:val="7"/>
  </w:num>
  <w:num w:numId="3" w16cid:durableId="174613749">
    <w:abstractNumId w:val="6"/>
  </w:num>
  <w:num w:numId="4" w16cid:durableId="873350854">
    <w:abstractNumId w:val="5"/>
  </w:num>
  <w:num w:numId="5" w16cid:durableId="489979709">
    <w:abstractNumId w:val="4"/>
  </w:num>
  <w:num w:numId="6" w16cid:durableId="971256431">
    <w:abstractNumId w:val="8"/>
  </w:num>
  <w:num w:numId="7" w16cid:durableId="1728071738">
    <w:abstractNumId w:val="3"/>
  </w:num>
  <w:num w:numId="8" w16cid:durableId="1469203188">
    <w:abstractNumId w:val="2"/>
  </w:num>
  <w:num w:numId="9" w16cid:durableId="805198388">
    <w:abstractNumId w:val="1"/>
  </w:num>
  <w:num w:numId="10" w16cid:durableId="1030227784">
    <w:abstractNumId w:val="21"/>
  </w:num>
  <w:num w:numId="11" w16cid:durableId="1964916906">
    <w:abstractNumId w:val="16"/>
  </w:num>
  <w:num w:numId="12" w16cid:durableId="20629026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5603447">
    <w:abstractNumId w:val="0"/>
  </w:num>
  <w:num w:numId="14" w16cid:durableId="2086999106">
    <w:abstractNumId w:val="16"/>
  </w:num>
  <w:num w:numId="15" w16cid:durableId="334113369">
    <w:abstractNumId w:val="17"/>
  </w:num>
  <w:num w:numId="16" w16cid:durableId="1503397391">
    <w:abstractNumId w:val="11"/>
  </w:num>
  <w:num w:numId="17" w16cid:durableId="1062097816">
    <w:abstractNumId w:val="22"/>
  </w:num>
  <w:num w:numId="18" w16cid:durableId="782503013">
    <w:abstractNumId w:val="22"/>
  </w:num>
  <w:num w:numId="19" w16cid:durableId="1983776012">
    <w:abstractNumId w:val="18"/>
  </w:num>
  <w:num w:numId="20" w16cid:durableId="1017924559">
    <w:abstractNumId w:val="13"/>
  </w:num>
  <w:num w:numId="21" w16cid:durableId="1174688282">
    <w:abstractNumId w:val="24"/>
  </w:num>
  <w:num w:numId="22" w16cid:durableId="1428768678">
    <w:abstractNumId w:val="26"/>
  </w:num>
  <w:num w:numId="23" w16cid:durableId="1785608614">
    <w:abstractNumId w:val="12"/>
  </w:num>
  <w:num w:numId="24" w16cid:durableId="191723840">
    <w:abstractNumId w:val="30"/>
  </w:num>
  <w:num w:numId="25" w16cid:durableId="1838185950">
    <w:abstractNumId w:val="25"/>
  </w:num>
  <w:num w:numId="26" w16cid:durableId="938484584">
    <w:abstractNumId w:val="27"/>
  </w:num>
  <w:num w:numId="27" w16cid:durableId="706292211">
    <w:abstractNumId w:val="15"/>
  </w:num>
  <w:num w:numId="28" w16cid:durableId="724371814">
    <w:abstractNumId w:val="20"/>
  </w:num>
  <w:num w:numId="29" w16cid:durableId="1181311524">
    <w:abstractNumId w:val="19"/>
  </w:num>
  <w:num w:numId="30" w16cid:durableId="1740253692">
    <w:abstractNumId w:val="14"/>
  </w:num>
  <w:num w:numId="31" w16cid:durableId="662392505">
    <w:abstractNumId w:val="23"/>
  </w:num>
  <w:num w:numId="32" w16cid:durableId="584415800">
    <w:abstractNumId w:val="10"/>
  </w:num>
  <w:num w:numId="33" w16cid:durableId="6811313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4072548">
    <w:abstractNumId w:val="29"/>
  </w:num>
  <w:num w:numId="35" w16cid:durableId="1304892323">
    <w:abstractNumId w:val="21"/>
  </w:num>
  <w:num w:numId="36" w16cid:durableId="1453742422">
    <w:abstractNumId w:val="21"/>
  </w:num>
  <w:num w:numId="37" w16cid:durableId="275868350">
    <w:abstractNumId w:val="21"/>
  </w:num>
  <w:num w:numId="38" w16cid:durableId="1249801924">
    <w:abstractNumId w:val="21"/>
  </w:num>
  <w:num w:numId="39" w16cid:durableId="212736834">
    <w:abstractNumId w:val="28"/>
  </w:num>
  <w:num w:numId="40" w16cid:durableId="1078672946">
    <w:abstractNumId w:val="21"/>
  </w:num>
  <w:num w:numId="41" w16cid:durableId="183329812">
    <w:abstractNumId w:val="21"/>
  </w:num>
  <w:num w:numId="42" w16cid:durableId="14455405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EA"/>
    <w:rsid w:val="000046BD"/>
    <w:rsid w:val="00007E43"/>
    <w:rsid w:val="00015588"/>
    <w:rsid w:val="00026FFE"/>
    <w:rsid w:val="000337A0"/>
    <w:rsid w:val="00033B7B"/>
    <w:rsid w:val="00036EAA"/>
    <w:rsid w:val="000518F3"/>
    <w:rsid w:val="00055B01"/>
    <w:rsid w:val="000566E0"/>
    <w:rsid w:val="0006051F"/>
    <w:rsid w:val="00062AE4"/>
    <w:rsid w:val="00063E76"/>
    <w:rsid w:val="000666B0"/>
    <w:rsid w:val="00067DD9"/>
    <w:rsid w:val="0008016C"/>
    <w:rsid w:val="00081820"/>
    <w:rsid w:val="00090696"/>
    <w:rsid w:val="00092D48"/>
    <w:rsid w:val="00097BE6"/>
    <w:rsid w:val="000A1292"/>
    <w:rsid w:val="000A3186"/>
    <w:rsid w:val="000A759D"/>
    <w:rsid w:val="000A7FD9"/>
    <w:rsid w:val="000B543B"/>
    <w:rsid w:val="000C0669"/>
    <w:rsid w:val="000C110D"/>
    <w:rsid w:val="000D34FD"/>
    <w:rsid w:val="000D4547"/>
    <w:rsid w:val="000E0DB3"/>
    <w:rsid w:val="000E3FDC"/>
    <w:rsid w:val="000E4F95"/>
    <w:rsid w:val="000F0909"/>
    <w:rsid w:val="000F2A10"/>
    <w:rsid w:val="00101CBD"/>
    <w:rsid w:val="00102044"/>
    <w:rsid w:val="00105220"/>
    <w:rsid w:val="00106608"/>
    <w:rsid w:val="00115E34"/>
    <w:rsid w:val="00130296"/>
    <w:rsid w:val="00153081"/>
    <w:rsid w:val="00160F48"/>
    <w:rsid w:val="00181776"/>
    <w:rsid w:val="00183635"/>
    <w:rsid w:val="00184AFA"/>
    <w:rsid w:val="00184CEF"/>
    <w:rsid w:val="001869B0"/>
    <w:rsid w:val="00187ACF"/>
    <w:rsid w:val="00193F90"/>
    <w:rsid w:val="00197826"/>
    <w:rsid w:val="001A4ACF"/>
    <w:rsid w:val="001B2EEC"/>
    <w:rsid w:val="001C0D4F"/>
    <w:rsid w:val="001C750A"/>
    <w:rsid w:val="001D07CD"/>
    <w:rsid w:val="001D5105"/>
    <w:rsid w:val="001D77FE"/>
    <w:rsid w:val="001E11F9"/>
    <w:rsid w:val="001E1246"/>
    <w:rsid w:val="001E3CE3"/>
    <w:rsid w:val="001E5EB9"/>
    <w:rsid w:val="001F2A08"/>
    <w:rsid w:val="001F3481"/>
    <w:rsid w:val="001F3997"/>
    <w:rsid w:val="001F64A3"/>
    <w:rsid w:val="00202814"/>
    <w:rsid w:val="00204C88"/>
    <w:rsid w:val="002056BA"/>
    <w:rsid w:val="00213D8A"/>
    <w:rsid w:val="00223FF9"/>
    <w:rsid w:val="0022708E"/>
    <w:rsid w:val="00227EEE"/>
    <w:rsid w:val="00232581"/>
    <w:rsid w:val="002424A0"/>
    <w:rsid w:val="002469E2"/>
    <w:rsid w:val="00251145"/>
    <w:rsid w:val="00264D4C"/>
    <w:rsid w:val="002668DB"/>
    <w:rsid w:val="002750C4"/>
    <w:rsid w:val="0028248D"/>
    <w:rsid w:val="00287DAC"/>
    <w:rsid w:val="00292952"/>
    <w:rsid w:val="002966CE"/>
    <w:rsid w:val="002A059D"/>
    <w:rsid w:val="002B0F92"/>
    <w:rsid w:val="002C2ADF"/>
    <w:rsid w:val="002D3B02"/>
    <w:rsid w:val="002D682B"/>
    <w:rsid w:val="002D706F"/>
    <w:rsid w:val="002E3170"/>
    <w:rsid w:val="002E48AC"/>
    <w:rsid w:val="002F0483"/>
    <w:rsid w:val="002F6089"/>
    <w:rsid w:val="00307957"/>
    <w:rsid w:val="003146C4"/>
    <w:rsid w:val="00317C67"/>
    <w:rsid w:val="003213F8"/>
    <w:rsid w:val="00336D7B"/>
    <w:rsid w:val="00344D56"/>
    <w:rsid w:val="00347F0D"/>
    <w:rsid w:val="00353663"/>
    <w:rsid w:val="00355368"/>
    <w:rsid w:val="00360763"/>
    <w:rsid w:val="00360B72"/>
    <w:rsid w:val="00375CBF"/>
    <w:rsid w:val="00375EFC"/>
    <w:rsid w:val="00383122"/>
    <w:rsid w:val="003837CC"/>
    <w:rsid w:val="00384397"/>
    <w:rsid w:val="00386E6C"/>
    <w:rsid w:val="003904B9"/>
    <w:rsid w:val="00394187"/>
    <w:rsid w:val="00395CFE"/>
    <w:rsid w:val="003961F5"/>
    <w:rsid w:val="003A130B"/>
    <w:rsid w:val="003A16E1"/>
    <w:rsid w:val="003A2748"/>
    <w:rsid w:val="003A30F3"/>
    <w:rsid w:val="003A71ED"/>
    <w:rsid w:val="003B3999"/>
    <w:rsid w:val="003B5AB1"/>
    <w:rsid w:val="003B6EEA"/>
    <w:rsid w:val="003C2607"/>
    <w:rsid w:val="003C39F4"/>
    <w:rsid w:val="003D0BCD"/>
    <w:rsid w:val="003D41E7"/>
    <w:rsid w:val="003D4F7F"/>
    <w:rsid w:val="003E09B9"/>
    <w:rsid w:val="003F1961"/>
    <w:rsid w:val="003F2071"/>
    <w:rsid w:val="004064CD"/>
    <w:rsid w:val="00414AB9"/>
    <w:rsid w:val="004204AC"/>
    <w:rsid w:val="004207BD"/>
    <w:rsid w:val="0043066B"/>
    <w:rsid w:val="004309BF"/>
    <w:rsid w:val="00433A6E"/>
    <w:rsid w:val="00436E60"/>
    <w:rsid w:val="0044062D"/>
    <w:rsid w:val="004558CC"/>
    <w:rsid w:val="0046172A"/>
    <w:rsid w:val="004626B0"/>
    <w:rsid w:val="0046281F"/>
    <w:rsid w:val="0046312A"/>
    <w:rsid w:val="00465A39"/>
    <w:rsid w:val="004701D5"/>
    <w:rsid w:val="00472EA9"/>
    <w:rsid w:val="00474670"/>
    <w:rsid w:val="00474C1C"/>
    <w:rsid w:val="00475EC8"/>
    <w:rsid w:val="00480A06"/>
    <w:rsid w:val="00481F4A"/>
    <w:rsid w:val="00484F2D"/>
    <w:rsid w:val="004855CE"/>
    <w:rsid w:val="0048685B"/>
    <w:rsid w:val="00495E2E"/>
    <w:rsid w:val="00496CF9"/>
    <w:rsid w:val="004A3CCB"/>
    <w:rsid w:val="004B4EB6"/>
    <w:rsid w:val="004C6D9A"/>
    <w:rsid w:val="004E0FF2"/>
    <w:rsid w:val="004E1A82"/>
    <w:rsid w:val="004E1D29"/>
    <w:rsid w:val="004E2022"/>
    <w:rsid w:val="004E7E75"/>
    <w:rsid w:val="0050056F"/>
    <w:rsid w:val="0050064B"/>
    <w:rsid w:val="005014C6"/>
    <w:rsid w:val="00510B23"/>
    <w:rsid w:val="00515177"/>
    <w:rsid w:val="005266F4"/>
    <w:rsid w:val="00532706"/>
    <w:rsid w:val="005356E5"/>
    <w:rsid w:val="00541F9A"/>
    <w:rsid w:val="00545E3C"/>
    <w:rsid w:val="00556A64"/>
    <w:rsid w:val="00563079"/>
    <w:rsid w:val="00563AD8"/>
    <w:rsid w:val="00564BE8"/>
    <w:rsid w:val="00570E5B"/>
    <w:rsid w:val="00576147"/>
    <w:rsid w:val="00580132"/>
    <w:rsid w:val="00586A60"/>
    <w:rsid w:val="00591B6D"/>
    <w:rsid w:val="005A1443"/>
    <w:rsid w:val="005A382C"/>
    <w:rsid w:val="005B17D7"/>
    <w:rsid w:val="005B3A65"/>
    <w:rsid w:val="005C2804"/>
    <w:rsid w:val="005C6E04"/>
    <w:rsid w:val="005D40AF"/>
    <w:rsid w:val="005E2A78"/>
    <w:rsid w:val="005E2E03"/>
    <w:rsid w:val="005E5FCE"/>
    <w:rsid w:val="005F3D90"/>
    <w:rsid w:val="005F5578"/>
    <w:rsid w:val="005F6220"/>
    <w:rsid w:val="00601288"/>
    <w:rsid w:val="00603490"/>
    <w:rsid w:val="00615C49"/>
    <w:rsid w:val="00630D63"/>
    <w:rsid w:val="00630F4E"/>
    <w:rsid w:val="00633068"/>
    <w:rsid w:val="0063494B"/>
    <w:rsid w:val="0066366E"/>
    <w:rsid w:val="00666190"/>
    <w:rsid w:val="00667FED"/>
    <w:rsid w:val="00673C19"/>
    <w:rsid w:val="006817B0"/>
    <w:rsid w:val="006851CB"/>
    <w:rsid w:val="00691CC7"/>
    <w:rsid w:val="00692177"/>
    <w:rsid w:val="00692BAF"/>
    <w:rsid w:val="00696471"/>
    <w:rsid w:val="006A22F6"/>
    <w:rsid w:val="006B65EB"/>
    <w:rsid w:val="006B6625"/>
    <w:rsid w:val="006B7573"/>
    <w:rsid w:val="006C2B27"/>
    <w:rsid w:val="006C4904"/>
    <w:rsid w:val="006C5B7C"/>
    <w:rsid w:val="006D0A5E"/>
    <w:rsid w:val="006D0EBF"/>
    <w:rsid w:val="006D4CD9"/>
    <w:rsid w:val="006E6549"/>
    <w:rsid w:val="006E6B2B"/>
    <w:rsid w:val="006F29EA"/>
    <w:rsid w:val="006F3D19"/>
    <w:rsid w:val="00703C67"/>
    <w:rsid w:val="00707B2F"/>
    <w:rsid w:val="00710792"/>
    <w:rsid w:val="00711BA5"/>
    <w:rsid w:val="00713141"/>
    <w:rsid w:val="0071799F"/>
    <w:rsid w:val="00717CCA"/>
    <w:rsid w:val="007202C6"/>
    <w:rsid w:val="00723853"/>
    <w:rsid w:val="00740720"/>
    <w:rsid w:val="00747563"/>
    <w:rsid w:val="00757301"/>
    <w:rsid w:val="00764333"/>
    <w:rsid w:val="00770EBD"/>
    <w:rsid w:val="00772EB1"/>
    <w:rsid w:val="00781227"/>
    <w:rsid w:val="00782E55"/>
    <w:rsid w:val="00783AA7"/>
    <w:rsid w:val="00784DEB"/>
    <w:rsid w:val="00792B10"/>
    <w:rsid w:val="00796928"/>
    <w:rsid w:val="007A3551"/>
    <w:rsid w:val="007A5734"/>
    <w:rsid w:val="007B565F"/>
    <w:rsid w:val="007B6C8C"/>
    <w:rsid w:val="007C7E2D"/>
    <w:rsid w:val="007D2F16"/>
    <w:rsid w:val="007D495A"/>
    <w:rsid w:val="007E1FC4"/>
    <w:rsid w:val="007E2CD3"/>
    <w:rsid w:val="007E5917"/>
    <w:rsid w:val="007F1ABC"/>
    <w:rsid w:val="00805CEB"/>
    <w:rsid w:val="00822D48"/>
    <w:rsid w:val="008332F5"/>
    <w:rsid w:val="0083407B"/>
    <w:rsid w:val="00845F3F"/>
    <w:rsid w:val="00856B4B"/>
    <w:rsid w:val="00862C71"/>
    <w:rsid w:val="00865ECE"/>
    <w:rsid w:val="00870C47"/>
    <w:rsid w:val="00873C0B"/>
    <w:rsid w:val="00881E07"/>
    <w:rsid w:val="00882783"/>
    <w:rsid w:val="008831D7"/>
    <w:rsid w:val="008904A3"/>
    <w:rsid w:val="008906C2"/>
    <w:rsid w:val="008951E2"/>
    <w:rsid w:val="008A55CC"/>
    <w:rsid w:val="008A7A8E"/>
    <w:rsid w:val="008B5355"/>
    <w:rsid w:val="008B5A78"/>
    <w:rsid w:val="008B6874"/>
    <w:rsid w:val="008B69FA"/>
    <w:rsid w:val="008C1818"/>
    <w:rsid w:val="008C1F02"/>
    <w:rsid w:val="008D2C44"/>
    <w:rsid w:val="008D3BF4"/>
    <w:rsid w:val="008D5E13"/>
    <w:rsid w:val="008D5EC3"/>
    <w:rsid w:val="008E1265"/>
    <w:rsid w:val="008E5CAD"/>
    <w:rsid w:val="008F193D"/>
    <w:rsid w:val="008F30D8"/>
    <w:rsid w:val="008F7087"/>
    <w:rsid w:val="00901229"/>
    <w:rsid w:val="00902C11"/>
    <w:rsid w:val="009058B1"/>
    <w:rsid w:val="00910624"/>
    <w:rsid w:val="00916721"/>
    <w:rsid w:val="00916D3E"/>
    <w:rsid w:val="009209A4"/>
    <w:rsid w:val="009230CE"/>
    <w:rsid w:val="00935EDD"/>
    <w:rsid w:val="00943BDE"/>
    <w:rsid w:val="00944FD7"/>
    <w:rsid w:val="00946891"/>
    <w:rsid w:val="0095334C"/>
    <w:rsid w:val="00961E6D"/>
    <w:rsid w:val="009650E4"/>
    <w:rsid w:val="009804DD"/>
    <w:rsid w:val="00986CF3"/>
    <w:rsid w:val="009A3C31"/>
    <w:rsid w:val="009A3E92"/>
    <w:rsid w:val="009A4DB9"/>
    <w:rsid w:val="009A66B6"/>
    <w:rsid w:val="009B10AF"/>
    <w:rsid w:val="009B15FE"/>
    <w:rsid w:val="009B3ECA"/>
    <w:rsid w:val="009B583F"/>
    <w:rsid w:val="009C3565"/>
    <w:rsid w:val="009D190A"/>
    <w:rsid w:val="009E022F"/>
    <w:rsid w:val="009E15D6"/>
    <w:rsid w:val="009E2C7E"/>
    <w:rsid w:val="009E4FA5"/>
    <w:rsid w:val="009F31EF"/>
    <w:rsid w:val="00A07C4E"/>
    <w:rsid w:val="00A1031F"/>
    <w:rsid w:val="00A11430"/>
    <w:rsid w:val="00A201DB"/>
    <w:rsid w:val="00A27C06"/>
    <w:rsid w:val="00A27D94"/>
    <w:rsid w:val="00A36E4A"/>
    <w:rsid w:val="00A52E7A"/>
    <w:rsid w:val="00A672AE"/>
    <w:rsid w:val="00A67A25"/>
    <w:rsid w:val="00A763A8"/>
    <w:rsid w:val="00A822FA"/>
    <w:rsid w:val="00A90872"/>
    <w:rsid w:val="00A90A92"/>
    <w:rsid w:val="00A90AEA"/>
    <w:rsid w:val="00A93CAF"/>
    <w:rsid w:val="00A953FE"/>
    <w:rsid w:val="00A95F79"/>
    <w:rsid w:val="00A969F5"/>
    <w:rsid w:val="00AA5609"/>
    <w:rsid w:val="00AA5844"/>
    <w:rsid w:val="00AB0B67"/>
    <w:rsid w:val="00AB4A74"/>
    <w:rsid w:val="00AC79DE"/>
    <w:rsid w:val="00AD1AA8"/>
    <w:rsid w:val="00AD29CB"/>
    <w:rsid w:val="00AD2E14"/>
    <w:rsid w:val="00AD4092"/>
    <w:rsid w:val="00AE03FA"/>
    <w:rsid w:val="00AE0C8F"/>
    <w:rsid w:val="00AE2C4D"/>
    <w:rsid w:val="00AE5264"/>
    <w:rsid w:val="00AE53BD"/>
    <w:rsid w:val="00AF2EBF"/>
    <w:rsid w:val="00AF63AC"/>
    <w:rsid w:val="00B0162B"/>
    <w:rsid w:val="00B027ED"/>
    <w:rsid w:val="00B04857"/>
    <w:rsid w:val="00B11F38"/>
    <w:rsid w:val="00B21A51"/>
    <w:rsid w:val="00B234BD"/>
    <w:rsid w:val="00B255DF"/>
    <w:rsid w:val="00B37A15"/>
    <w:rsid w:val="00B42A2E"/>
    <w:rsid w:val="00B4590D"/>
    <w:rsid w:val="00B466E3"/>
    <w:rsid w:val="00B4686C"/>
    <w:rsid w:val="00B503C2"/>
    <w:rsid w:val="00B52E6C"/>
    <w:rsid w:val="00B54233"/>
    <w:rsid w:val="00B6173A"/>
    <w:rsid w:val="00B64051"/>
    <w:rsid w:val="00B655D9"/>
    <w:rsid w:val="00B70654"/>
    <w:rsid w:val="00B71F37"/>
    <w:rsid w:val="00B72AB0"/>
    <w:rsid w:val="00B739D1"/>
    <w:rsid w:val="00B76645"/>
    <w:rsid w:val="00B8020F"/>
    <w:rsid w:val="00B91109"/>
    <w:rsid w:val="00B9332C"/>
    <w:rsid w:val="00BA430D"/>
    <w:rsid w:val="00BA4DB7"/>
    <w:rsid w:val="00BB60A4"/>
    <w:rsid w:val="00BC0E1F"/>
    <w:rsid w:val="00BC1F60"/>
    <w:rsid w:val="00BC7FEE"/>
    <w:rsid w:val="00BD0567"/>
    <w:rsid w:val="00BD19DB"/>
    <w:rsid w:val="00BD24AA"/>
    <w:rsid w:val="00BD3BD8"/>
    <w:rsid w:val="00BD6DDE"/>
    <w:rsid w:val="00BE12EF"/>
    <w:rsid w:val="00BE5486"/>
    <w:rsid w:val="00BF0C95"/>
    <w:rsid w:val="00BF252C"/>
    <w:rsid w:val="00C01A9E"/>
    <w:rsid w:val="00C02900"/>
    <w:rsid w:val="00C03B3C"/>
    <w:rsid w:val="00C12A6B"/>
    <w:rsid w:val="00C12E2E"/>
    <w:rsid w:val="00C147DF"/>
    <w:rsid w:val="00C15A08"/>
    <w:rsid w:val="00C313B7"/>
    <w:rsid w:val="00C34EF4"/>
    <w:rsid w:val="00C36028"/>
    <w:rsid w:val="00C36E8A"/>
    <w:rsid w:val="00C41F42"/>
    <w:rsid w:val="00C43C6A"/>
    <w:rsid w:val="00C45BF3"/>
    <w:rsid w:val="00C46BD1"/>
    <w:rsid w:val="00C47364"/>
    <w:rsid w:val="00C576C7"/>
    <w:rsid w:val="00C64785"/>
    <w:rsid w:val="00C753B8"/>
    <w:rsid w:val="00C769E5"/>
    <w:rsid w:val="00C80CDA"/>
    <w:rsid w:val="00C848F1"/>
    <w:rsid w:val="00C9334E"/>
    <w:rsid w:val="00C9710C"/>
    <w:rsid w:val="00CA4FF4"/>
    <w:rsid w:val="00CA7849"/>
    <w:rsid w:val="00CB3107"/>
    <w:rsid w:val="00CB5495"/>
    <w:rsid w:val="00CB7FB8"/>
    <w:rsid w:val="00CC7CA1"/>
    <w:rsid w:val="00CE324D"/>
    <w:rsid w:val="00CF2B15"/>
    <w:rsid w:val="00CF33F6"/>
    <w:rsid w:val="00CF34D6"/>
    <w:rsid w:val="00D00097"/>
    <w:rsid w:val="00D02383"/>
    <w:rsid w:val="00D041C5"/>
    <w:rsid w:val="00D051F4"/>
    <w:rsid w:val="00D215D2"/>
    <w:rsid w:val="00D23A3D"/>
    <w:rsid w:val="00D30A85"/>
    <w:rsid w:val="00D30FA8"/>
    <w:rsid w:val="00D3670C"/>
    <w:rsid w:val="00D61DC9"/>
    <w:rsid w:val="00D62BD4"/>
    <w:rsid w:val="00D6499F"/>
    <w:rsid w:val="00D70C7D"/>
    <w:rsid w:val="00D76B43"/>
    <w:rsid w:val="00DA005C"/>
    <w:rsid w:val="00DA3CC3"/>
    <w:rsid w:val="00DA3DB7"/>
    <w:rsid w:val="00DA5194"/>
    <w:rsid w:val="00DA55F8"/>
    <w:rsid w:val="00DB5E56"/>
    <w:rsid w:val="00DB79C6"/>
    <w:rsid w:val="00DC1588"/>
    <w:rsid w:val="00DC2B59"/>
    <w:rsid w:val="00DC3BE7"/>
    <w:rsid w:val="00DE129D"/>
    <w:rsid w:val="00DE4807"/>
    <w:rsid w:val="00DE4D6D"/>
    <w:rsid w:val="00DF61B8"/>
    <w:rsid w:val="00E01DE1"/>
    <w:rsid w:val="00E03B00"/>
    <w:rsid w:val="00E123AE"/>
    <w:rsid w:val="00E31A23"/>
    <w:rsid w:val="00E45E4D"/>
    <w:rsid w:val="00E522E1"/>
    <w:rsid w:val="00E5390E"/>
    <w:rsid w:val="00E54D73"/>
    <w:rsid w:val="00E561D9"/>
    <w:rsid w:val="00E57AD2"/>
    <w:rsid w:val="00E62036"/>
    <w:rsid w:val="00E640D1"/>
    <w:rsid w:val="00E667B1"/>
    <w:rsid w:val="00E736EA"/>
    <w:rsid w:val="00E74739"/>
    <w:rsid w:val="00E7689F"/>
    <w:rsid w:val="00E9393A"/>
    <w:rsid w:val="00E96A82"/>
    <w:rsid w:val="00EA23C9"/>
    <w:rsid w:val="00EA47A3"/>
    <w:rsid w:val="00EA79FD"/>
    <w:rsid w:val="00EB4C3D"/>
    <w:rsid w:val="00EB6E73"/>
    <w:rsid w:val="00EE0631"/>
    <w:rsid w:val="00EE1B89"/>
    <w:rsid w:val="00EE3779"/>
    <w:rsid w:val="00EE5653"/>
    <w:rsid w:val="00EE5935"/>
    <w:rsid w:val="00EE6EBB"/>
    <w:rsid w:val="00EF19E6"/>
    <w:rsid w:val="00EF6B98"/>
    <w:rsid w:val="00F03A22"/>
    <w:rsid w:val="00F06B55"/>
    <w:rsid w:val="00F1017E"/>
    <w:rsid w:val="00F101F3"/>
    <w:rsid w:val="00F1656A"/>
    <w:rsid w:val="00F167E6"/>
    <w:rsid w:val="00F27161"/>
    <w:rsid w:val="00F274F6"/>
    <w:rsid w:val="00F27D36"/>
    <w:rsid w:val="00F352B7"/>
    <w:rsid w:val="00F51651"/>
    <w:rsid w:val="00F528CE"/>
    <w:rsid w:val="00F60D22"/>
    <w:rsid w:val="00F61D89"/>
    <w:rsid w:val="00F666F0"/>
    <w:rsid w:val="00F804FF"/>
    <w:rsid w:val="00F810A6"/>
    <w:rsid w:val="00F81408"/>
    <w:rsid w:val="00F81866"/>
    <w:rsid w:val="00F83935"/>
    <w:rsid w:val="00F84CD1"/>
    <w:rsid w:val="00F912E7"/>
    <w:rsid w:val="00F963FF"/>
    <w:rsid w:val="00FA43A0"/>
    <w:rsid w:val="00FB1C2C"/>
    <w:rsid w:val="00FB2CF8"/>
    <w:rsid w:val="00FB3C97"/>
    <w:rsid w:val="00FB7C6E"/>
    <w:rsid w:val="00FC2199"/>
    <w:rsid w:val="00FC5279"/>
    <w:rsid w:val="00FC6E2C"/>
    <w:rsid w:val="00FD7A7B"/>
    <w:rsid w:val="00FE077A"/>
    <w:rsid w:val="00FE2FE5"/>
    <w:rsid w:val="00FE3815"/>
    <w:rsid w:val="00FE7814"/>
    <w:rsid w:val="00FF6261"/>
    <w:rsid w:val="00FF72C0"/>
    <w:rsid w:val="0CA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84E31"/>
  <w15:docId w15:val="{100D2C5C-AE50-4B21-BB5D-B52743CD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7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052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204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10204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51517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4626B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10204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51517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51517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51517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20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510B23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15177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A9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AEA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90A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6F3D19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c2f27d-5930-4728-8403-ac6576771050" xsi:nil="true"/>
    <lcf76f155ced4ddcb4097134ff3c332f xmlns="b9be6dad-4359-4fc7-bf0c-fc4c95ae82a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9BAC65051F240BBF124EBFB696157" ma:contentTypeVersion="14" ma:contentTypeDescription="Create a new document." ma:contentTypeScope="" ma:versionID="2e7ea8708e5c8a017fbe0dcbe62a5aea">
  <xsd:schema xmlns:xsd="http://www.w3.org/2001/XMLSchema" xmlns:xs="http://www.w3.org/2001/XMLSchema" xmlns:p="http://schemas.microsoft.com/office/2006/metadata/properties" xmlns:ns2="b9be6dad-4359-4fc7-bf0c-fc4c95ae82ab" xmlns:ns3="1bc2f27d-5930-4728-8403-ac6576771050" targetNamespace="http://schemas.microsoft.com/office/2006/metadata/properties" ma:root="true" ma:fieldsID="552d8f63a01b4713732089267268fe8a" ns2:_="" ns3:_="">
    <xsd:import namespace="b9be6dad-4359-4fc7-bf0c-fc4c95ae82ab"/>
    <xsd:import namespace="1bc2f27d-5930-4728-8403-ac657677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e6dad-4359-4fc7-bf0c-fc4c95ae8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2f27d-5930-4728-8403-ac657677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de73d64-776d-4af4-a06c-5be740b1d765}" ma:internalName="TaxCatchAll" ma:showField="CatchAllData" ma:web="1bc2f27d-5930-4728-8403-ac6576771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06CD-CFCB-4B96-A875-B2A8C47E3D29}">
  <ds:schemaRefs>
    <ds:schemaRef ds:uri="1bc2f27d-5930-4728-8403-ac6576771050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b9be6dad-4359-4fc7-bf0c-fc4c95ae82ab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5B67650-5EAD-4C25-8E00-F19AE5BEE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e6dad-4359-4fc7-bf0c-fc4c95ae82ab"/>
    <ds:schemaRef ds:uri="1bc2f27d-5930-4728-8403-ac657677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A4D66-BA26-44F7-B8E0-9364800E4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45AA5-DC88-469C-84B7-2F6FED1C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942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 3 (2025): Varying a Price Determination (Re-opening)</vt:lpstr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3 (2025): Varying a Price Determination (Re-opening)</dc:title>
  <dc:subject/>
  <dc:creator>Patrick Ho (ESC)</dc:creator>
  <cp:keywords/>
  <dc:description/>
  <cp:lastModifiedBy>Robyn Keely (ESC)</cp:lastModifiedBy>
  <cp:revision>2</cp:revision>
  <cp:lastPrinted>2018-01-08T17:51:00Z</cp:lastPrinted>
  <dcterms:created xsi:type="dcterms:W3CDTF">2025-09-29T06:37:00Z</dcterms:created>
  <dcterms:modified xsi:type="dcterms:W3CDTF">2025-09-29T06:37:00Z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74ec518,2bce33e2,6b5ed81d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c62a3d98-e4c9-4917-991a-0f0276b71296_Enabled">
    <vt:lpwstr>true</vt:lpwstr>
  </property>
  <property fmtid="{D5CDD505-2E9C-101B-9397-08002B2CF9AE}" pid="6" name="MSIP_Label_c62a3d98-e4c9-4917-991a-0f0276b71296_SetDate">
    <vt:lpwstr>2025-09-03T08:43:49Z</vt:lpwstr>
  </property>
  <property fmtid="{D5CDD505-2E9C-101B-9397-08002B2CF9AE}" pid="7" name="MSIP_Label_c62a3d98-e4c9-4917-991a-0f0276b71296_Method">
    <vt:lpwstr>Standard</vt:lpwstr>
  </property>
  <property fmtid="{D5CDD505-2E9C-101B-9397-08002B2CF9AE}" pid="8" name="MSIP_Label_c62a3d98-e4c9-4917-991a-0f0276b71296_Name">
    <vt:lpwstr>OFFICIAL</vt:lpwstr>
  </property>
  <property fmtid="{D5CDD505-2E9C-101B-9397-08002B2CF9AE}" pid="9" name="MSIP_Label_c62a3d98-e4c9-4917-991a-0f0276b71296_SiteId">
    <vt:lpwstr>5f894de5-5651-487a-aaff-5a8c899b254d</vt:lpwstr>
  </property>
  <property fmtid="{D5CDD505-2E9C-101B-9397-08002B2CF9AE}" pid="10" name="MSIP_Label_c62a3d98-e4c9-4917-991a-0f0276b71296_ActionId">
    <vt:lpwstr>33773c83-faf3-4a5f-8669-f291af2659ea</vt:lpwstr>
  </property>
  <property fmtid="{D5CDD505-2E9C-101B-9397-08002B2CF9AE}" pid="11" name="MSIP_Label_c62a3d98-e4c9-4917-991a-0f0276b71296_ContentBits">
    <vt:lpwstr>1</vt:lpwstr>
  </property>
  <property fmtid="{D5CDD505-2E9C-101B-9397-08002B2CF9AE}" pid="12" name="MSIP_Label_c62a3d98-e4c9-4917-991a-0f0276b71296_Tag">
    <vt:lpwstr>10, 3, 0, 1</vt:lpwstr>
  </property>
  <property fmtid="{D5CDD505-2E9C-101B-9397-08002B2CF9AE}" pid="13" name="ContentTypeId">
    <vt:lpwstr>0x010100ACB9BAC65051F240BBF124EBFB696157</vt:lpwstr>
  </property>
  <property fmtid="{D5CDD505-2E9C-101B-9397-08002B2CF9AE}" pid="14" name="MediaServiceImageTags">
    <vt:lpwstr/>
  </property>
  <property fmtid="{D5CDD505-2E9C-101B-9397-08002B2CF9AE}" pid="15" name="GrammarlyDocumentId">
    <vt:lpwstr>17572575-f920-40ab-baba-c7d94f3ed2e9</vt:lpwstr>
  </property>
</Properties>
</file>