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58" w:rsidRPr="00ED788A" w:rsidRDefault="00BF2958" w:rsidP="009E405B">
      <w:pPr>
        <w:spacing w:before="0" w:line="276" w:lineRule="auto"/>
        <w:jc w:val="center"/>
        <w:rPr>
          <w:rFonts w:cs="Arial"/>
          <w:b/>
          <w:sz w:val="22"/>
          <w:u w:val="single"/>
        </w:rPr>
      </w:pPr>
      <w:r w:rsidRPr="00ED788A">
        <w:rPr>
          <w:rFonts w:cs="Arial"/>
          <w:b/>
          <w:sz w:val="22"/>
          <w:u w:val="single"/>
        </w:rPr>
        <w:t>ESSENTIAL SERVICES COMMISSION</w:t>
      </w:r>
    </w:p>
    <w:p w:rsidR="00BF2958" w:rsidRPr="00ED788A" w:rsidRDefault="00BF2958" w:rsidP="009E405B">
      <w:pPr>
        <w:spacing w:before="0" w:line="276" w:lineRule="auto"/>
        <w:jc w:val="center"/>
        <w:rPr>
          <w:rFonts w:cs="Arial"/>
          <w:b/>
          <w:sz w:val="22"/>
          <w:u w:val="single"/>
        </w:rPr>
      </w:pPr>
    </w:p>
    <w:p w:rsidR="00BF2958" w:rsidRPr="00ED788A" w:rsidRDefault="00BF2958" w:rsidP="009E405B">
      <w:pPr>
        <w:spacing w:before="0" w:line="276" w:lineRule="auto"/>
        <w:ind w:left="-284"/>
        <w:jc w:val="center"/>
        <w:rPr>
          <w:rFonts w:cs="Arial"/>
          <w:b/>
          <w:sz w:val="22"/>
          <w:u w:val="single"/>
        </w:rPr>
      </w:pPr>
      <w:r w:rsidRPr="00ED788A">
        <w:rPr>
          <w:rFonts w:cs="Arial"/>
          <w:b/>
          <w:sz w:val="22"/>
          <w:u w:val="single"/>
        </w:rPr>
        <w:t>DECISION</w:t>
      </w:r>
      <w:r w:rsidR="009E405B" w:rsidRPr="00ED788A">
        <w:rPr>
          <w:rFonts w:cs="Arial"/>
          <w:b/>
          <w:sz w:val="22"/>
          <w:u w:val="single"/>
        </w:rPr>
        <w:t xml:space="preserve"> – WATTLY PTY LTD</w:t>
      </w:r>
    </w:p>
    <w:p w:rsidR="00BF2958" w:rsidRPr="00ED788A" w:rsidRDefault="00BF2958" w:rsidP="009E405B">
      <w:pPr>
        <w:spacing w:before="0" w:line="276" w:lineRule="auto"/>
        <w:jc w:val="center"/>
        <w:rPr>
          <w:rFonts w:cs="Arial"/>
          <w:sz w:val="22"/>
        </w:rPr>
      </w:pPr>
    </w:p>
    <w:p w:rsidR="00BF2958" w:rsidRPr="00ED788A" w:rsidRDefault="00BF2958" w:rsidP="00B83EDA">
      <w:pPr>
        <w:autoSpaceDE w:val="0"/>
        <w:autoSpaceDN w:val="0"/>
        <w:adjustRightInd w:val="0"/>
        <w:spacing w:before="0" w:line="276" w:lineRule="auto"/>
        <w:rPr>
          <w:rFonts w:cs="Arial"/>
          <w:sz w:val="22"/>
        </w:rPr>
      </w:pPr>
      <w:r w:rsidRPr="00ED788A">
        <w:rPr>
          <w:rFonts w:cs="Arial"/>
          <w:sz w:val="22"/>
        </w:rPr>
        <w:t xml:space="preserve">The Essential Services Commission (Commission) </w:t>
      </w:r>
      <w:r w:rsidR="00737A65">
        <w:rPr>
          <w:rFonts w:cs="Arial"/>
          <w:sz w:val="22"/>
        </w:rPr>
        <w:t>at its meeting on 27 March 2019, fi</w:t>
      </w:r>
      <w:r w:rsidRPr="00ED788A">
        <w:rPr>
          <w:rFonts w:cs="Arial"/>
          <w:sz w:val="22"/>
        </w:rPr>
        <w:t>nd</w:t>
      </w:r>
      <w:r w:rsidR="00737A65">
        <w:rPr>
          <w:rFonts w:cs="Arial"/>
          <w:sz w:val="22"/>
        </w:rPr>
        <w:t>s</w:t>
      </w:r>
      <w:r w:rsidRPr="00ED788A">
        <w:rPr>
          <w:rFonts w:cs="Arial"/>
          <w:sz w:val="22"/>
        </w:rPr>
        <w:t xml:space="preserve"> </w:t>
      </w:r>
      <w:proofErr w:type="spellStart"/>
      <w:r w:rsidR="000369E8" w:rsidRPr="00ED788A">
        <w:rPr>
          <w:rFonts w:cs="Arial"/>
          <w:sz w:val="22"/>
        </w:rPr>
        <w:t>Wattly</w:t>
      </w:r>
      <w:proofErr w:type="spellEnd"/>
      <w:r w:rsidR="000369E8" w:rsidRPr="00ED788A">
        <w:rPr>
          <w:rFonts w:cs="Arial"/>
          <w:sz w:val="22"/>
        </w:rPr>
        <w:t xml:space="preserve"> Pty Ltd </w:t>
      </w:r>
      <w:r w:rsidR="009E405B" w:rsidRPr="00ED788A">
        <w:rPr>
          <w:rFonts w:cs="Arial"/>
          <w:sz w:val="22"/>
        </w:rPr>
        <w:t>(</w:t>
      </w:r>
      <w:proofErr w:type="spellStart"/>
      <w:r w:rsidR="009E405B" w:rsidRPr="00ED788A">
        <w:rPr>
          <w:rFonts w:cs="Arial"/>
          <w:sz w:val="22"/>
        </w:rPr>
        <w:t>Wattly</w:t>
      </w:r>
      <w:proofErr w:type="spellEnd"/>
      <w:r w:rsidR="009E405B" w:rsidRPr="00ED788A">
        <w:rPr>
          <w:rFonts w:cs="Arial"/>
          <w:sz w:val="22"/>
        </w:rPr>
        <w:t>)</w:t>
      </w:r>
      <w:r w:rsidR="00697382" w:rsidRPr="00ED788A">
        <w:rPr>
          <w:rFonts w:cs="Arial"/>
          <w:sz w:val="22"/>
        </w:rPr>
        <w:t xml:space="preserve">, </w:t>
      </w:r>
      <w:r w:rsidR="00434A9A" w:rsidRPr="00ED788A">
        <w:rPr>
          <w:rFonts w:cs="Arial"/>
          <w:sz w:val="22"/>
        </w:rPr>
        <w:t xml:space="preserve">an </w:t>
      </w:r>
      <w:r w:rsidR="000369E8" w:rsidRPr="00ED788A">
        <w:rPr>
          <w:rFonts w:cs="Arial"/>
          <w:sz w:val="22"/>
        </w:rPr>
        <w:t>Accredited Person</w:t>
      </w:r>
      <w:r w:rsidR="00434A9A" w:rsidRPr="00ED788A">
        <w:rPr>
          <w:rFonts w:cs="Arial"/>
          <w:sz w:val="22"/>
        </w:rPr>
        <w:t>,</w:t>
      </w:r>
      <w:r w:rsidR="000369E8" w:rsidRPr="00ED788A">
        <w:rPr>
          <w:rFonts w:cs="Arial"/>
          <w:sz w:val="22"/>
        </w:rPr>
        <w:t xml:space="preserve"> </w:t>
      </w:r>
      <w:r w:rsidR="00434A9A" w:rsidRPr="00ED788A">
        <w:rPr>
          <w:rFonts w:cs="Arial"/>
          <w:sz w:val="22"/>
        </w:rPr>
        <w:t>number AO666</w:t>
      </w:r>
      <w:r w:rsidR="00697382" w:rsidRPr="00ED788A">
        <w:rPr>
          <w:rFonts w:cs="Arial"/>
          <w:sz w:val="22"/>
        </w:rPr>
        <w:t>,</w:t>
      </w:r>
      <w:r w:rsidRPr="00ED788A">
        <w:rPr>
          <w:rFonts w:cs="Arial"/>
          <w:sz w:val="22"/>
        </w:rPr>
        <w:t xml:space="preserve"> ha</w:t>
      </w:r>
      <w:r w:rsidR="00737A65">
        <w:rPr>
          <w:rFonts w:cs="Arial"/>
          <w:sz w:val="22"/>
        </w:rPr>
        <w:t>d</w:t>
      </w:r>
      <w:r w:rsidRPr="00ED788A">
        <w:rPr>
          <w:rFonts w:cs="Arial"/>
          <w:sz w:val="22"/>
        </w:rPr>
        <w:t xml:space="preserve"> repeatedly but unintentionally created certificates that do not comply with the requirements of the</w:t>
      </w:r>
      <w:r w:rsidRPr="00ED788A">
        <w:rPr>
          <w:rFonts w:cs="Arial"/>
          <w:i/>
          <w:sz w:val="22"/>
        </w:rPr>
        <w:t xml:space="preserve"> Victorian Energy Efficiency Target Act</w:t>
      </w:r>
      <w:r w:rsidRPr="00ED788A">
        <w:rPr>
          <w:rFonts w:cs="Arial"/>
          <w:sz w:val="22"/>
        </w:rPr>
        <w:t xml:space="preserve"> 2007 (VEET Act) and </w:t>
      </w:r>
      <w:r w:rsidRPr="00ED788A">
        <w:rPr>
          <w:rFonts w:cs="Arial"/>
          <w:i/>
          <w:sz w:val="22"/>
        </w:rPr>
        <w:t>Victorian Energy Efficiency Target Regulations</w:t>
      </w:r>
      <w:r w:rsidRPr="00ED788A">
        <w:rPr>
          <w:rFonts w:cs="Arial"/>
          <w:sz w:val="22"/>
        </w:rPr>
        <w:t xml:space="preserve"> 2008</w:t>
      </w:r>
      <w:r w:rsidR="00DD6E85" w:rsidRPr="00ED788A">
        <w:rPr>
          <w:rFonts w:cs="Arial"/>
          <w:sz w:val="22"/>
        </w:rPr>
        <w:t xml:space="preserve"> (2008 Regulations)</w:t>
      </w:r>
      <w:r w:rsidR="00697382" w:rsidRPr="00ED788A">
        <w:rPr>
          <w:rFonts w:cs="Arial"/>
          <w:sz w:val="22"/>
        </w:rPr>
        <w:t xml:space="preserve"> between 1 January 2017 and 30 September 2018</w:t>
      </w:r>
      <w:r w:rsidRPr="00ED788A">
        <w:rPr>
          <w:rFonts w:cs="Arial"/>
          <w:sz w:val="22"/>
        </w:rPr>
        <w:t>.</w:t>
      </w:r>
    </w:p>
    <w:p w:rsidR="00BF2958" w:rsidRPr="00ED788A" w:rsidRDefault="00BF2958" w:rsidP="00B83EDA">
      <w:pPr>
        <w:autoSpaceDE w:val="0"/>
        <w:autoSpaceDN w:val="0"/>
        <w:adjustRightInd w:val="0"/>
        <w:spacing w:before="0" w:line="276" w:lineRule="auto"/>
        <w:rPr>
          <w:rFonts w:cs="Arial"/>
          <w:sz w:val="22"/>
        </w:rPr>
      </w:pPr>
    </w:p>
    <w:p w:rsidR="009E405B" w:rsidRPr="00ED788A" w:rsidRDefault="00403EA9" w:rsidP="00B83EDA">
      <w:pPr>
        <w:autoSpaceDE w:val="0"/>
        <w:autoSpaceDN w:val="0"/>
        <w:adjustRightInd w:val="0"/>
        <w:spacing w:before="0" w:line="276" w:lineRule="auto"/>
        <w:rPr>
          <w:rFonts w:cs="Arial"/>
          <w:sz w:val="22"/>
        </w:rPr>
      </w:pPr>
      <w:r w:rsidRPr="00ED788A">
        <w:rPr>
          <w:rFonts w:cs="Arial"/>
          <w:sz w:val="22"/>
        </w:rPr>
        <w:t xml:space="preserve">After considering </w:t>
      </w:r>
      <w:r w:rsidR="00FE7F10" w:rsidRPr="00ED788A">
        <w:rPr>
          <w:rFonts w:cs="Arial"/>
          <w:sz w:val="22"/>
        </w:rPr>
        <w:t xml:space="preserve">the evidence and submissions from Victorian Energy Upgrade (VEU) staff and </w:t>
      </w:r>
      <w:proofErr w:type="spellStart"/>
      <w:r w:rsidR="00FE7F10" w:rsidRPr="00ED788A">
        <w:rPr>
          <w:rFonts w:cs="Arial"/>
          <w:sz w:val="22"/>
        </w:rPr>
        <w:t>Wattly’s</w:t>
      </w:r>
      <w:proofErr w:type="spellEnd"/>
      <w:r w:rsidR="00FE7F10" w:rsidRPr="00ED788A">
        <w:rPr>
          <w:rFonts w:cs="Arial"/>
          <w:sz w:val="22"/>
        </w:rPr>
        <w:t xml:space="preserve"> directors, </w:t>
      </w:r>
      <w:r w:rsidR="00812D1E" w:rsidRPr="00ED788A">
        <w:rPr>
          <w:rFonts w:cs="Arial"/>
          <w:sz w:val="22"/>
        </w:rPr>
        <w:t>t</w:t>
      </w:r>
      <w:r w:rsidR="00BF2958" w:rsidRPr="00ED788A">
        <w:rPr>
          <w:rFonts w:cs="Arial"/>
          <w:sz w:val="22"/>
        </w:rPr>
        <w:t>he Commission</w:t>
      </w:r>
      <w:r w:rsidR="009E405B" w:rsidRPr="00ED788A">
        <w:rPr>
          <w:rFonts w:cs="Arial"/>
          <w:sz w:val="22"/>
        </w:rPr>
        <w:t>:</w:t>
      </w:r>
    </w:p>
    <w:p w:rsidR="009E405B" w:rsidRPr="00ED788A" w:rsidRDefault="009E405B" w:rsidP="00B83EDA">
      <w:pPr>
        <w:autoSpaceDE w:val="0"/>
        <w:autoSpaceDN w:val="0"/>
        <w:adjustRightInd w:val="0"/>
        <w:spacing w:before="0" w:line="276" w:lineRule="auto"/>
        <w:rPr>
          <w:rFonts w:cs="Arial"/>
          <w:sz w:val="22"/>
        </w:rPr>
      </w:pPr>
      <w:bookmarkStart w:id="0" w:name="_GoBack"/>
      <w:bookmarkEnd w:id="0"/>
    </w:p>
    <w:p w:rsidR="00812D1E" w:rsidRPr="00ED788A" w:rsidRDefault="00812D1E" w:rsidP="00812D1E">
      <w:pPr>
        <w:autoSpaceDE w:val="0"/>
        <w:autoSpaceDN w:val="0"/>
        <w:adjustRightInd w:val="0"/>
        <w:spacing w:before="0" w:line="276" w:lineRule="auto"/>
        <w:ind w:left="567" w:hanging="567"/>
        <w:rPr>
          <w:rFonts w:cs="Arial"/>
          <w:sz w:val="22"/>
        </w:rPr>
      </w:pPr>
      <w:r w:rsidRPr="00ED788A">
        <w:rPr>
          <w:rFonts w:cs="Arial"/>
          <w:sz w:val="22"/>
        </w:rPr>
        <w:t>1.</w:t>
      </w:r>
      <w:r w:rsidRPr="00ED788A">
        <w:rPr>
          <w:rFonts w:cs="Arial"/>
          <w:sz w:val="22"/>
        </w:rPr>
        <w:tab/>
        <w:t xml:space="preserve">Finds that the seven disputed installations </w:t>
      </w:r>
      <w:r w:rsidR="007904D9" w:rsidRPr="00ED788A">
        <w:rPr>
          <w:rFonts w:cs="Arial"/>
          <w:sz w:val="22"/>
        </w:rPr>
        <w:t xml:space="preserve">where </w:t>
      </w:r>
      <w:proofErr w:type="spellStart"/>
      <w:r w:rsidR="007904D9" w:rsidRPr="00ED788A">
        <w:rPr>
          <w:rFonts w:cs="Arial"/>
          <w:sz w:val="22"/>
        </w:rPr>
        <w:t>Wattly</w:t>
      </w:r>
      <w:proofErr w:type="spellEnd"/>
      <w:r w:rsidR="007904D9" w:rsidRPr="00ED788A">
        <w:rPr>
          <w:rFonts w:cs="Arial"/>
          <w:sz w:val="22"/>
        </w:rPr>
        <w:t xml:space="preserve"> created certificates </w:t>
      </w:r>
      <w:r w:rsidR="00CE4BD2">
        <w:rPr>
          <w:rFonts w:cs="Arial"/>
          <w:sz w:val="22"/>
        </w:rPr>
        <w:t xml:space="preserve">(activity </w:t>
      </w:r>
      <w:proofErr w:type="gramStart"/>
      <w:r w:rsidR="00CE4BD2">
        <w:rPr>
          <w:rFonts w:cs="Arial"/>
          <w:sz w:val="22"/>
        </w:rPr>
        <w:t>numbers,</w:t>
      </w:r>
      <w:r w:rsidR="00E32728" w:rsidRPr="00ED788A">
        <w:rPr>
          <w:rFonts w:cs="Arial"/>
          <w:sz w:val="22"/>
        </w:rPr>
        <w:t xml:space="preserve"> </w:t>
      </w:r>
      <w:r w:rsidR="00CE4BD2" w:rsidRPr="00CE4BD2">
        <w:rPr>
          <w:rFonts w:cs="Arial"/>
          <w:sz w:val="22"/>
          <w:highlight w:val="black"/>
        </w:rPr>
        <w:t>…………………………………………………………………………………….</w:t>
      </w:r>
      <w:r w:rsidR="00E32728" w:rsidRPr="00ED788A">
        <w:rPr>
          <w:rFonts w:cs="Arial"/>
          <w:sz w:val="22"/>
        </w:rPr>
        <w:t>)</w:t>
      </w:r>
      <w:proofErr w:type="gramEnd"/>
      <w:r w:rsidR="00E32728" w:rsidRPr="00ED788A">
        <w:rPr>
          <w:rFonts w:cs="Arial"/>
          <w:sz w:val="22"/>
        </w:rPr>
        <w:t xml:space="preserve"> </w:t>
      </w:r>
      <w:r w:rsidR="00514500" w:rsidRPr="00ED788A">
        <w:rPr>
          <w:rFonts w:cs="Arial"/>
          <w:sz w:val="22"/>
        </w:rPr>
        <w:t xml:space="preserve">presented to the Commission for decision </w:t>
      </w:r>
      <w:r w:rsidRPr="00ED788A">
        <w:rPr>
          <w:rFonts w:cs="Arial"/>
          <w:sz w:val="22"/>
        </w:rPr>
        <w:t>were non-compliant.</w:t>
      </w:r>
    </w:p>
    <w:p w:rsidR="00812D1E" w:rsidRPr="00ED788A" w:rsidRDefault="00812D1E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</w:p>
    <w:p w:rsidR="009E405B" w:rsidRPr="00ED788A" w:rsidRDefault="00812D1E" w:rsidP="009E405B">
      <w:pPr>
        <w:autoSpaceDE w:val="0"/>
        <w:autoSpaceDN w:val="0"/>
        <w:adjustRightInd w:val="0"/>
        <w:spacing w:before="0" w:line="276" w:lineRule="auto"/>
        <w:ind w:left="567" w:hanging="567"/>
        <w:rPr>
          <w:rFonts w:cs="Arial"/>
          <w:sz w:val="22"/>
        </w:rPr>
      </w:pPr>
      <w:r w:rsidRPr="00ED788A">
        <w:rPr>
          <w:rFonts w:cs="Arial"/>
          <w:sz w:val="22"/>
        </w:rPr>
        <w:t>2</w:t>
      </w:r>
      <w:r w:rsidR="009E405B" w:rsidRPr="00ED788A">
        <w:rPr>
          <w:rFonts w:cs="Arial"/>
          <w:sz w:val="22"/>
        </w:rPr>
        <w:t>.</w:t>
      </w:r>
      <w:r w:rsidR="009E405B" w:rsidRPr="00ED788A">
        <w:rPr>
          <w:rFonts w:cs="Arial"/>
          <w:sz w:val="22"/>
        </w:rPr>
        <w:tab/>
        <w:t xml:space="preserve">Orders </w:t>
      </w:r>
      <w:proofErr w:type="spellStart"/>
      <w:r w:rsidR="009E405B" w:rsidRPr="00ED788A">
        <w:rPr>
          <w:rFonts w:cs="Arial"/>
          <w:sz w:val="22"/>
        </w:rPr>
        <w:t>Wattly</w:t>
      </w:r>
      <w:proofErr w:type="spellEnd"/>
      <w:r w:rsidR="009E405B" w:rsidRPr="00ED788A">
        <w:rPr>
          <w:rFonts w:cs="Arial"/>
          <w:sz w:val="22"/>
        </w:rPr>
        <w:t xml:space="preserve"> to surrender </w:t>
      </w:r>
      <w:r w:rsidR="00D4294A" w:rsidRPr="00ED788A">
        <w:rPr>
          <w:rFonts w:cs="Arial"/>
          <w:sz w:val="22"/>
        </w:rPr>
        <w:t>37,919</w:t>
      </w:r>
      <w:r w:rsidR="009E405B" w:rsidRPr="00ED788A">
        <w:rPr>
          <w:rFonts w:cs="Arial"/>
          <w:sz w:val="22"/>
        </w:rPr>
        <w:t xml:space="preserve"> certificates to the Commiss</w:t>
      </w:r>
      <w:r w:rsidR="00D4294A" w:rsidRPr="00ED788A">
        <w:rPr>
          <w:rFonts w:cs="Arial"/>
          <w:sz w:val="22"/>
        </w:rPr>
        <w:t>i</w:t>
      </w:r>
      <w:r w:rsidR="009E405B" w:rsidRPr="00ED788A">
        <w:rPr>
          <w:rFonts w:cs="Arial"/>
          <w:sz w:val="22"/>
        </w:rPr>
        <w:t>on</w:t>
      </w:r>
      <w:r w:rsidR="001F5B41" w:rsidRPr="00ED788A">
        <w:rPr>
          <w:rFonts w:cs="Arial"/>
          <w:sz w:val="22"/>
        </w:rPr>
        <w:t xml:space="preserve"> under section 40(1) of the VEET Act</w:t>
      </w:r>
      <w:r w:rsidR="009E405B" w:rsidRPr="00ED788A">
        <w:rPr>
          <w:rFonts w:cs="Arial"/>
          <w:sz w:val="22"/>
        </w:rPr>
        <w:t>.</w:t>
      </w:r>
      <w:r w:rsidR="00CE4BD2">
        <w:rPr>
          <w:rFonts w:cs="Arial"/>
          <w:sz w:val="22"/>
        </w:rPr>
        <w:t xml:space="preserve"> </w:t>
      </w:r>
      <w:r w:rsidR="00CE4BD2" w:rsidRPr="00CE4BD2">
        <w:rPr>
          <w:rFonts w:cs="Arial"/>
          <w:sz w:val="22"/>
          <w:highlight w:val="black"/>
        </w:rPr>
        <w:t>…………………………………………………………………………</w:t>
      </w:r>
      <w:r w:rsidR="00CE4BD2">
        <w:rPr>
          <w:rFonts w:cs="Arial"/>
          <w:sz w:val="22"/>
        </w:rPr>
        <w:t xml:space="preserve">                                                                        </w:t>
      </w:r>
    </w:p>
    <w:p w:rsidR="009E405B" w:rsidRDefault="00CE4BD2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  <w:r w:rsidRPr="00CE4BD2">
        <w:rPr>
          <w:rFonts w:cs="Arial"/>
          <w:sz w:val="22"/>
          <w:highlight w:val="black"/>
        </w:rPr>
        <w:t>……………………………………………………………………………………………</w:t>
      </w:r>
    </w:p>
    <w:p w:rsidR="00CE4BD2" w:rsidRDefault="00CE4BD2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  <w:r w:rsidRPr="00CE4BD2">
        <w:rPr>
          <w:rFonts w:cs="Arial"/>
          <w:sz w:val="22"/>
          <w:highlight w:val="black"/>
        </w:rPr>
        <w:t>……………………………………………………………………………………………………..</w:t>
      </w:r>
    </w:p>
    <w:p w:rsidR="00CE4BD2" w:rsidRDefault="00CE4BD2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  <w:r w:rsidRPr="00CE4BD2">
        <w:rPr>
          <w:rFonts w:cs="Arial"/>
          <w:sz w:val="22"/>
          <w:highlight w:val="black"/>
        </w:rPr>
        <w:t>……………………………………………</w:t>
      </w:r>
      <w:r>
        <w:rPr>
          <w:rFonts w:cs="Arial"/>
          <w:sz w:val="22"/>
          <w:highlight w:val="black"/>
        </w:rPr>
        <w:t>..</w:t>
      </w:r>
      <w:r w:rsidRPr="00CE4BD2">
        <w:rPr>
          <w:rFonts w:cs="Arial"/>
          <w:sz w:val="22"/>
          <w:highlight w:val="black"/>
        </w:rPr>
        <w:t>….</w:t>
      </w:r>
    </w:p>
    <w:p w:rsidR="00CE4BD2" w:rsidRPr="00ED788A" w:rsidRDefault="00CE4BD2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</w:p>
    <w:p w:rsidR="00BF2958" w:rsidRPr="00ED788A" w:rsidRDefault="00812D1E" w:rsidP="009E405B">
      <w:pPr>
        <w:autoSpaceDE w:val="0"/>
        <w:autoSpaceDN w:val="0"/>
        <w:adjustRightInd w:val="0"/>
        <w:spacing w:before="0" w:line="276" w:lineRule="auto"/>
        <w:ind w:left="567" w:hanging="567"/>
        <w:rPr>
          <w:rFonts w:cs="Arial"/>
          <w:sz w:val="22"/>
        </w:rPr>
      </w:pPr>
      <w:r w:rsidRPr="00ED788A">
        <w:rPr>
          <w:rFonts w:cs="Arial"/>
          <w:sz w:val="22"/>
        </w:rPr>
        <w:t>3</w:t>
      </w:r>
      <w:r w:rsidR="009E405B" w:rsidRPr="00ED788A">
        <w:rPr>
          <w:rFonts w:cs="Arial"/>
          <w:sz w:val="22"/>
        </w:rPr>
        <w:t>.</w:t>
      </w:r>
      <w:r w:rsidR="009E405B" w:rsidRPr="00ED788A">
        <w:rPr>
          <w:rFonts w:cs="Arial"/>
          <w:sz w:val="22"/>
        </w:rPr>
        <w:tab/>
        <w:t>R</w:t>
      </w:r>
      <w:r w:rsidR="000369E8" w:rsidRPr="00ED788A">
        <w:rPr>
          <w:rFonts w:cs="Arial"/>
          <w:sz w:val="22"/>
        </w:rPr>
        <w:t>eprimand</w:t>
      </w:r>
      <w:r w:rsidRPr="00ED788A">
        <w:rPr>
          <w:rFonts w:cs="Arial"/>
          <w:sz w:val="22"/>
        </w:rPr>
        <w:t>s</w:t>
      </w:r>
      <w:r w:rsidR="00BF2958" w:rsidRPr="00ED788A">
        <w:rPr>
          <w:rFonts w:cs="Arial"/>
          <w:sz w:val="22"/>
        </w:rPr>
        <w:t xml:space="preserve"> </w:t>
      </w:r>
      <w:proofErr w:type="spellStart"/>
      <w:r w:rsidR="000369E8" w:rsidRPr="00ED788A">
        <w:rPr>
          <w:rFonts w:cs="Arial"/>
          <w:sz w:val="22"/>
        </w:rPr>
        <w:t>Wattly</w:t>
      </w:r>
      <w:proofErr w:type="spellEnd"/>
      <w:r w:rsidR="00BF2958" w:rsidRPr="00ED788A">
        <w:rPr>
          <w:rFonts w:cs="Arial"/>
          <w:sz w:val="22"/>
        </w:rPr>
        <w:t xml:space="preserve"> under section </w:t>
      </w:r>
      <w:proofErr w:type="gramStart"/>
      <w:r w:rsidR="00BF2958" w:rsidRPr="00ED788A">
        <w:rPr>
          <w:rFonts w:cs="Arial"/>
          <w:sz w:val="22"/>
        </w:rPr>
        <w:t>40A(</w:t>
      </w:r>
      <w:proofErr w:type="gramEnd"/>
      <w:r w:rsidR="00BF2958" w:rsidRPr="00ED788A">
        <w:rPr>
          <w:rFonts w:cs="Arial"/>
          <w:sz w:val="22"/>
        </w:rPr>
        <w:t>2)</w:t>
      </w:r>
      <w:r w:rsidR="006A140E" w:rsidRPr="00ED788A">
        <w:rPr>
          <w:rFonts w:cs="Arial"/>
          <w:sz w:val="22"/>
        </w:rPr>
        <w:t>(b)</w:t>
      </w:r>
      <w:r w:rsidR="00BF2958" w:rsidRPr="00ED788A">
        <w:rPr>
          <w:rFonts w:cs="Arial"/>
          <w:sz w:val="22"/>
        </w:rPr>
        <w:t xml:space="preserve"> of the VEET Act </w:t>
      </w:r>
      <w:r w:rsidR="000369E8" w:rsidRPr="00ED788A">
        <w:rPr>
          <w:rFonts w:cs="Arial"/>
          <w:sz w:val="22"/>
        </w:rPr>
        <w:t xml:space="preserve">for its failure </w:t>
      </w:r>
      <w:r w:rsidR="00BF2958" w:rsidRPr="00ED788A">
        <w:rPr>
          <w:rFonts w:cs="Arial"/>
          <w:sz w:val="22"/>
        </w:rPr>
        <w:t>to:</w:t>
      </w:r>
    </w:p>
    <w:p w:rsidR="00BF2958" w:rsidRPr="00ED788A" w:rsidRDefault="00BF2958" w:rsidP="00D17A26">
      <w:pPr>
        <w:autoSpaceDE w:val="0"/>
        <w:autoSpaceDN w:val="0"/>
        <w:adjustRightInd w:val="0"/>
        <w:spacing w:before="0" w:line="276" w:lineRule="auto"/>
        <w:ind w:left="567"/>
        <w:rPr>
          <w:rFonts w:cs="Arial"/>
          <w:sz w:val="22"/>
        </w:rPr>
      </w:pPr>
    </w:p>
    <w:p w:rsidR="00BF2958" w:rsidRPr="00ED788A" w:rsidRDefault="00BF2958" w:rsidP="009E405B">
      <w:pPr>
        <w:autoSpaceDE w:val="0"/>
        <w:autoSpaceDN w:val="0"/>
        <w:adjustRightInd w:val="0"/>
        <w:spacing w:before="0" w:line="276" w:lineRule="auto"/>
        <w:ind w:left="1134" w:hanging="567"/>
        <w:rPr>
          <w:rFonts w:cs="Arial"/>
          <w:sz w:val="22"/>
        </w:rPr>
      </w:pPr>
      <w:r w:rsidRPr="00ED788A">
        <w:rPr>
          <w:rFonts w:cs="Arial"/>
          <w:sz w:val="22"/>
        </w:rPr>
        <w:t>(a)</w:t>
      </w:r>
      <w:r w:rsidRPr="00ED788A">
        <w:rPr>
          <w:rFonts w:cs="Arial"/>
          <w:sz w:val="22"/>
        </w:rPr>
        <w:tab/>
      </w:r>
      <w:proofErr w:type="gramStart"/>
      <w:r w:rsidRPr="00ED788A">
        <w:rPr>
          <w:rFonts w:cs="Arial"/>
          <w:sz w:val="22"/>
        </w:rPr>
        <w:t>ensure</w:t>
      </w:r>
      <w:proofErr w:type="gramEnd"/>
      <w:r w:rsidRPr="00ED788A">
        <w:rPr>
          <w:rFonts w:cs="Arial"/>
          <w:sz w:val="22"/>
        </w:rPr>
        <w:t xml:space="preserve"> proper oversight of installers</w:t>
      </w:r>
    </w:p>
    <w:p w:rsidR="001F5B41" w:rsidRPr="00ED788A" w:rsidRDefault="001F5B41" w:rsidP="003F47DB">
      <w:pPr>
        <w:autoSpaceDE w:val="0"/>
        <w:autoSpaceDN w:val="0"/>
        <w:adjustRightInd w:val="0"/>
        <w:spacing w:before="0" w:line="276" w:lineRule="auto"/>
        <w:ind w:left="1134"/>
        <w:rPr>
          <w:rFonts w:cs="Arial"/>
          <w:sz w:val="22"/>
        </w:rPr>
      </w:pPr>
    </w:p>
    <w:p w:rsidR="001F5B41" w:rsidRPr="00ED788A" w:rsidRDefault="00BF2958" w:rsidP="009E405B">
      <w:pPr>
        <w:autoSpaceDE w:val="0"/>
        <w:autoSpaceDN w:val="0"/>
        <w:adjustRightInd w:val="0"/>
        <w:spacing w:before="0" w:line="276" w:lineRule="auto"/>
        <w:ind w:left="1134" w:hanging="567"/>
        <w:rPr>
          <w:rFonts w:cs="Arial"/>
          <w:sz w:val="22"/>
        </w:rPr>
      </w:pPr>
      <w:r w:rsidRPr="00ED788A">
        <w:rPr>
          <w:rFonts w:cs="Arial"/>
          <w:sz w:val="22"/>
        </w:rPr>
        <w:t>(b)</w:t>
      </w:r>
      <w:r w:rsidRPr="00ED788A">
        <w:rPr>
          <w:rFonts w:cs="Arial"/>
          <w:sz w:val="22"/>
        </w:rPr>
        <w:tab/>
      </w:r>
      <w:proofErr w:type="gramStart"/>
      <w:r w:rsidRPr="00ED788A">
        <w:rPr>
          <w:rFonts w:cs="Arial"/>
          <w:sz w:val="22"/>
        </w:rPr>
        <w:t>have</w:t>
      </w:r>
      <w:proofErr w:type="gramEnd"/>
      <w:r w:rsidRPr="00ED788A">
        <w:rPr>
          <w:rFonts w:cs="Arial"/>
          <w:sz w:val="22"/>
        </w:rPr>
        <w:t xml:space="preserve"> a robust auditing system involving properly trained staff and regular audits of installations</w:t>
      </w:r>
    </w:p>
    <w:p w:rsidR="00BF2958" w:rsidRPr="00ED788A" w:rsidRDefault="00BF2958" w:rsidP="003F47DB">
      <w:pPr>
        <w:autoSpaceDE w:val="0"/>
        <w:autoSpaceDN w:val="0"/>
        <w:adjustRightInd w:val="0"/>
        <w:spacing w:before="0" w:line="276" w:lineRule="auto"/>
        <w:ind w:left="1134"/>
        <w:rPr>
          <w:rFonts w:cs="Arial"/>
          <w:sz w:val="22"/>
        </w:rPr>
      </w:pPr>
    </w:p>
    <w:p w:rsidR="00BF2958" w:rsidRPr="00ED788A" w:rsidRDefault="00BF2958" w:rsidP="009E405B">
      <w:pPr>
        <w:pStyle w:val="ListParagraph"/>
        <w:spacing w:before="0" w:line="276" w:lineRule="auto"/>
        <w:ind w:left="1134" w:hanging="567"/>
        <w:rPr>
          <w:rFonts w:cs="Arial"/>
          <w:sz w:val="22"/>
        </w:rPr>
      </w:pPr>
      <w:r w:rsidRPr="00ED788A">
        <w:rPr>
          <w:rFonts w:cs="Arial"/>
          <w:sz w:val="22"/>
        </w:rPr>
        <w:t>(c)</w:t>
      </w:r>
      <w:r w:rsidRPr="00ED788A">
        <w:rPr>
          <w:rFonts w:cs="Arial"/>
          <w:sz w:val="22"/>
        </w:rPr>
        <w:tab/>
      </w:r>
      <w:proofErr w:type="gramStart"/>
      <w:r w:rsidRPr="00ED788A">
        <w:rPr>
          <w:rFonts w:cs="Arial"/>
          <w:sz w:val="22"/>
        </w:rPr>
        <w:t>ensure</w:t>
      </w:r>
      <w:proofErr w:type="gramEnd"/>
      <w:r w:rsidRPr="00ED788A">
        <w:rPr>
          <w:rFonts w:cs="Arial"/>
          <w:sz w:val="22"/>
        </w:rPr>
        <w:t xml:space="preserve"> it only creates certificates that comply with the VEET Act and </w:t>
      </w:r>
      <w:r w:rsidR="00E91A1C">
        <w:rPr>
          <w:rFonts w:cs="Arial"/>
          <w:sz w:val="22"/>
        </w:rPr>
        <w:t>r</w:t>
      </w:r>
      <w:r w:rsidRPr="00ED788A">
        <w:rPr>
          <w:rFonts w:cs="Arial"/>
          <w:sz w:val="22"/>
        </w:rPr>
        <w:t>egulations.</w:t>
      </w:r>
    </w:p>
    <w:p w:rsidR="00BF2958" w:rsidRPr="00ED788A" w:rsidRDefault="00BF2958" w:rsidP="00D17A26">
      <w:pPr>
        <w:spacing w:before="0" w:line="276" w:lineRule="auto"/>
        <w:ind w:left="567"/>
        <w:rPr>
          <w:rFonts w:eastAsiaTheme="minorHAnsi" w:cs="Arial"/>
          <w:color w:val="000000"/>
          <w:sz w:val="22"/>
        </w:rPr>
      </w:pPr>
    </w:p>
    <w:p w:rsidR="000369E8" w:rsidRPr="00ED788A" w:rsidRDefault="00812D1E" w:rsidP="009E405B">
      <w:pPr>
        <w:spacing w:before="0" w:line="276" w:lineRule="auto"/>
        <w:ind w:left="567" w:hanging="567"/>
        <w:rPr>
          <w:rFonts w:eastAsiaTheme="minorHAnsi" w:cs="Arial"/>
          <w:color w:val="000000"/>
          <w:sz w:val="22"/>
        </w:rPr>
      </w:pPr>
      <w:r w:rsidRPr="00ED788A">
        <w:rPr>
          <w:rFonts w:eastAsiaTheme="minorHAnsi" w:cs="Arial"/>
          <w:color w:val="000000"/>
          <w:sz w:val="22"/>
        </w:rPr>
        <w:t>4</w:t>
      </w:r>
      <w:r w:rsidR="009E405B" w:rsidRPr="00ED788A">
        <w:rPr>
          <w:rFonts w:eastAsiaTheme="minorHAnsi" w:cs="Arial"/>
          <w:color w:val="000000"/>
          <w:sz w:val="22"/>
        </w:rPr>
        <w:t>.</w:t>
      </w:r>
      <w:r w:rsidR="009E405B" w:rsidRPr="00ED788A">
        <w:rPr>
          <w:rFonts w:eastAsiaTheme="minorHAnsi" w:cs="Arial"/>
          <w:color w:val="000000"/>
          <w:sz w:val="22"/>
        </w:rPr>
        <w:tab/>
        <w:t>I</w:t>
      </w:r>
      <w:r w:rsidR="00B83EDA" w:rsidRPr="00ED788A">
        <w:rPr>
          <w:rFonts w:eastAsiaTheme="minorHAnsi" w:cs="Arial"/>
          <w:color w:val="000000"/>
          <w:sz w:val="22"/>
        </w:rPr>
        <w:t>mposes the following condition</w:t>
      </w:r>
      <w:r w:rsidR="009E405B" w:rsidRPr="00ED788A">
        <w:rPr>
          <w:rFonts w:eastAsiaTheme="minorHAnsi" w:cs="Arial"/>
          <w:color w:val="000000"/>
          <w:sz w:val="22"/>
        </w:rPr>
        <w:t xml:space="preserve"> </w:t>
      </w:r>
      <w:r w:rsidR="009E405B" w:rsidRPr="00ED788A">
        <w:rPr>
          <w:rFonts w:cs="Arial"/>
          <w:sz w:val="22"/>
        </w:rPr>
        <w:t xml:space="preserve">under section </w:t>
      </w:r>
      <w:proofErr w:type="gramStart"/>
      <w:r w:rsidR="009E405B" w:rsidRPr="00ED788A">
        <w:rPr>
          <w:rFonts w:cs="Arial"/>
          <w:sz w:val="22"/>
        </w:rPr>
        <w:t>40A(</w:t>
      </w:r>
      <w:proofErr w:type="gramEnd"/>
      <w:r w:rsidR="009E405B" w:rsidRPr="00ED788A">
        <w:rPr>
          <w:rFonts w:cs="Arial"/>
          <w:sz w:val="22"/>
        </w:rPr>
        <w:t>2)</w:t>
      </w:r>
      <w:r w:rsidR="006A140E" w:rsidRPr="00ED788A">
        <w:rPr>
          <w:rFonts w:cs="Arial"/>
          <w:sz w:val="22"/>
        </w:rPr>
        <w:t>(c)</w:t>
      </w:r>
      <w:r w:rsidR="009E405B" w:rsidRPr="00ED788A">
        <w:rPr>
          <w:rFonts w:cs="Arial"/>
          <w:sz w:val="22"/>
        </w:rPr>
        <w:t xml:space="preserve"> of the VEET Act</w:t>
      </w:r>
      <w:r w:rsidR="00B83EDA" w:rsidRPr="00ED788A">
        <w:rPr>
          <w:rFonts w:eastAsiaTheme="minorHAnsi" w:cs="Arial"/>
          <w:color w:val="000000"/>
          <w:sz w:val="22"/>
        </w:rPr>
        <w:t>:</w:t>
      </w:r>
    </w:p>
    <w:p w:rsidR="000369E8" w:rsidRPr="00ED788A" w:rsidRDefault="000369E8" w:rsidP="00D17A26">
      <w:pPr>
        <w:spacing w:before="0" w:line="276" w:lineRule="auto"/>
        <w:ind w:left="567"/>
        <w:rPr>
          <w:rFonts w:eastAsiaTheme="minorHAnsi" w:cs="Arial"/>
          <w:color w:val="000000"/>
          <w:sz w:val="22"/>
        </w:rPr>
      </w:pPr>
    </w:p>
    <w:p w:rsidR="00B83EDA" w:rsidRPr="00ED788A" w:rsidRDefault="00B83EDA" w:rsidP="009E405B">
      <w:pPr>
        <w:spacing w:before="0" w:line="276" w:lineRule="auto"/>
        <w:ind w:left="567"/>
        <w:rPr>
          <w:sz w:val="22"/>
        </w:rPr>
      </w:pPr>
      <w:proofErr w:type="spellStart"/>
      <w:r w:rsidRPr="00ED788A">
        <w:rPr>
          <w:sz w:val="22"/>
        </w:rPr>
        <w:t>Wattly</w:t>
      </w:r>
      <w:proofErr w:type="spellEnd"/>
      <w:r w:rsidRPr="00ED788A">
        <w:rPr>
          <w:sz w:val="22"/>
        </w:rPr>
        <w:t xml:space="preserve"> </w:t>
      </w:r>
      <w:r w:rsidR="00CF5084" w:rsidRPr="00ED788A">
        <w:rPr>
          <w:sz w:val="22"/>
        </w:rPr>
        <w:t xml:space="preserve">is </w:t>
      </w:r>
      <w:r w:rsidRPr="00ED788A">
        <w:rPr>
          <w:sz w:val="22"/>
        </w:rPr>
        <w:t>to engage an independent auditor to:</w:t>
      </w:r>
    </w:p>
    <w:p w:rsidR="00B83EDA" w:rsidRPr="00ED788A" w:rsidRDefault="00B83EDA" w:rsidP="00D17A26">
      <w:pPr>
        <w:spacing w:before="0" w:line="276" w:lineRule="auto"/>
        <w:ind w:left="567"/>
        <w:rPr>
          <w:sz w:val="22"/>
        </w:rPr>
      </w:pPr>
    </w:p>
    <w:p w:rsidR="00B83EDA" w:rsidRPr="00ED788A" w:rsidRDefault="009E405B" w:rsidP="009E405B">
      <w:pPr>
        <w:spacing w:before="0" w:line="276" w:lineRule="auto"/>
        <w:ind w:left="1134" w:hanging="567"/>
        <w:rPr>
          <w:sz w:val="22"/>
        </w:rPr>
      </w:pPr>
      <w:r w:rsidRPr="00ED788A">
        <w:rPr>
          <w:sz w:val="22"/>
        </w:rPr>
        <w:t>(a)</w:t>
      </w:r>
      <w:r w:rsidRPr="00ED788A">
        <w:rPr>
          <w:sz w:val="22"/>
        </w:rPr>
        <w:tab/>
      </w:r>
      <w:proofErr w:type="gramStart"/>
      <w:r w:rsidR="00B83EDA" w:rsidRPr="00ED788A">
        <w:rPr>
          <w:sz w:val="22"/>
        </w:rPr>
        <w:t>test</w:t>
      </w:r>
      <w:proofErr w:type="gramEnd"/>
      <w:r w:rsidR="00B83EDA" w:rsidRPr="00ED788A">
        <w:rPr>
          <w:sz w:val="22"/>
        </w:rPr>
        <w:t xml:space="preserve"> </w:t>
      </w:r>
      <w:proofErr w:type="spellStart"/>
      <w:r w:rsidR="00B83EDA" w:rsidRPr="00ED788A">
        <w:rPr>
          <w:sz w:val="22"/>
        </w:rPr>
        <w:t>Wattly’s</w:t>
      </w:r>
      <w:proofErr w:type="spellEnd"/>
      <w:r w:rsidR="00B83EDA" w:rsidRPr="00ED788A">
        <w:rPr>
          <w:sz w:val="22"/>
        </w:rPr>
        <w:t xml:space="preserve"> processes and procedures for auditing the creation of certificates in compliance with the Act and the </w:t>
      </w:r>
      <w:r w:rsidR="00B83EDA" w:rsidRPr="00ED788A">
        <w:rPr>
          <w:i/>
          <w:sz w:val="22"/>
        </w:rPr>
        <w:t>Victorian Energy Efficiency Target Regulations</w:t>
      </w:r>
      <w:r w:rsidR="00CD1C5D" w:rsidRPr="00ED788A">
        <w:rPr>
          <w:sz w:val="22"/>
        </w:rPr>
        <w:t xml:space="preserve"> 2018.  </w:t>
      </w:r>
      <w:proofErr w:type="gramStart"/>
      <w:r w:rsidR="00CD1C5D" w:rsidRPr="00ED788A">
        <w:rPr>
          <w:sz w:val="22"/>
        </w:rPr>
        <w:t>The</w:t>
      </w:r>
      <w:r w:rsidR="007334BB" w:rsidRPr="00ED788A">
        <w:rPr>
          <w:sz w:val="22"/>
        </w:rPr>
        <w:t xml:space="preserve"> </w:t>
      </w:r>
      <w:r w:rsidR="00CD1C5D" w:rsidRPr="00ED788A">
        <w:rPr>
          <w:sz w:val="22"/>
        </w:rPr>
        <w:t>audit</w:t>
      </w:r>
      <w:r w:rsidR="00B83EDA" w:rsidRPr="00ED788A">
        <w:rPr>
          <w:sz w:val="22"/>
        </w:rPr>
        <w:t>or to be engaged within 30 days of this decision.</w:t>
      </w:r>
      <w:proofErr w:type="gramEnd"/>
      <w:r w:rsidR="00BA45BD">
        <w:rPr>
          <w:sz w:val="22"/>
        </w:rPr>
        <w:t xml:space="preserve"> </w:t>
      </w:r>
      <w:proofErr w:type="gramStart"/>
      <w:r w:rsidR="00BA45BD">
        <w:rPr>
          <w:sz w:val="22"/>
        </w:rPr>
        <w:t>This audit to be completed by the end of May 2019.</w:t>
      </w:r>
      <w:proofErr w:type="gramEnd"/>
    </w:p>
    <w:p w:rsidR="001F5B41" w:rsidRPr="00ED788A" w:rsidRDefault="001F5B41" w:rsidP="00D17A26">
      <w:pPr>
        <w:spacing w:before="0" w:line="276" w:lineRule="auto"/>
        <w:ind w:left="1134"/>
        <w:rPr>
          <w:sz w:val="22"/>
        </w:rPr>
      </w:pPr>
    </w:p>
    <w:p w:rsidR="00B83EDA" w:rsidRPr="00ED788A" w:rsidRDefault="009E405B" w:rsidP="004728D7">
      <w:pPr>
        <w:spacing w:before="0" w:after="120" w:line="276" w:lineRule="auto"/>
        <w:ind w:left="1134" w:hanging="567"/>
        <w:rPr>
          <w:sz w:val="22"/>
        </w:rPr>
      </w:pPr>
      <w:r w:rsidRPr="00ED788A">
        <w:rPr>
          <w:sz w:val="22"/>
        </w:rPr>
        <w:t>(b)</w:t>
      </w:r>
      <w:r w:rsidRPr="00ED788A">
        <w:rPr>
          <w:sz w:val="22"/>
        </w:rPr>
        <w:tab/>
      </w:r>
      <w:proofErr w:type="gramStart"/>
      <w:r w:rsidR="00B83EDA" w:rsidRPr="00ED788A">
        <w:rPr>
          <w:sz w:val="22"/>
        </w:rPr>
        <w:t>conduct</w:t>
      </w:r>
      <w:proofErr w:type="gramEnd"/>
      <w:r w:rsidR="00B83EDA" w:rsidRPr="00ED788A">
        <w:rPr>
          <w:sz w:val="22"/>
        </w:rPr>
        <w:t xml:space="preserve"> an audit on a statistically valid sample of activities created between 1 January 2019 and 30 June 2019</w:t>
      </w:r>
      <w:r w:rsidR="007334BB" w:rsidRPr="00ED788A">
        <w:rPr>
          <w:sz w:val="22"/>
        </w:rPr>
        <w:t xml:space="preserve"> and provide the audit report to the Commission by the end of September</w:t>
      </w:r>
      <w:r w:rsidR="00B83EDA" w:rsidRPr="00ED788A">
        <w:rPr>
          <w:sz w:val="22"/>
        </w:rPr>
        <w:t xml:space="preserve"> 2019.</w:t>
      </w:r>
    </w:p>
    <w:p w:rsidR="00B83EDA" w:rsidRPr="004728D7" w:rsidRDefault="005E4B32" w:rsidP="004728D7">
      <w:pPr>
        <w:spacing w:before="0" w:after="200" w:line="276" w:lineRule="auto"/>
        <w:rPr>
          <w:rFonts w:cs="Arial"/>
          <w:sz w:val="22"/>
        </w:rPr>
      </w:pPr>
      <w:proofErr w:type="gramStart"/>
      <w:r w:rsidRPr="004728D7">
        <w:rPr>
          <w:rFonts w:cs="Arial"/>
          <w:sz w:val="22"/>
        </w:rPr>
        <w:t>Each</w:t>
      </w:r>
      <w:r w:rsidR="00B83EDA" w:rsidRPr="004728D7">
        <w:rPr>
          <w:rFonts w:cs="Arial"/>
          <w:sz w:val="22"/>
        </w:rPr>
        <w:t xml:space="preserve"> audit report to be provided to the Commission within 7 days of completion.</w:t>
      </w:r>
      <w:proofErr w:type="gramEnd"/>
    </w:p>
    <w:p w:rsidR="00BF2958" w:rsidRPr="00ED788A" w:rsidRDefault="00BF2958" w:rsidP="00B83EDA">
      <w:pPr>
        <w:spacing w:before="0" w:line="276" w:lineRule="auto"/>
        <w:rPr>
          <w:rFonts w:cs="Arial"/>
          <w:sz w:val="22"/>
        </w:rPr>
      </w:pPr>
      <w:r w:rsidRPr="00ED788A">
        <w:rPr>
          <w:rFonts w:cs="Arial"/>
          <w:sz w:val="22"/>
        </w:rPr>
        <w:t>Dr Ron Ben-David</w:t>
      </w:r>
    </w:p>
    <w:p w:rsidR="00BF2958" w:rsidRPr="00ED788A" w:rsidRDefault="00BF2958" w:rsidP="00B83EDA">
      <w:pPr>
        <w:spacing w:before="0" w:line="276" w:lineRule="auto"/>
        <w:rPr>
          <w:rFonts w:cs="Arial"/>
          <w:sz w:val="22"/>
        </w:rPr>
      </w:pPr>
      <w:r w:rsidRPr="00ED788A">
        <w:rPr>
          <w:rFonts w:cs="Arial"/>
          <w:sz w:val="22"/>
        </w:rPr>
        <w:t>Chairperson</w:t>
      </w:r>
    </w:p>
    <w:p w:rsidR="00D17A26" w:rsidRPr="00ED788A" w:rsidRDefault="00BF2958" w:rsidP="00B83EDA">
      <w:pPr>
        <w:spacing w:before="0" w:line="276" w:lineRule="auto"/>
        <w:rPr>
          <w:rFonts w:cs="Arial"/>
          <w:sz w:val="22"/>
        </w:rPr>
      </w:pPr>
      <w:r w:rsidRPr="00ED788A">
        <w:rPr>
          <w:rFonts w:cs="Arial"/>
          <w:sz w:val="22"/>
        </w:rPr>
        <w:t xml:space="preserve">Date:  </w:t>
      </w:r>
      <w:r w:rsidR="00B83EDA" w:rsidRPr="00ED788A">
        <w:rPr>
          <w:rFonts w:cs="Arial"/>
          <w:sz w:val="22"/>
        </w:rPr>
        <w:t>2</w:t>
      </w:r>
      <w:r w:rsidR="005A55C2">
        <w:rPr>
          <w:rFonts w:cs="Arial"/>
          <w:sz w:val="22"/>
        </w:rPr>
        <w:t>9</w:t>
      </w:r>
      <w:r w:rsidRPr="00ED788A">
        <w:rPr>
          <w:rFonts w:cs="Arial"/>
          <w:sz w:val="22"/>
        </w:rPr>
        <w:t xml:space="preserve"> </w:t>
      </w:r>
      <w:r w:rsidR="00B83EDA" w:rsidRPr="00ED788A">
        <w:rPr>
          <w:rFonts w:cs="Arial"/>
          <w:sz w:val="22"/>
        </w:rPr>
        <w:t>March</w:t>
      </w:r>
      <w:r w:rsidRPr="00ED788A">
        <w:rPr>
          <w:rFonts w:cs="Arial"/>
          <w:sz w:val="22"/>
        </w:rPr>
        <w:t xml:space="preserve"> 201</w:t>
      </w:r>
      <w:r w:rsidR="00B83EDA" w:rsidRPr="00ED788A">
        <w:rPr>
          <w:rFonts w:cs="Arial"/>
          <w:sz w:val="22"/>
        </w:rPr>
        <w:t>9</w:t>
      </w:r>
    </w:p>
    <w:p w:rsidR="001C2515" w:rsidRPr="004568D5" w:rsidRDefault="001C2515" w:rsidP="003F47DB">
      <w:pPr>
        <w:spacing w:before="0" w:line="240" w:lineRule="auto"/>
        <w:jc w:val="center"/>
        <w:rPr>
          <w:rFonts w:cs="Arial"/>
          <w:sz w:val="22"/>
        </w:rPr>
      </w:pPr>
    </w:p>
    <w:sectPr w:rsidR="001C2515" w:rsidRPr="004568D5" w:rsidSect="004728D7">
      <w:footerReference w:type="default" r:id="rId9"/>
      <w:pgSz w:w="11906" w:h="16838" w:code="9"/>
      <w:pgMar w:top="1077" w:right="1276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71" w:rsidRDefault="00FB1D71" w:rsidP="001C2515">
      <w:pPr>
        <w:spacing w:before="0" w:line="240" w:lineRule="auto"/>
      </w:pPr>
      <w:r>
        <w:separator/>
      </w:r>
    </w:p>
  </w:endnote>
  <w:endnote w:type="continuationSeparator" w:id="0">
    <w:p w:rsidR="00FB1D71" w:rsidRDefault="00FB1D71" w:rsidP="001C25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35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3BF" w:rsidRDefault="009E53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71" w:rsidRDefault="00FB1D71" w:rsidP="001C2515">
      <w:pPr>
        <w:spacing w:before="0" w:line="240" w:lineRule="auto"/>
      </w:pPr>
      <w:r>
        <w:separator/>
      </w:r>
    </w:p>
  </w:footnote>
  <w:footnote w:type="continuationSeparator" w:id="0">
    <w:p w:rsidR="00FB1D71" w:rsidRDefault="00FB1D71" w:rsidP="001C251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124"/>
    <w:multiLevelType w:val="hybridMultilevel"/>
    <w:tmpl w:val="6D1AF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2A67"/>
    <w:multiLevelType w:val="hybridMultilevel"/>
    <w:tmpl w:val="FA9CC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1BD6"/>
    <w:multiLevelType w:val="hybridMultilevel"/>
    <w:tmpl w:val="81AC0138"/>
    <w:lvl w:ilvl="0" w:tplc="A3C0A5D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C765C"/>
    <w:multiLevelType w:val="hybridMultilevel"/>
    <w:tmpl w:val="DF7E7B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9735C7"/>
    <w:multiLevelType w:val="multilevel"/>
    <w:tmpl w:val="2FAC61F8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14E5DCB"/>
    <w:multiLevelType w:val="hybridMultilevel"/>
    <w:tmpl w:val="1696BC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5779AA"/>
    <w:multiLevelType w:val="hybridMultilevel"/>
    <w:tmpl w:val="81AC0138"/>
    <w:lvl w:ilvl="0" w:tplc="A3C0A5D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58"/>
    <w:rsid w:val="000230E0"/>
    <w:rsid w:val="000369E8"/>
    <w:rsid w:val="00093401"/>
    <w:rsid w:val="000A77C2"/>
    <w:rsid w:val="000C502A"/>
    <w:rsid w:val="000D0B8E"/>
    <w:rsid w:val="001055EB"/>
    <w:rsid w:val="00120B21"/>
    <w:rsid w:val="00122E4D"/>
    <w:rsid w:val="001414E2"/>
    <w:rsid w:val="00152403"/>
    <w:rsid w:val="00170C3C"/>
    <w:rsid w:val="0017222E"/>
    <w:rsid w:val="001A4562"/>
    <w:rsid w:val="001B4125"/>
    <w:rsid w:val="001C2515"/>
    <w:rsid w:val="001F4AD2"/>
    <w:rsid w:val="001F5B41"/>
    <w:rsid w:val="00221769"/>
    <w:rsid w:val="0022745E"/>
    <w:rsid w:val="00255B4A"/>
    <w:rsid w:val="0029677D"/>
    <w:rsid w:val="002A0859"/>
    <w:rsid w:val="002A2D69"/>
    <w:rsid w:val="002B662B"/>
    <w:rsid w:val="00341345"/>
    <w:rsid w:val="00355C86"/>
    <w:rsid w:val="00387A8E"/>
    <w:rsid w:val="003A33FC"/>
    <w:rsid w:val="003C0AA2"/>
    <w:rsid w:val="003D0D17"/>
    <w:rsid w:val="003E0B37"/>
    <w:rsid w:val="003F47DB"/>
    <w:rsid w:val="00403EA9"/>
    <w:rsid w:val="00434A9A"/>
    <w:rsid w:val="004728D7"/>
    <w:rsid w:val="004A5F7C"/>
    <w:rsid w:val="00514500"/>
    <w:rsid w:val="005502FB"/>
    <w:rsid w:val="00564A65"/>
    <w:rsid w:val="00571166"/>
    <w:rsid w:val="00574EE1"/>
    <w:rsid w:val="005A55C2"/>
    <w:rsid w:val="005E044D"/>
    <w:rsid w:val="005E4B32"/>
    <w:rsid w:val="005F240E"/>
    <w:rsid w:val="005F7E10"/>
    <w:rsid w:val="00621C3E"/>
    <w:rsid w:val="0064276F"/>
    <w:rsid w:val="00645D7F"/>
    <w:rsid w:val="0065344B"/>
    <w:rsid w:val="00662B98"/>
    <w:rsid w:val="006815A0"/>
    <w:rsid w:val="00681EAC"/>
    <w:rsid w:val="00697382"/>
    <w:rsid w:val="006A140E"/>
    <w:rsid w:val="006B3A6D"/>
    <w:rsid w:val="00710F5F"/>
    <w:rsid w:val="007324F1"/>
    <w:rsid w:val="007334BB"/>
    <w:rsid w:val="00737A65"/>
    <w:rsid w:val="00743FDD"/>
    <w:rsid w:val="00766430"/>
    <w:rsid w:val="007904D9"/>
    <w:rsid w:val="007B17B4"/>
    <w:rsid w:val="007C3B8C"/>
    <w:rsid w:val="00812D1E"/>
    <w:rsid w:val="00824357"/>
    <w:rsid w:val="008476B4"/>
    <w:rsid w:val="008E1C84"/>
    <w:rsid w:val="008E1E44"/>
    <w:rsid w:val="008E3EDE"/>
    <w:rsid w:val="00936CFB"/>
    <w:rsid w:val="00976870"/>
    <w:rsid w:val="0097698E"/>
    <w:rsid w:val="009773F8"/>
    <w:rsid w:val="00985A77"/>
    <w:rsid w:val="009A2CD7"/>
    <w:rsid w:val="009B36F4"/>
    <w:rsid w:val="009E405B"/>
    <w:rsid w:val="009E53BF"/>
    <w:rsid w:val="00A11C7F"/>
    <w:rsid w:val="00A14A4B"/>
    <w:rsid w:val="00A15CC2"/>
    <w:rsid w:val="00A453EC"/>
    <w:rsid w:val="00A81256"/>
    <w:rsid w:val="00A81C87"/>
    <w:rsid w:val="00AA084A"/>
    <w:rsid w:val="00AE5C9B"/>
    <w:rsid w:val="00B00C31"/>
    <w:rsid w:val="00B413E1"/>
    <w:rsid w:val="00B83EDA"/>
    <w:rsid w:val="00BA45BD"/>
    <w:rsid w:val="00BC1293"/>
    <w:rsid w:val="00BD3A2B"/>
    <w:rsid w:val="00BE68A3"/>
    <w:rsid w:val="00BE72DE"/>
    <w:rsid w:val="00BF2958"/>
    <w:rsid w:val="00BF7228"/>
    <w:rsid w:val="00C014E0"/>
    <w:rsid w:val="00C028C5"/>
    <w:rsid w:val="00C16044"/>
    <w:rsid w:val="00C41BFB"/>
    <w:rsid w:val="00CD1C5D"/>
    <w:rsid w:val="00CE4BD2"/>
    <w:rsid w:val="00CF5084"/>
    <w:rsid w:val="00D17A26"/>
    <w:rsid w:val="00D321A9"/>
    <w:rsid w:val="00D33B83"/>
    <w:rsid w:val="00D40380"/>
    <w:rsid w:val="00D4294A"/>
    <w:rsid w:val="00D854CB"/>
    <w:rsid w:val="00DD59FB"/>
    <w:rsid w:val="00DD6E85"/>
    <w:rsid w:val="00E32728"/>
    <w:rsid w:val="00E56A97"/>
    <w:rsid w:val="00E63A01"/>
    <w:rsid w:val="00E64BDA"/>
    <w:rsid w:val="00E64F10"/>
    <w:rsid w:val="00E77D1B"/>
    <w:rsid w:val="00E91A1C"/>
    <w:rsid w:val="00EC435C"/>
    <w:rsid w:val="00EC7DD6"/>
    <w:rsid w:val="00ED031F"/>
    <w:rsid w:val="00ED788A"/>
    <w:rsid w:val="00F121D7"/>
    <w:rsid w:val="00F155D5"/>
    <w:rsid w:val="00F23B18"/>
    <w:rsid w:val="00F85689"/>
    <w:rsid w:val="00F92E65"/>
    <w:rsid w:val="00FA2B9C"/>
    <w:rsid w:val="00FB1D71"/>
    <w:rsid w:val="00FC3845"/>
    <w:rsid w:val="00FE41D2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58"/>
    <w:pPr>
      <w:spacing w:before="240" w:after="0" w:line="336" w:lineRule="auto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AA2"/>
    <w:pPr>
      <w:keepNext/>
      <w:keepLines/>
      <w:spacing w:after="160"/>
      <w:outlineLvl w:val="1"/>
    </w:pPr>
    <w:rPr>
      <w:rFonts w:ascii="Tahoma" w:eastAsiaTheme="majorEastAsia" w:hAnsi="Tahom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9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0AA2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3C0AA2"/>
    <w:pPr>
      <w:spacing w:before="160" w:after="160"/>
      <w:ind w:left="284" w:hanging="284"/>
      <w:contextualSpacing/>
    </w:pPr>
    <w:rPr>
      <w:rFonts w:asciiTheme="minorHAnsi" w:eastAsiaTheme="minorHAnsi" w:hAnsiTheme="minorHAnsi" w:cstheme="minorBidi"/>
      <w:sz w:val="22"/>
    </w:rPr>
  </w:style>
  <w:style w:type="numbering" w:customStyle="1" w:styleId="Bullet">
    <w:name w:val="Bullet"/>
    <w:uiPriority w:val="99"/>
    <w:rsid w:val="003C0AA2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3C0AA2"/>
    <w:pPr>
      <w:spacing w:before="160" w:after="160"/>
      <w:ind w:left="567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ListBullet3">
    <w:name w:val="List Bullet 3"/>
    <w:basedOn w:val="Normal"/>
    <w:uiPriority w:val="99"/>
    <w:unhideWhenUsed/>
    <w:rsid w:val="003C0AA2"/>
    <w:pPr>
      <w:spacing w:before="160" w:after="160"/>
      <w:ind w:left="851" w:hanging="284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34"/>
    <w:rsid w:val="003C0AA2"/>
    <w:rPr>
      <w:rFonts w:ascii="Arial" w:eastAsia="Calibri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0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AA2"/>
    <w:pPr>
      <w:spacing w:before="160"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A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5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15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C25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15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58"/>
    <w:pPr>
      <w:spacing w:before="240" w:after="0" w:line="336" w:lineRule="auto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AA2"/>
    <w:pPr>
      <w:keepNext/>
      <w:keepLines/>
      <w:spacing w:after="160"/>
      <w:outlineLvl w:val="1"/>
    </w:pPr>
    <w:rPr>
      <w:rFonts w:ascii="Tahoma" w:eastAsiaTheme="majorEastAsia" w:hAnsi="Tahom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9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0AA2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uiPriority w:val="99"/>
    <w:unhideWhenUsed/>
    <w:qFormat/>
    <w:rsid w:val="003C0AA2"/>
    <w:pPr>
      <w:spacing w:before="160" w:after="160"/>
      <w:ind w:left="284" w:hanging="284"/>
      <w:contextualSpacing/>
    </w:pPr>
    <w:rPr>
      <w:rFonts w:asciiTheme="minorHAnsi" w:eastAsiaTheme="minorHAnsi" w:hAnsiTheme="minorHAnsi" w:cstheme="minorBidi"/>
      <w:sz w:val="22"/>
    </w:rPr>
  </w:style>
  <w:style w:type="numbering" w:customStyle="1" w:styleId="Bullet">
    <w:name w:val="Bullet"/>
    <w:uiPriority w:val="99"/>
    <w:rsid w:val="003C0AA2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3C0AA2"/>
    <w:pPr>
      <w:spacing w:before="160" w:after="160"/>
      <w:ind w:left="567" w:hanging="283"/>
      <w:contextualSpacing/>
    </w:pPr>
    <w:rPr>
      <w:rFonts w:asciiTheme="minorHAnsi" w:eastAsiaTheme="minorHAnsi" w:hAnsiTheme="minorHAnsi" w:cstheme="minorBidi"/>
      <w:sz w:val="22"/>
    </w:rPr>
  </w:style>
  <w:style w:type="paragraph" w:styleId="ListBullet3">
    <w:name w:val="List Bullet 3"/>
    <w:basedOn w:val="Normal"/>
    <w:uiPriority w:val="99"/>
    <w:unhideWhenUsed/>
    <w:rsid w:val="003C0AA2"/>
    <w:pPr>
      <w:spacing w:before="160" w:after="160"/>
      <w:ind w:left="851" w:hanging="284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34"/>
    <w:rsid w:val="003C0AA2"/>
    <w:rPr>
      <w:rFonts w:ascii="Arial" w:eastAsia="Calibri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0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AA2"/>
    <w:pPr>
      <w:spacing w:before="160"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AA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5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15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C251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15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8983-6325-4498-95BE-7DB70359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Essential Services Commission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Henry</dc:creator>
  <cp:lastModifiedBy>Sam Ryan</cp:lastModifiedBy>
  <cp:revision>2</cp:revision>
  <cp:lastPrinted>2019-04-01T02:09:00Z</cp:lastPrinted>
  <dcterms:created xsi:type="dcterms:W3CDTF">2019-04-11T03:16:00Z</dcterms:created>
  <dcterms:modified xsi:type="dcterms:W3CDTF">2019-04-11T03:16:00Z</dcterms:modified>
</cp:coreProperties>
</file>