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EE" w:rsidRDefault="008340EE">
      <w:pPr>
        <w:keepNext/>
        <w:pBdr>
          <w:top w:val="thinThickSmallGap" w:sz="24" w:space="1" w:color="auto"/>
          <w:left w:val="thinThickSmallGap" w:sz="24" w:space="4" w:color="auto"/>
          <w:bottom w:val="thickThinSmallGap" w:sz="24" w:space="0" w:color="auto"/>
          <w:right w:val="thickThinSmallGap" w:sz="24" w:space="4" w:color="auto"/>
        </w:pBdr>
        <w:jc w:val="center"/>
        <w:rPr>
          <w:sz w:val="20"/>
        </w:rPr>
      </w:pPr>
    </w:p>
    <w:p w:rsidR="008340EE" w:rsidRDefault="00D71470">
      <w:pPr>
        <w:keepNext/>
        <w:pBdr>
          <w:top w:val="thinThickSmallGap" w:sz="24" w:space="1" w:color="auto"/>
          <w:left w:val="thinThickSmallGap" w:sz="24" w:space="4" w:color="auto"/>
          <w:bottom w:val="thickThinSmallGap" w:sz="24" w:space="0" w:color="auto"/>
          <w:right w:val="thickThinSmallGap" w:sz="24" w:space="4" w:color="auto"/>
        </w:pBdr>
        <w:jc w:val="center"/>
        <w:rPr>
          <w:sz w:val="20"/>
        </w:rPr>
      </w:pPr>
      <w:r>
        <w:rPr>
          <w:noProof/>
          <w:sz w:val="20"/>
          <w:lang w:eastAsia="en-AU"/>
        </w:rPr>
        <w:drawing>
          <wp:anchor distT="0" distB="0" distL="114300" distR="114300" simplePos="0" relativeHeight="251658752" behindDoc="0" locked="0" layoutInCell="1" allowOverlap="1">
            <wp:simplePos x="0" y="0"/>
            <wp:positionH relativeFrom="column">
              <wp:posOffset>1371600</wp:posOffset>
            </wp:positionH>
            <wp:positionV relativeFrom="paragraph">
              <wp:posOffset>2540</wp:posOffset>
            </wp:positionV>
            <wp:extent cx="2987675" cy="1595120"/>
            <wp:effectExtent l="0" t="0" r="3175"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675" cy="1595120"/>
                    </a:xfrm>
                    <a:prstGeom prst="rect">
                      <a:avLst/>
                    </a:prstGeom>
                    <a:noFill/>
                  </pic:spPr>
                </pic:pic>
              </a:graphicData>
            </a:graphic>
            <wp14:sizeRelH relativeFrom="page">
              <wp14:pctWidth>0</wp14:pctWidth>
            </wp14:sizeRelH>
            <wp14:sizeRelV relativeFrom="page">
              <wp14:pctHeight>0</wp14:pctHeight>
            </wp14:sizeRelV>
          </wp:anchor>
        </w:drawing>
      </w:r>
    </w:p>
    <w:p w:rsidR="008340EE" w:rsidRDefault="008340EE">
      <w:pPr>
        <w:keepNext/>
        <w:pBdr>
          <w:top w:val="thinThickSmallGap" w:sz="24" w:space="1" w:color="auto"/>
          <w:left w:val="thinThickSmallGap" w:sz="24" w:space="4" w:color="auto"/>
          <w:bottom w:val="thickThinSmallGap" w:sz="24" w:space="0" w:color="auto"/>
          <w:right w:val="thickThinSmallGap" w:sz="24" w:space="4" w:color="auto"/>
        </w:pBdr>
        <w:jc w:val="center"/>
        <w:rPr>
          <w:sz w:val="20"/>
        </w:rPr>
      </w:pPr>
    </w:p>
    <w:p w:rsidR="008340EE" w:rsidRDefault="008340EE">
      <w:pPr>
        <w:keepNext/>
        <w:pBdr>
          <w:top w:val="thinThickSmallGap" w:sz="24" w:space="1" w:color="auto"/>
          <w:left w:val="thinThickSmallGap" w:sz="24" w:space="4" w:color="auto"/>
          <w:bottom w:val="thickThinSmallGap" w:sz="24" w:space="0" w:color="auto"/>
          <w:right w:val="thickThinSmallGap" w:sz="24" w:space="4" w:color="auto"/>
        </w:pBdr>
        <w:jc w:val="center"/>
        <w:rPr>
          <w:sz w:val="20"/>
        </w:rPr>
      </w:pPr>
    </w:p>
    <w:p w:rsidR="008340EE" w:rsidRDefault="008340EE">
      <w:pPr>
        <w:keepNext/>
        <w:pBdr>
          <w:top w:val="thinThickSmallGap" w:sz="24" w:space="1" w:color="auto"/>
          <w:left w:val="thinThickSmallGap" w:sz="24" w:space="4" w:color="auto"/>
          <w:bottom w:val="thickThinSmallGap" w:sz="24" w:space="0" w:color="auto"/>
          <w:right w:val="thickThinSmallGap" w:sz="24" w:space="4" w:color="auto"/>
        </w:pBdr>
        <w:jc w:val="center"/>
        <w:rPr>
          <w:sz w:val="20"/>
        </w:rPr>
      </w:pPr>
    </w:p>
    <w:p w:rsidR="008340EE" w:rsidRDefault="008340EE">
      <w:pPr>
        <w:keepNext/>
        <w:pBdr>
          <w:top w:val="thinThickSmallGap" w:sz="24" w:space="1" w:color="auto"/>
          <w:left w:val="thinThickSmallGap" w:sz="24" w:space="4" w:color="auto"/>
          <w:bottom w:val="thickThinSmallGap" w:sz="24" w:space="0" w:color="auto"/>
          <w:right w:val="thickThinSmallGap" w:sz="24" w:space="4" w:color="auto"/>
        </w:pBdr>
        <w:jc w:val="center"/>
      </w:pPr>
    </w:p>
    <w:p w:rsidR="008340EE" w:rsidRDefault="008340EE">
      <w:pPr>
        <w:pStyle w:val="Caption"/>
        <w:pBdr>
          <w:top w:val="thinThickSmallGap" w:sz="24" w:space="1" w:color="auto"/>
          <w:left w:val="thinThickSmallGap" w:sz="24" w:space="4" w:color="auto"/>
          <w:bottom w:val="thickThinSmallGap" w:sz="24" w:space="0" w:color="auto"/>
          <w:right w:val="thickThinSmallGap" w:sz="24" w:space="4" w:color="auto"/>
        </w:pBdr>
      </w:pPr>
    </w:p>
    <w:p w:rsidR="008340EE" w:rsidRDefault="00D71470">
      <w:pPr>
        <w:pStyle w:val="Caption"/>
        <w:pBdr>
          <w:top w:val="thinThickSmallGap" w:sz="24" w:space="1" w:color="auto"/>
          <w:left w:val="thinThickSmallGap" w:sz="24" w:space="4" w:color="auto"/>
          <w:bottom w:val="thickThinSmallGap" w:sz="24" w:space="0" w:color="auto"/>
          <w:right w:val="thickThinSmallGap" w:sz="24" w:space="4" w:color="auto"/>
        </w:pBdr>
      </w:pPr>
      <w:bookmarkStart w:id="0" w:name="_GoBack"/>
      <w:bookmarkEnd w:id="0"/>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280035</wp:posOffset>
                </wp:positionH>
                <wp:positionV relativeFrom="paragraph">
                  <wp:posOffset>402590</wp:posOffset>
                </wp:positionV>
                <wp:extent cx="4800600" cy="64008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40080"/>
                        </a:xfrm>
                        <a:prstGeom prst="rect">
                          <a:avLst/>
                        </a:prstGeom>
                        <a:solidFill>
                          <a:srgbClr val="C0C0C0"/>
                        </a:solidFill>
                        <a:ln w="19050">
                          <a:solidFill>
                            <a:srgbClr val="000000"/>
                          </a:solidFill>
                          <a:miter lim="800000"/>
                          <a:headEnd/>
                          <a:tailEnd/>
                        </a:ln>
                      </wps:spPr>
                      <wps:txbx>
                        <w:txbxContent>
                          <w:p w:rsidR="004B10EB" w:rsidRDefault="004B10EB">
                            <w:pPr>
                              <w:pStyle w:val="BodyText"/>
                              <w:spacing w:before="120"/>
                              <w:jc w:val="center"/>
                              <w:rPr>
                                <w:b/>
                                <w:bCs/>
                                <w:sz w:val="32"/>
                              </w:rPr>
                            </w:pPr>
                            <w:r>
                              <w:rPr>
                                <w:b/>
                                <w:bCs/>
                                <w:sz w:val="32"/>
                              </w:rPr>
                              <w:t>GAS DISTRIBUTION LICENCE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2.05pt;margin-top:31.7pt;width:378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" fillcolor="silver" strokeweight="1.5pt">
                <v:textbox>
                  <w:txbxContent>
                    <w:p w:rsidR="004B10EB" w:rsidRDefault="004B10EB">
                      <w:pPr>
                        <w:pStyle w:val="BodyText"/>
                        <w:spacing w:before="120"/>
                        <w:jc w:val="center"/>
                        <w:rPr>
                          <w:b/>
                          <w:bCs/>
                          <w:sz w:val="32"/>
                        </w:rPr>
                      </w:pPr>
                      <w:r>
                        <w:rPr>
                          <w:b/>
                          <w:bCs/>
                          <w:sz w:val="32"/>
                        </w:rPr>
                        <w:t>GAS DISTRIBUTION LICENCE</w:t>
                      </w:r>
                    </w:p>
                  </w:txbxContent>
                </v:textbox>
              </v:shape>
            </w:pict>
          </mc:Fallback>
        </mc:AlternateContent>
      </w:r>
    </w:p>
    <w:p w:rsidR="008340EE" w:rsidRDefault="008340EE">
      <w:pPr>
        <w:pStyle w:val="Caption"/>
        <w:pBdr>
          <w:top w:val="thinThickSmallGap" w:sz="24" w:space="1" w:color="auto"/>
          <w:left w:val="thinThickSmallGap" w:sz="24" w:space="4" w:color="auto"/>
          <w:bottom w:val="thickThinSmallGap" w:sz="24" w:space="0" w:color="auto"/>
          <w:right w:val="thickThinSmallGap" w:sz="24" w:space="4" w:color="auto"/>
        </w:pBdr>
      </w:pPr>
    </w:p>
    <w:p w:rsidR="008340EE" w:rsidRDefault="00D71470">
      <w:pPr>
        <w:pStyle w:val="Caption"/>
        <w:pBdr>
          <w:top w:val="thinThickSmallGap" w:sz="24" w:space="1" w:color="auto"/>
          <w:left w:val="thinThickSmallGap" w:sz="24" w:space="4" w:color="auto"/>
          <w:bottom w:val="thickThinSmallGap" w:sz="24" w:space="0" w:color="auto"/>
          <w:right w:val="thickThinSmallGap" w:sz="24" w:space="4" w:color="auto"/>
        </w:pBdr>
      </w:pPr>
      <w:r>
        <w:rPr>
          <w:noProof/>
          <w:lang w:eastAsia="en-AU"/>
        </w:rPr>
        <mc:AlternateContent>
          <mc:Choice Requires="wps">
            <w:drawing>
              <wp:anchor distT="0" distB="0" distL="114300" distR="114300" simplePos="0" relativeHeight="251657728" behindDoc="0" locked="0" layoutInCell="0" allowOverlap="1">
                <wp:simplePos x="0" y="0"/>
                <wp:positionH relativeFrom="column">
                  <wp:posOffset>956310</wp:posOffset>
                </wp:positionH>
                <wp:positionV relativeFrom="paragraph">
                  <wp:posOffset>281940</wp:posOffset>
                </wp:positionV>
                <wp:extent cx="3764280" cy="161099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610995"/>
                        </a:xfrm>
                        <a:prstGeom prst="rect">
                          <a:avLst/>
                        </a:prstGeom>
                        <a:solidFill>
                          <a:srgbClr val="C0C0C0"/>
                        </a:solidFill>
                        <a:ln w="19050">
                          <a:solidFill>
                            <a:srgbClr val="000000"/>
                          </a:solidFill>
                          <a:miter lim="800000"/>
                          <a:headEnd/>
                          <a:tailEnd/>
                        </a:ln>
                      </wps:spPr>
                      <wps:txbx>
                        <w:txbxContent>
                          <w:p w:rsidR="004B10EB" w:rsidRDefault="004B10EB">
                            <w:pPr>
                              <w:pStyle w:val="BodyText"/>
                              <w:spacing w:before="100" w:beforeAutospacing="1" w:after="100" w:afterAutospacing="1" w:line="240" w:lineRule="auto"/>
                              <w:jc w:val="center"/>
                              <w:rPr>
                                <w:sz w:val="32"/>
                              </w:rPr>
                            </w:pPr>
                            <w:r>
                              <w:rPr>
                                <w:sz w:val="32"/>
                              </w:rPr>
                              <w:t>AUSTRALIAN GAS NETWORKS (VIC) PTY LTD</w:t>
                            </w:r>
                          </w:p>
                          <w:p w:rsidR="004B10EB" w:rsidRDefault="004B10EB">
                            <w:pPr>
                              <w:pStyle w:val="BodyText"/>
                              <w:spacing w:before="100" w:beforeAutospacing="1" w:after="100" w:afterAutospacing="1" w:line="240" w:lineRule="auto"/>
                              <w:jc w:val="center"/>
                              <w:rPr>
                                <w:sz w:val="32"/>
                              </w:rPr>
                            </w:pPr>
                            <w:r>
                              <w:rPr>
                                <w:sz w:val="32"/>
                              </w:rPr>
                              <w:t>ACN 085 899 001</w:t>
                            </w:r>
                          </w:p>
                          <w:p w:rsidR="004B10EB" w:rsidRDefault="004B10EB">
                            <w:pPr>
                              <w:pStyle w:val="BodyText"/>
                              <w:spacing w:before="100" w:beforeAutospacing="1" w:after="100" w:afterAutospacing="1" w:line="240" w:lineRule="auto"/>
                              <w:jc w:val="center"/>
                              <w:rPr>
                                <w:sz w:val="32"/>
                              </w:rPr>
                            </w:pPr>
                            <w:r>
                              <w:t>(</w:t>
                            </w:r>
                            <w:r>
                              <w:rPr>
                                <w:b/>
                              </w:rPr>
                              <w:t>the</w:t>
                            </w:r>
                            <w:r>
                              <w:t xml:space="preserve"> </w:t>
                            </w:r>
                            <w:r>
                              <w:rPr>
                                <w:b/>
                              </w:rPr>
                              <w:t>Distributor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75.3pt;margin-top:22.2pt;width:296.4pt;height:1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" o:allowincell="f" fillcolor="silver" strokeweight="1.5pt">
                <v:textbox>
                  <w:txbxContent>
                    <w:p w:rsidR="004B10EB" w:rsidRDefault="004B10EB">
                      <w:pPr>
                        <w:pStyle w:val="BodyText"/>
                        <w:spacing w:before="100" w:beforeAutospacing="1" w:after="100" w:afterAutospacing="1" w:line="240" w:lineRule="auto"/>
                        <w:jc w:val="center"/>
                        <w:rPr>
                          <w:sz w:val="32"/>
                        </w:rPr>
                      </w:pPr>
                      <w:r>
                        <w:rPr>
                          <w:sz w:val="32"/>
                        </w:rPr>
                        <w:t>AUSTRALIAN GAS NETWORKS (VIC) PTY LTD</w:t>
                      </w:r>
                    </w:p>
                    <w:p w:rsidR="004B10EB" w:rsidRDefault="004B10EB">
                      <w:pPr>
                        <w:pStyle w:val="BodyText"/>
                        <w:spacing w:before="100" w:beforeAutospacing="1" w:after="100" w:afterAutospacing="1" w:line="240" w:lineRule="auto"/>
                        <w:jc w:val="center"/>
                        <w:rPr>
                          <w:sz w:val="32"/>
                        </w:rPr>
                      </w:pPr>
                      <w:r>
                        <w:rPr>
                          <w:sz w:val="32"/>
                        </w:rPr>
                        <w:t>ACN 085 899 001</w:t>
                      </w:r>
                    </w:p>
                    <w:p w:rsidR="004B10EB" w:rsidRDefault="004B10EB">
                      <w:pPr>
                        <w:pStyle w:val="BodyText"/>
                        <w:spacing w:before="100" w:beforeAutospacing="1" w:after="100" w:afterAutospacing="1" w:line="240" w:lineRule="auto"/>
                        <w:jc w:val="center"/>
                        <w:rPr>
                          <w:sz w:val="32"/>
                        </w:rPr>
                      </w:pPr>
                      <w:r>
                        <w:t>(</w:t>
                      </w:r>
                      <w:r>
                        <w:rPr>
                          <w:b/>
                        </w:rPr>
                        <w:t>the</w:t>
                      </w:r>
                      <w:r>
                        <w:t xml:space="preserve"> </w:t>
                      </w:r>
                      <w:r>
                        <w:rPr>
                          <w:b/>
                        </w:rPr>
                        <w:t>Distributor</w:t>
                      </w:r>
                      <w:r>
                        <w:t>)</w:t>
                      </w:r>
                    </w:p>
                  </w:txbxContent>
                </v:textbox>
              </v:shape>
            </w:pict>
          </mc:Fallback>
        </mc:AlternateContent>
      </w:r>
    </w:p>
    <w:p w:rsidR="008340EE" w:rsidRDefault="008340EE">
      <w:pPr>
        <w:pStyle w:val="Caption"/>
        <w:pBdr>
          <w:top w:val="thinThickSmallGap" w:sz="24" w:space="1" w:color="auto"/>
          <w:left w:val="thinThickSmallGap" w:sz="24" w:space="4" w:color="auto"/>
          <w:bottom w:val="thickThinSmallGap" w:sz="24" w:space="0" w:color="auto"/>
          <w:right w:val="thickThinSmallGap" w:sz="24" w:space="4" w:color="auto"/>
        </w:pBdr>
      </w:pPr>
    </w:p>
    <w:p w:rsidR="008340EE" w:rsidRDefault="008340EE">
      <w:pPr>
        <w:pStyle w:val="Caption"/>
        <w:pBdr>
          <w:top w:val="thinThickSmallGap" w:sz="24" w:space="1" w:color="auto"/>
          <w:left w:val="thinThickSmallGap" w:sz="24" w:space="4" w:color="auto"/>
          <w:bottom w:val="thickThinSmallGap" w:sz="24" w:space="0" w:color="auto"/>
          <w:right w:val="thickThinSmallGap" w:sz="24" w:space="4" w:color="auto"/>
        </w:pBdr>
      </w:pPr>
    </w:p>
    <w:p w:rsidR="008340EE" w:rsidRDefault="008340EE">
      <w:pPr>
        <w:pStyle w:val="Caption"/>
        <w:pBdr>
          <w:top w:val="thinThickSmallGap" w:sz="24" w:space="1" w:color="auto"/>
          <w:left w:val="thinThickSmallGap" w:sz="24" w:space="4" w:color="auto"/>
          <w:bottom w:val="thickThinSmallGap" w:sz="24" w:space="0" w:color="auto"/>
          <w:right w:val="thickThinSmallGap" w:sz="24" w:space="4" w:color="auto"/>
        </w:pBdr>
      </w:pPr>
    </w:p>
    <w:p w:rsidR="008340EE" w:rsidRDefault="008340EE">
      <w:pPr>
        <w:pStyle w:val="Caption"/>
        <w:pBdr>
          <w:top w:val="thinThickSmallGap" w:sz="24" w:space="1" w:color="auto"/>
          <w:left w:val="thinThickSmallGap" w:sz="24" w:space="4" w:color="auto"/>
          <w:bottom w:val="thickThinSmallGap" w:sz="24" w:space="0" w:color="auto"/>
          <w:right w:val="thickThinSmallGap" w:sz="24" w:space="4" w:color="auto"/>
        </w:pBdr>
        <w:spacing w:after="0"/>
      </w:pPr>
    </w:p>
    <w:p w:rsidR="008340EE" w:rsidRDefault="002C4C73">
      <w:pPr>
        <w:pStyle w:val="Caption"/>
        <w:pBdr>
          <w:top w:val="thinThickSmallGap" w:sz="24" w:space="1" w:color="auto"/>
          <w:left w:val="thinThickSmallGap" w:sz="24" w:space="4" w:color="auto"/>
          <w:bottom w:val="thickThinSmallGap" w:sz="24" w:space="0" w:color="auto"/>
          <w:right w:val="thickThinSmallGap" w:sz="24" w:space="4" w:color="auto"/>
        </w:pBdr>
        <w:spacing w:after="0"/>
        <w:jc w:val="center"/>
        <w:rPr>
          <w:rFonts w:ascii="Times New Roman" w:hAnsi="Times New Roman"/>
          <w:sz w:val="24"/>
        </w:rPr>
      </w:pPr>
      <w:r>
        <w:rPr>
          <w:rFonts w:ascii="Times New Roman" w:hAnsi="Times New Roman"/>
          <w:sz w:val="24"/>
        </w:rPr>
        <w:t xml:space="preserve">As varied on </w:t>
      </w:r>
    </w:p>
    <w:p w:rsidR="008340EE" w:rsidRDefault="0032326E">
      <w:pPr>
        <w:pStyle w:val="Caption"/>
        <w:pBdr>
          <w:top w:val="thinThickSmallGap" w:sz="24" w:space="1" w:color="auto"/>
          <w:left w:val="thinThickSmallGap" w:sz="24" w:space="4" w:color="auto"/>
          <w:bottom w:val="thickThinSmallGap" w:sz="24" w:space="0" w:color="auto"/>
          <w:right w:val="thickThinSmallGap" w:sz="24" w:space="4" w:color="auto"/>
        </w:pBdr>
        <w:spacing w:after="0"/>
        <w:jc w:val="center"/>
        <w:rPr>
          <w:rFonts w:ascii="Times New Roman" w:hAnsi="Times New Roman"/>
          <w:sz w:val="24"/>
        </w:rPr>
      </w:pPr>
      <w:r>
        <w:rPr>
          <w:rFonts w:ascii="Times New Roman" w:hAnsi="Times New Roman"/>
          <w:sz w:val="24"/>
        </w:rPr>
        <w:t>30</w:t>
      </w:r>
      <w:r w:rsidR="00AA1393">
        <w:rPr>
          <w:rFonts w:ascii="Times New Roman" w:hAnsi="Times New Roman"/>
          <w:sz w:val="24"/>
        </w:rPr>
        <w:t xml:space="preserve"> August</w:t>
      </w:r>
      <w:r w:rsidR="00EC097F">
        <w:rPr>
          <w:rFonts w:ascii="Times New Roman" w:hAnsi="Times New Roman"/>
          <w:sz w:val="24"/>
        </w:rPr>
        <w:t xml:space="preserve"> 2017</w:t>
      </w:r>
    </w:p>
    <w:p w:rsidR="008340EE" w:rsidRDefault="008340EE">
      <w:pPr>
        <w:pBdr>
          <w:top w:val="thinThickSmallGap" w:sz="24" w:space="1" w:color="auto"/>
          <w:left w:val="thinThickSmallGap" w:sz="24" w:space="4" w:color="auto"/>
          <w:bottom w:val="thickThinSmallGap" w:sz="24" w:space="0" w:color="auto"/>
          <w:right w:val="thickThinSmallGap" w:sz="24" w:space="4" w:color="auto"/>
        </w:pBdr>
      </w:pPr>
    </w:p>
    <w:p w:rsidR="008340EE" w:rsidRDefault="008340EE">
      <w:pPr>
        <w:pBdr>
          <w:top w:val="thinThickSmallGap" w:sz="24" w:space="1" w:color="auto"/>
          <w:left w:val="thinThickSmallGap" w:sz="24" w:space="4" w:color="auto"/>
          <w:bottom w:val="thickThinSmallGap" w:sz="24" w:space="0" w:color="auto"/>
          <w:right w:val="thickThinSmallGap" w:sz="24" w:space="4" w:color="auto"/>
        </w:pBdr>
        <w:rPr>
          <w:sz w:val="20"/>
        </w:rPr>
      </w:pPr>
    </w:p>
    <w:p w:rsidR="008340EE" w:rsidRDefault="008340EE">
      <w:pPr>
        <w:pBdr>
          <w:top w:val="thinThickSmallGap" w:sz="24" w:space="1" w:color="auto"/>
          <w:left w:val="thinThickSmallGap" w:sz="24" w:space="4" w:color="auto"/>
          <w:bottom w:val="thickThinSmallGap" w:sz="24" w:space="0" w:color="auto"/>
          <w:right w:val="thickThinSmallGap" w:sz="24" w:space="4" w:color="auto"/>
        </w:pBdr>
        <w:rPr>
          <w:sz w:val="20"/>
        </w:rPr>
      </w:pPr>
    </w:p>
    <w:p w:rsidR="008340EE" w:rsidRDefault="008340EE">
      <w:pPr>
        <w:pBdr>
          <w:top w:val="thinThickSmallGap" w:sz="24" w:space="1" w:color="auto"/>
          <w:left w:val="thinThickSmallGap" w:sz="24" w:space="4" w:color="auto"/>
          <w:bottom w:val="thickThinSmallGap" w:sz="24" w:space="0" w:color="auto"/>
          <w:right w:val="thickThinSmallGap" w:sz="24" w:space="4" w:color="auto"/>
        </w:pBdr>
      </w:pPr>
    </w:p>
    <w:p w:rsidR="008340EE" w:rsidRDefault="002C4C73">
      <w:pPr>
        <w:pBdr>
          <w:top w:val="thinThickSmallGap" w:sz="24" w:space="1" w:color="auto"/>
          <w:left w:val="thinThickSmallGap" w:sz="24" w:space="4" w:color="auto"/>
          <w:bottom w:val="thickThinSmallGap" w:sz="24" w:space="0" w:color="auto"/>
          <w:right w:val="thickThinSmallGap" w:sz="24" w:space="4" w:color="auto"/>
        </w:pBdr>
        <w:jc w:val="center"/>
      </w:pPr>
      <w:r>
        <w:t>Essential Services Commission</w:t>
      </w:r>
    </w:p>
    <w:p w:rsidR="008340EE" w:rsidRDefault="002C4C73">
      <w:pPr>
        <w:pBdr>
          <w:top w:val="thinThickSmallGap" w:sz="24" w:space="1" w:color="auto"/>
          <w:left w:val="thinThickSmallGap" w:sz="24" w:space="4" w:color="auto"/>
          <w:bottom w:val="thickThinSmallGap" w:sz="24" w:space="0" w:color="auto"/>
          <w:right w:val="thickThinSmallGap" w:sz="24" w:space="4" w:color="auto"/>
        </w:pBdr>
        <w:jc w:val="center"/>
      </w:pPr>
      <w:r>
        <w:t xml:space="preserve">Level </w:t>
      </w:r>
      <w:r w:rsidR="00EC097F">
        <w:t>37</w:t>
      </w:r>
      <w:r>
        <w:t xml:space="preserve">, </w:t>
      </w:r>
      <w:r w:rsidR="00EC097F">
        <w:t>2 Lonsdale Street</w:t>
      </w:r>
    </w:p>
    <w:p w:rsidR="008340EE" w:rsidRDefault="002C4C73">
      <w:pPr>
        <w:pBdr>
          <w:top w:val="thinThickSmallGap" w:sz="24" w:space="1" w:color="auto"/>
          <w:left w:val="thinThickSmallGap" w:sz="24" w:space="4" w:color="auto"/>
          <w:bottom w:val="thickThinSmallGap" w:sz="24" w:space="0" w:color="auto"/>
          <w:right w:val="thickThinSmallGap" w:sz="24" w:space="4" w:color="auto"/>
        </w:pBdr>
        <w:jc w:val="center"/>
      </w:pPr>
      <w:r>
        <w:t>Melbourne 3000</w:t>
      </w:r>
    </w:p>
    <w:p w:rsidR="008340EE" w:rsidRDefault="002C4C73">
      <w:pPr>
        <w:pBdr>
          <w:top w:val="thinThickSmallGap" w:sz="24" w:space="1" w:color="auto"/>
          <w:left w:val="thinThickSmallGap" w:sz="24" w:space="4" w:color="auto"/>
          <w:bottom w:val="thickThinSmallGap" w:sz="24" w:space="0" w:color="auto"/>
          <w:right w:val="thickThinSmallGap" w:sz="24" w:space="4" w:color="auto"/>
        </w:pBdr>
        <w:jc w:val="center"/>
        <w:rPr>
          <w:sz w:val="20"/>
        </w:rPr>
      </w:pPr>
      <w:r>
        <w:t xml:space="preserve">Telephone (03) </w:t>
      </w:r>
      <w:r w:rsidR="00EC097F">
        <w:t>9032 1300</w:t>
      </w:r>
      <w:r>
        <w:t xml:space="preserve">, facsimile (03) </w:t>
      </w:r>
      <w:r w:rsidR="00EC097F">
        <w:t>9032 1303</w:t>
      </w:r>
    </w:p>
    <w:p w:rsidR="008340EE" w:rsidRDefault="008340EE">
      <w:pPr>
        <w:pBdr>
          <w:top w:val="thinThickSmallGap" w:sz="24" w:space="1" w:color="auto"/>
          <w:left w:val="thinThickSmallGap" w:sz="24" w:space="4" w:color="auto"/>
          <w:bottom w:val="thickThinSmallGap" w:sz="24" w:space="0" w:color="auto"/>
          <w:right w:val="thickThinSmallGap" w:sz="24" w:space="4" w:color="auto"/>
        </w:pBdr>
        <w:rPr>
          <w:sz w:val="20"/>
        </w:rPr>
      </w:pPr>
    </w:p>
    <w:p w:rsidR="008340EE" w:rsidRDefault="008340EE">
      <w:pPr>
        <w:pBdr>
          <w:top w:val="thinThickSmallGap" w:sz="24" w:space="1" w:color="auto"/>
          <w:left w:val="thinThickSmallGap" w:sz="24" w:space="4" w:color="auto"/>
          <w:bottom w:val="thickThinSmallGap" w:sz="24" w:space="0" w:color="auto"/>
          <w:right w:val="thickThinSmallGap" w:sz="24" w:space="4" w:color="auto"/>
        </w:pBdr>
        <w:rPr>
          <w:sz w:val="20"/>
        </w:rPr>
      </w:pPr>
    </w:p>
    <w:p w:rsidR="008340EE" w:rsidRDefault="008340EE">
      <w:pPr>
        <w:pBdr>
          <w:top w:val="thinThickSmallGap" w:sz="24" w:space="1" w:color="auto"/>
          <w:left w:val="thinThickSmallGap" w:sz="24" w:space="4" w:color="auto"/>
          <w:bottom w:val="thickThinSmallGap" w:sz="24" w:space="0" w:color="auto"/>
          <w:right w:val="thickThinSmallGap" w:sz="24" w:space="4" w:color="auto"/>
        </w:pBdr>
        <w:rPr>
          <w:sz w:val="20"/>
        </w:rPr>
      </w:pPr>
    </w:p>
    <w:p w:rsidR="008340EE" w:rsidRDefault="008340EE">
      <w:pPr>
        <w:pBdr>
          <w:top w:val="thinThickSmallGap" w:sz="24" w:space="1" w:color="auto"/>
          <w:left w:val="thinThickSmallGap" w:sz="24" w:space="4" w:color="auto"/>
          <w:bottom w:val="thickThinSmallGap" w:sz="24" w:space="0" w:color="auto"/>
          <w:right w:val="thickThinSmallGap" w:sz="24" w:space="4" w:color="auto"/>
        </w:pBdr>
        <w:rPr>
          <w:sz w:val="20"/>
        </w:rPr>
      </w:pPr>
    </w:p>
    <w:p w:rsidR="008340EE" w:rsidRDefault="008340EE">
      <w:pPr>
        <w:pBdr>
          <w:top w:val="thinThickSmallGap" w:sz="24" w:space="1" w:color="auto"/>
          <w:left w:val="thinThickSmallGap" w:sz="24" w:space="4" w:color="auto"/>
          <w:bottom w:val="thickThinSmallGap" w:sz="24" w:space="0" w:color="auto"/>
          <w:right w:val="thickThinSmallGap" w:sz="24" w:space="4" w:color="auto"/>
        </w:pBdr>
        <w:rPr>
          <w:sz w:val="20"/>
        </w:rPr>
      </w:pPr>
    </w:p>
    <w:p w:rsidR="008340EE" w:rsidRDefault="002C4C73">
      <w:pPr>
        <w:pBdr>
          <w:top w:val="thinThickSmallGap" w:sz="24" w:space="1" w:color="auto"/>
          <w:left w:val="thinThickSmallGap" w:sz="24" w:space="4" w:color="auto"/>
          <w:bottom w:val="thickThinSmallGap" w:sz="24" w:space="0" w:color="auto"/>
          <w:right w:val="thickThinSmallGap" w:sz="24" w:space="4" w:color="auto"/>
        </w:pBdr>
        <w:spacing w:line="240" w:lineRule="auto"/>
        <w:rPr>
          <w:sz w:val="20"/>
        </w:rPr>
      </w:pPr>
      <w:r>
        <w:rPr>
          <w:sz w:val="20"/>
        </w:rPr>
        <w:t>File Ref: CMGAS/0017</w:t>
      </w:r>
    </w:p>
    <w:p w:rsidR="008340EE" w:rsidRDefault="00EC097F">
      <w:pPr>
        <w:pBdr>
          <w:top w:val="thinThickSmallGap" w:sz="24" w:space="1" w:color="auto"/>
          <w:left w:val="thinThickSmallGap" w:sz="24" w:space="4" w:color="auto"/>
          <w:bottom w:val="thickThinSmallGap" w:sz="24" w:space="0" w:color="auto"/>
          <w:right w:val="thickThinSmallGap" w:sz="24" w:space="4" w:color="auto"/>
        </w:pBdr>
        <w:spacing w:line="240" w:lineRule="auto"/>
        <w:rPr>
          <w:sz w:val="18"/>
        </w:rPr>
      </w:pPr>
      <w:r>
        <w:rPr>
          <w:sz w:val="18"/>
        </w:rPr>
        <w:t>RM: C/17/</w:t>
      </w:r>
      <w:r w:rsidR="00BA684B">
        <w:rPr>
          <w:sz w:val="18"/>
        </w:rPr>
        <w:t>5272</w:t>
      </w:r>
    </w:p>
    <w:p w:rsidR="008340EE" w:rsidRDefault="008340EE">
      <w:pPr>
        <w:jc w:val="center"/>
      </w:pPr>
    </w:p>
    <w:p w:rsidR="008340EE" w:rsidRDefault="008340EE">
      <w:pPr>
        <w:jc w:val="center"/>
        <w:sectPr w:rsidR="008340EE">
          <w:footerReference w:type="default" r:id="rId9"/>
          <w:pgSz w:w="11906" w:h="16838" w:code="9"/>
          <w:pgMar w:top="1440" w:right="1440" w:bottom="1440" w:left="1440" w:header="720" w:footer="720" w:gutter="0"/>
          <w:pgNumType w:start="1"/>
          <w:cols w:space="720"/>
        </w:sectPr>
      </w:pPr>
    </w:p>
    <w:p w:rsidR="008340EE" w:rsidRDefault="008340EE">
      <w:pPr>
        <w:jc w:val="center"/>
      </w:pPr>
    </w:p>
    <w:p w:rsidR="008340EE" w:rsidRDefault="002C4C73">
      <w:pPr>
        <w:pStyle w:val="TOC1"/>
        <w:tabs>
          <w:tab w:val="clear" w:pos="7371"/>
          <w:tab w:val="left" w:pos="454"/>
          <w:tab w:val="left" w:pos="8080"/>
        </w:tabs>
        <w:rPr>
          <w:noProof/>
        </w:rPr>
      </w:pPr>
      <w:r>
        <w:fldChar w:fldCharType="begin"/>
      </w:r>
      <w:r>
        <w:instrText xml:space="preserve"> TOC \o "1-3" </w:instrText>
      </w:r>
      <w:r>
        <w:fldChar w:fldCharType="separate"/>
      </w:r>
      <w:r>
        <w:rPr>
          <w:noProof/>
          <w:snapToGrid w:val="0"/>
        </w:rPr>
        <w:t>1.</w:t>
      </w:r>
      <w:r>
        <w:rPr>
          <w:noProof/>
        </w:rPr>
        <w:tab/>
      </w:r>
      <w:r>
        <w:rPr>
          <w:noProof/>
          <w:snapToGrid w:val="0"/>
        </w:rPr>
        <w:t>GRANT OF LICENCE</w:t>
      </w:r>
      <w:r>
        <w:rPr>
          <w:noProof/>
        </w:rPr>
        <w:tab/>
      </w:r>
      <w:r>
        <w:rPr>
          <w:noProof/>
        </w:rPr>
        <w:fldChar w:fldCharType="begin"/>
      </w:r>
      <w:r>
        <w:rPr>
          <w:noProof/>
        </w:rPr>
        <w:instrText xml:space="preserve"> PAGEREF _Toc1299465 \h </w:instrText>
      </w:r>
      <w:r>
        <w:rPr>
          <w:noProof/>
        </w:rPr>
      </w:r>
      <w:r>
        <w:rPr>
          <w:noProof/>
        </w:rPr>
        <w:fldChar w:fldCharType="separate"/>
      </w:r>
      <w:r w:rsidR="00AA1393">
        <w:rPr>
          <w:noProof/>
        </w:rPr>
        <w:t>1</w:t>
      </w:r>
      <w:r>
        <w:rPr>
          <w:noProof/>
        </w:rPr>
        <w:fldChar w:fldCharType="end"/>
      </w:r>
    </w:p>
    <w:p w:rsidR="008340EE" w:rsidRDefault="002C4C73">
      <w:pPr>
        <w:pStyle w:val="TOC1"/>
        <w:tabs>
          <w:tab w:val="clear" w:pos="7371"/>
          <w:tab w:val="left" w:pos="454"/>
          <w:tab w:val="left" w:pos="8080"/>
        </w:tabs>
        <w:rPr>
          <w:noProof/>
        </w:rPr>
      </w:pPr>
      <w:r>
        <w:rPr>
          <w:noProof/>
          <w:snapToGrid w:val="0"/>
        </w:rPr>
        <w:t>2.</w:t>
      </w:r>
      <w:r>
        <w:rPr>
          <w:noProof/>
        </w:rPr>
        <w:tab/>
      </w:r>
      <w:r>
        <w:rPr>
          <w:noProof/>
          <w:snapToGrid w:val="0"/>
        </w:rPr>
        <w:t>TERM</w:t>
      </w:r>
      <w:r>
        <w:rPr>
          <w:noProof/>
        </w:rPr>
        <w:tab/>
      </w:r>
      <w:r>
        <w:rPr>
          <w:noProof/>
        </w:rPr>
        <w:fldChar w:fldCharType="begin"/>
      </w:r>
      <w:r>
        <w:rPr>
          <w:noProof/>
        </w:rPr>
        <w:instrText xml:space="preserve"> PAGEREF _Toc1299466 \h </w:instrText>
      </w:r>
      <w:r>
        <w:rPr>
          <w:noProof/>
        </w:rPr>
      </w:r>
      <w:r>
        <w:rPr>
          <w:noProof/>
        </w:rPr>
        <w:fldChar w:fldCharType="separate"/>
      </w:r>
      <w:r w:rsidR="00AA1393">
        <w:rPr>
          <w:noProof/>
        </w:rPr>
        <w:t>1</w:t>
      </w:r>
      <w:r>
        <w:rPr>
          <w:noProof/>
        </w:rPr>
        <w:fldChar w:fldCharType="end"/>
      </w:r>
    </w:p>
    <w:p w:rsidR="008340EE" w:rsidRDefault="002C4C73">
      <w:pPr>
        <w:pStyle w:val="TOC1"/>
        <w:tabs>
          <w:tab w:val="clear" w:pos="7371"/>
          <w:tab w:val="left" w:pos="454"/>
          <w:tab w:val="left" w:pos="8080"/>
        </w:tabs>
        <w:rPr>
          <w:noProof/>
        </w:rPr>
      </w:pPr>
      <w:r>
        <w:rPr>
          <w:noProof/>
        </w:rPr>
        <w:t>3.</w:t>
      </w:r>
      <w:r>
        <w:rPr>
          <w:noProof/>
        </w:rPr>
        <w:tab/>
        <w:t>VARIATION AND REVOCATION</w:t>
      </w:r>
      <w:r>
        <w:rPr>
          <w:noProof/>
        </w:rPr>
        <w:tab/>
      </w:r>
      <w:r>
        <w:rPr>
          <w:noProof/>
        </w:rPr>
        <w:fldChar w:fldCharType="begin"/>
      </w:r>
      <w:r>
        <w:rPr>
          <w:noProof/>
        </w:rPr>
        <w:instrText xml:space="preserve"> PAGEREF _Toc1299467 \h </w:instrText>
      </w:r>
      <w:r>
        <w:rPr>
          <w:noProof/>
        </w:rPr>
      </w:r>
      <w:r>
        <w:rPr>
          <w:noProof/>
        </w:rPr>
        <w:fldChar w:fldCharType="separate"/>
      </w:r>
      <w:r w:rsidR="00AA1393">
        <w:rPr>
          <w:noProof/>
        </w:rPr>
        <w:t>1</w:t>
      </w:r>
      <w:r>
        <w:rPr>
          <w:noProof/>
        </w:rPr>
        <w:fldChar w:fldCharType="end"/>
      </w:r>
    </w:p>
    <w:p w:rsidR="008340EE" w:rsidRDefault="002C4C73">
      <w:pPr>
        <w:pStyle w:val="TOC1"/>
        <w:tabs>
          <w:tab w:val="clear" w:pos="7371"/>
          <w:tab w:val="left" w:pos="454"/>
          <w:tab w:val="left" w:pos="8080"/>
        </w:tabs>
        <w:rPr>
          <w:noProof/>
        </w:rPr>
      </w:pPr>
      <w:r>
        <w:rPr>
          <w:noProof/>
          <w:snapToGrid w:val="0"/>
        </w:rPr>
        <w:t>4.</w:t>
      </w:r>
      <w:r>
        <w:rPr>
          <w:noProof/>
        </w:rPr>
        <w:tab/>
      </w:r>
      <w:r>
        <w:rPr>
          <w:noProof/>
          <w:snapToGrid w:val="0"/>
        </w:rPr>
        <w:t>COMPLIANCE WITH CODEs, RULES AND OTHER REQUIREMENTS</w:t>
      </w:r>
      <w:r>
        <w:rPr>
          <w:noProof/>
        </w:rPr>
        <w:tab/>
      </w:r>
      <w:r>
        <w:rPr>
          <w:noProof/>
        </w:rPr>
        <w:fldChar w:fldCharType="begin"/>
      </w:r>
      <w:r>
        <w:rPr>
          <w:noProof/>
        </w:rPr>
        <w:instrText xml:space="preserve"> PAGEREF _Toc1299468 \h </w:instrText>
      </w:r>
      <w:r>
        <w:rPr>
          <w:noProof/>
        </w:rPr>
      </w:r>
      <w:r>
        <w:rPr>
          <w:noProof/>
        </w:rPr>
        <w:fldChar w:fldCharType="separate"/>
      </w:r>
      <w:r w:rsidR="00AA1393">
        <w:rPr>
          <w:noProof/>
        </w:rPr>
        <w:t>2</w:t>
      </w:r>
      <w:r>
        <w:rPr>
          <w:noProof/>
        </w:rPr>
        <w:fldChar w:fldCharType="end"/>
      </w:r>
    </w:p>
    <w:p w:rsidR="008340EE" w:rsidRDefault="002C4C73">
      <w:pPr>
        <w:pStyle w:val="TOC1"/>
        <w:tabs>
          <w:tab w:val="clear" w:pos="7371"/>
          <w:tab w:val="left" w:pos="454"/>
          <w:tab w:val="left" w:pos="8080"/>
        </w:tabs>
        <w:rPr>
          <w:noProof/>
        </w:rPr>
      </w:pPr>
      <w:r>
        <w:rPr>
          <w:noProof/>
        </w:rPr>
        <w:t>5.</w:t>
      </w:r>
      <w:r>
        <w:rPr>
          <w:noProof/>
        </w:rPr>
        <w:tab/>
        <w:t>DEEMED DISTRIBUTION CONTRACTS</w:t>
      </w:r>
      <w:r>
        <w:rPr>
          <w:noProof/>
        </w:rPr>
        <w:tab/>
      </w:r>
      <w:r>
        <w:rPr>
          <w:noProof/>
        </w:rPr>
        <w:fldChar w:fldCharType="begin"/>
      </w:r>
      <w:r>
        <w:rPr>
          <w:noProof/>
        </w:rPr>
        <w:instrText xml:space="preserve"> PAGEREF _Toc1299469 \h </w:instrText>
      </w:r>
      <w:r>
        <w:rPr>
          <w:noProof/>
        </w:rPr>
      </w:r>
      <w:r>
        <w:rPr>
          <w:noProof/>
        </w:rPr>
        <w:fldChar w:fldCharType="separate"/>
      </w:r>
      <w:r w:rsidR="00AA1393">
        <w:rPr>
          <w:noProof/>
        </w:rPr>
        <w:t>3</w:t>
      </w:r>
      <w:r>
        <w:rPr>
          <w:noProof/>
        </w:rPr>
        <w:fldChar w:fldCharType="end"/>
      </w:r>
    </w:p>
    <w:p w:rsidR="008340EE" w:rsidRDefault="002C4C73">
      <w:pPr>
        <w:pStyle w:val="TOC1"/>
        <w:tabs>
          <w:tab w:val="clear" w:pos="7371"/>
          <w:tab w:val="left" w:pos="454"/>
          <w:tab w:val="left" w:pos="8080"/>
        </w:tabs>
        <w:rPr>
          <w:noProof/>
        </w:rPr>
      </w:pPr>
      <w:r>
        <w:rPr>
          <w:noProof/>
          <w:snapToGrid w:val="0"/>
        </w:rPr>
        <w:t>6.</w:t>
      </w:r>
      <w:r>
        <w:rPr>
          <w:noProof/>
        </w:rPr>
        <w:tab/>
      </w:r>
      <w:r>
        <w:rPr>
          <w:noProof/>
          <w:snapToGrid w:val="0"/>
        </w:rPr>
        <w:t>PROVISION OF INFORMATION and maintenance of separate accounts</w:t>
      </w:r>
      <w:r>
        <w:rPr>
          <w:noProof/>
        </w:rPr>
        <w:tab/>
      </w:r>
      <w:r>
        <w:rPr>
          <w:noProof/>
        </w:rPr>
        <w:fldChar w:fldCharType="begin"/>
      </w:r>
      <w:r>
        <w:rPr>
          <w:noProof/>
        </w:rPr>
        <w:instrText xml:space="preserve"> PAGEREF _Toc1299470 \h </w:instrText>
      </w:r>
      <w:r>
        <w:rPr>
          <w:noProof/>
        </w:rPr>
      </w:r>
      <w:r>
        <w:rPr>
          <w:noProof/>
        </w:rPr>
        <w:fldChar w:fldCharType="separate"/>
      </w:r>
      <w:r w:rsidR="00AA1393">
        <w:rPr>
          <w:noProof/>
        </w:rPr>
        <w:t>4</w:t>
      </w:r>
      <w:r>
        <w:rPr>
          <w:noProof/>
        </w:rPr>
        <w:fldChar w:fldCharType="end"/>
      </w:r>
    </w:p>
    <w:p w:rsidR="008340EE" w:rsidRDefault="002C4C73">
      <w:pPr>
        <w:pStyle w:val="TOC1"/>
        <w:tabs>
          <w:tab w:val="clear" w:pos="7371"/>
          <w:tab w:val="left" w:pos="454"/>
          <w:tab w:val="left" w:pos="8080"/>
        </w:tabs>
        <w:rPr>
          <w:noProof/>
        </w:rPr>
      </w:pPr>
      <w:r>
        <w:rPr>
          <w:noProof/>
        </w:rPr>
        <w:t>7.</w:t>
      </w:r>
      <w:r>
        <w:rPr>
          <w:noProof/>
        </w:rPr>
        <w:tab/>
        <w:t>Dispute Resolution</w:t>
      </w:r>
      <w:r>
        <w:rPr>
          <w:noProof/>
        </w:rPr>
        <w:tab/>
      </w:r>
      <w:r>
        <w:rPr>
          <w:noProof/>
        </w:rPr>
        <w:fldChar w:fldCharType="begin"/>
      </w:r>
      <w:r>
        <w:rPr>
          <w:noProof/>
        </w:rPr>
        <w:instrText xml:space="preserve"> PAGEREF _Toc1299471 \h </w:instrText>
      </w:r>
      <w:r>
        <w:rPr>
          <w:noProof/>
        </w:rPr>
      </w:r>
      <w:r>
        <w:rPr>
          <w:noProof/>
        </w:rPr>
        <w:fldChar w:fldCharType="separate"/>
      </w:r>
      <w:r w:rsidR="00AA1393">
        <w:rPr>
          <w:noProof/>
        </w:rPr>
        <w:t>4</w:t>
      </w:r>
      <w:r>
        <w:rPr>
          <w:noProof/>
        </w:rPr>
        <w:fldChar w:fldCharType="end"/>
      </w:r>
    </w:p>
    <w:p w:rsidR="008340EE" w:rsidRDefault="002C4C73">
      <w:pPr>
        <w:pStyle w:val="TOC1"/>
        <w:tabs>
          <w:tab w:val="clear" w:pos="7371"/>
          <w:tab w:val="left" w:pos="454"/>
          <w:tab w:val="left" w:pos="8080"/>
        </w:tabs>
        <w:rPr>
          <w:noProof/>
        </w:rPr>
      </w:pPr>
      <w:r>
        <w:rPr>
          <w:noProof/>
          <w:snapToGrid w:val="0"/>
        </w:rPr>
        <w:t>8.</w:t>
      </w:r>
      <w:r>
        <w:rPr>
          <w:noProof/>
        </w:rPr>
        <w:tab/>
      </w:r>
      <w:r>
        <w:rPr>
          <w:noProof/>
          <w:snapToGrid w:val="0"/>
        </w:rPr>
        <w:t>PAYMENT OF LICENCE FEES</w:t>
      </w:r>
      <w:r>
        <w:rPr>
          <w:noProof/>
        </w:rPr>
        <w:tab/>
      </w:r>
      <w:r>
        <w:rPr>
          <w:noProof/>
        </w:rPr>
        <w:fldChar w:fldCharType="begin"/>
      </w:r>
      <w:r>
        <w:rPr>
          <w:noProof/>
        </w:rPr>
        <w:instrText xml:space="preserve"> PAGEREF _Toc1299472 \h </w:instrText>
      </w:r>
      <w:r>
        <w:rPr>
          <w:noProof/>
        </w:rPr>
      </w:r>
      <w:r>
        <w:rPr>
          <w:noProof/>
        </w:rPr>
        <w:fldChar w:fldCharType="separate"/>
      </w:r>
      <w:r w:rsidR="00AA1393">
        <w:rPr>
          <w:noProof/>
        </w:rPr>
        <w:t>6</w:t>
      </w:r>
      <w:r>
        <w:rPr>
          <w:noProof/>
        </w:rPr>
        <w:fldChar w:fldCharType="end"/>
      </w:r>
    </w:p>
    <w:p w:rsidR="008340EE" w:rsidRDefault="002C4C73">
      <w:pPr>
        <w:pStyle w:val="TOC1"/>
        <w:tabs>
          <w:tab w:val="clear" w:pos="7371"/>
          <w:tab w:val="left" w:pos="454"/>
          <w:tab w:val="left" w:pos="8080"/>
        </w:tabs>
        <w:rPr>
          <w:noProof/>
        </w:rPr>
      </w:pPr>
      <w:r>
        <w:rPr>
          <w:noProof/>
          <w:snapToGrid w:val="0"/>
        </w:rPr>
        <w:t>9.</w:t>
      </w:r>
      <w:r>
        <w:rPr>
          <w:noProof/>
        </w:rPr>
        <w:tab/>
      </w:r>
      <w:r>
        <w:rPr>
          <w:noProof/>
          <w:snapToGrid w:val="0"/>
        </w:rPr>
        <w:t>COMPLIANCE WITH LAWS</w:t>
      </w:r>
      <w:r>
        <w:rPr>
          <w:noProof/>
        </w:rPr>
        <w:tab/>
      </w:r>
      <w:r>
        <w:rPr>
          <w:noProof/>
        </w:rPr>
        <w:fldChar w:fldCharType="begin"/>
      </w:r>
      <w:r>
        <w:rPr>
          <w:noProof/>
        </w:rPr>
        <w:instrText xml:space="preserve"> PAGEREF _Toc1299473 \h </w:instrText>
      </w:r>
      <w:r>
        <w:rPr>
          <w:noProof/>
        </w:rPr>
      </w:r>
      <w:r>
        <w:rPr>
          <w:noProof/>
        </w:rPr>
        <w:fldChar w:fldCharType="separate"/>
      </w:r>
      <w:r w:rsidR="00AA1393">
        <w:rPr>
          <w:noProof/>
        </w:rPr>
        <w:t>7</w:t>
      </w:r>
      <w:r>
        <w:rPr>
          <w:noProof/>
        </w:rPr>
        <w:fldChar w:fldCharType="end"/>
      </w:r>
    </w:p>
    <w:p w:rsidR="008340EE" w:rsidRDefault="002C4C73">
      <w:pPr>
        <w:pStyle w:val="TOC1"/>
        <w:tabs>
          <w:tab w:val="clear" w:pos="7371"/>
          <w:tab w:val="left" w:pos="454"/>
          <w:tab w:val="left" w:pos="8080"/>
        </w:tabs>
        <w:rPr>
          <w:noProof/>
        </w:rPr>
      </w:pPr>
      <w:r>
        <w:rPr>
          <w:caps w:val="0"/>
          <w:noProof/>
        </w:rPr>
        <w:t>10.</w:t>
      </w:r>
      <w:r>
        <w:rPr>
          <w:noProof/>
        </w:rPr>
        <w:tab/>
      </w:r>
      <w:r>
        <w:rPr>
          <w:caps w:val="0"/>
          <w:noProof/>
        </w:rPr>
        <w:t>OPERATIONAL AND COMPLIANCE AUDITS</w:t>
      </w:r>
      <w:r>
        <w:rPr>
          <w:noProof/>
        </w:rPr>
        <w:tab/>
      </w:r>
      <w:r>
        <w:rPr>
          <w:noProof/>
        </w:rPr>
        <w:fldChar w:fldCharType="begin"/>
      </w:r>
      <w:r>
        <w:rPr>
          <w:noProof/>
        </w:rPr>
        <w:instrText xml:space="preserve"> PAGEREF _Toc1299474 \h </w:instrText>
      </w:r>
      <w:r>
        <w:rPr>
          <w:noProof/>
        </w:rPr>
      </w:r>
      <w:r>
        <w:rPr>
          <w:noProof/>
        </w:rPr>
        <w:fldChar w:fldCharType="separate"/>
      </w:r>
      <w:r w:rsidR="00AA1393">
        <w:rPr>
          <w:noProof/>
        </w:rPr>
        <w:t>7</w:t>
      </w:r>
      <w:r>
        <w:rPr>
          <w:noProof/>
        </w:rPr>
        <w:fldChar w:fldCharType="end"/>
      </w:r>
    </w:p>
    <w:p w:rsidR="008340EE" w:rsidRDefault="002C4C73">
      <w:pPr>
        <w:pStyle w:val="TOC1"/>
        <w:tabs>
          <w:tab w:val="clear" w:pos="7371"/>
          <w:tab w:val="left" w:pos="454"/>
          <w:tab w:val="left" w:pos="8080"/>
        </w:tabs>
        <w:rPr>
          <w:noProof/>
        </w:rPr>
      </w:pPr>
      <w:r>
        <w:rPr>
          <w:noProof/>
          <w:snapToGrid w:val="0"/>
        </w:rPr>
        <w:t>11.</w:t>
      </w:r>
      <w:r>
        <w:rPr>
          <w:noProof/>
        </w:rPr>
        <w:tab/>
      </w:r>
      <w:r>
        <w:rPr>
          <w:noProof/>
          <w:snapToGrid w:val="0"/>
        </w:rPr>
        <w:t>Definitions and INTERPRETATION</w:t>
      </w:r>
      <w:r>
        <w:rPr>
          <w:noProof/>
        </w:rPr>
        <w:tab/>
      </w:r>
      <w:r>
        <w:rPr>
          <w:noProof/>
        </w:rPr>
        <w:fldChar w:fldCharType="begin"/>
      </w:r>
      <w:r>
        <w:rPr>
          <w:noProof/>
        </w:rPr>
        <w:instrText xml:space="preserve"> PAGEREF _Toc1299475 \h </w:instrText>
      </w:r>
      <w:r>
        <w:rPr>
          <w:noProof/>
        </w:rPr>
      </w:r>
      <w:r>
        <w:rPr>
          <w:noProof/>
        </w:rPr>
        <w:fldChar w:fldCharType="separate"/>
      </w:r>
      <w:r w:rsidR="00AA1393">
        <w:rPr>
          <w:noProof/>
        </w:rPr>
        <w:t>7</w:t>
      </w:r>
      <w:r>
        <w:rPr>
          <w:noProof/>
        </w:rPr>
        <w:fldChar w:fldCharType="end"/>
      </w:r>
    </w:p>
    <w:p w:rsidR="008340EE" w:rsidRDefault="002C4C73">
      <w:pPr>
        <w:pStyle w:val="TOC2"/>
        <w:tabs>
          <w:tab w:val="clear" w:pos="7371"/>
          <w:tab w:val="left" w:pos="1174"/>
          <w:tab w:val="left" w:pos="8080"/>
        </w:tabs>
        <w:rPr>
          <w:noProof/>
        </w:rPr>
      </w:pPr>
      <w:r>
        <w:rPr>
          <w:noProof/>
        </w:rPr>
        <w:t>11.1</w:t>
      </w:r>
      <w:r>
        <w:rPr>
          <w:noProof/>
        </w:rPr>
        <w:tab/>
        <w:t>Definitions</w:t>
      </w:r>
      <w:r>
        <w:rPr>
          <w:noProof/>
        </w:rPr>
        <w:tab/>
      </w:r>
      <w:r>
        <w:rPr>
          <w:noProof/>
        </w:rPr>
        <w:fldChar w:fldCharType="begin"/>
      </w:r>
      <w:r>
        <w:rPr>
          <w:noProof/>
        </w:rPr>
        <w:instrText xml:space="preserve"> PAGEREF _Toc1299476 \h </w:instrText>
      </w:r>
      <w:r>
        <w:rPr>
          <w:noProof/>
        </w:rPr>
      </w:r>
      <w:r>
        <w:rPr>
          <w:noProof/>
        </w:rPr>
        <w:fldChar w:fldCharType="separate"/>
      </w:r>
      <w:r w:rsidR="00AA1393">
        <w:rPr>
          <w:noProof/>
        </w:rPr>
        <w:t>7</w:t>
      </w:r>
      <w:r>
        <w:rPr>
          <w:noProof/>
        </w:rPr>
        <w:fldChar w:fldCharType="end"/>
      </w:r>
    </w:p>
    <w:p w:rsidR="008340EE" w:rsidRDefault="002C4C73">
      <w:pPr>
        <w:pStyle w:val="TOC2"/>
        <w:tabs>
          <w:tab w:val="clear" w:pos="7371"/>
          <w:tab w:val="left" w:pos="1174"/>
          <w:tab w:val="left" w:pos="8080"/>
        </w:tabs>
        <w:rPr>
          <w:noProof/>
        </w:rPr>
      </w:pPr>
      <w:r>
        <w:rPr>
          <w:noProof/>
        </w:rPr>
        <w:t>11.2</w:t>
      </w:r>
      <w:r>
        <w:rPr>
          <w:noProof/>
        </w:rPr>
        <w:tab/>
        <w:t>Interpretation</w:t>
      </w:r>
      <w:r>
        <w:rPr>
          <w:noProof/>
        </w:rPr>
        <w:tab/>
      </w:r>
      <w:r>
        <w:rPr>
          <w:noProof/>
        </w:rPr>
        <w:fldChar w:fldCharType="begin"/>
      </w:r>
      <w:r>
        <w:rPr>
          <w:noProof/>
        </w:rPr>
        <w:instrText xml:space="preserve"> PAGEREF _Toc1299477 \h </w:instrText>
      </w:r>
      <w:r>
        <w:rPr>
          <w:noProof/>
        </w:rPr>
      </w:r>
      <w:r>
        <w:rPr>
          <w:noProof/>
        </w:rPr>
        <w:fldChar w:fldCharType="separate"/>
      </w:r>
      <w:r w:rsidR="00AA1393">
        <w:rPr>
          <w:noProof/>
        </w:rPr>
        <w:t>9</w:t>
      </w:r>
      <w:r>
        <w:rPr>
          <w:noProof/>
        </w:rPr>
        <w:fldChar w:fldCharType="end"/>
      </w:r>
    </w:p>
    <w:p w:rsidR="008340EE" w:rsidRDefault="002C4C73">
      <w:pPr>
        <w:tabs>
          <w:tab w:val="left" w:pos="8080"/>
          <w:tab w:val="right" w:pos="9072"/>
        </w:tabs>
        <w:jc w:val="center"/>
      </w:pPr>
      <w:r>
        <w:fldChar w:fldCharType="end"/>
      </w:r>
    </w:p>
    <w:p w:rsidR="008340EE" w:rsidRDefault="008340EE">
      <w:pPr>
        <w:jc w:val="center"/>
        <w:sectPr w:rsidR="008340EE">
          <w:footerReference w:type="default" r:id="rId10"/>
          <w:pgSz w:w="11906" w:h="16838" w:code="9"/>
          <w:pgMar w:top="1440" w:right="1440" w:bottom="1440" w:left="1440" w:header="720" w:footer="720" w:gutter="0"/>
          <w:pgNumType w:start="1"/>
          <w:cols w:space="720"/>
        </w:sectPr>
      </w:pPr>
    </w:p>
    <w:p w:rsidR="008340EE" w:rsidRDefault="008340EE"/>
    <w:p w:rsidR="008340EE" w:rsidRDefault="002C4C73">
      <w:pPr>
        <w:pStyle w:val="Heading1"/>
        <w:rPr>
          <w:snapToGrid w:val="0"/>
        </w:rPr>
      </w:pPr>
      <w:bookmarkStart w:id="1" w:name="_Toc1299465"/>
      <w:r>
        <w:rPr>
          <w:snapToGrid w:val="0"/>
        </w:rPr>
        <w:t>GRANT OF LICENCE</w:t>
      </w:r>
      <w:bookmarkEnd w:id="1"/>
    </w:p>
    <w:p w:rsidR="008340EE" w:rsidRDefault="002C4C73">
      <w:pPr>
        <w:pStyle w:val="BodyText"/>
        <w:ind w:left="720"/>
        <w:rPr>
          <w:snapToGrid w:val="0"/>
          <w:color w:val="000000"/>
          <w:sz w:val="24"/>
        </w:rPr>
      </w:pPr>
      <w:r>
        <w:rPr>
          <w:snapToGrid w:val="0"/>
        </w:rPr>
        <w:t xml:space="preserve">The </w:t>
      </w:r>
      <w:r>
        <w:rPr>
          <w:i/>
          <w:snapToGrid w:val="0"/>
        </w:rPr>
        <w:t>Commission</w:t>
      </w:r>
      <w:r>
        <w:rPr>
          <w:snapToGrid w:val="0"/>
        </w:rPr>
        <w:t xml:space="preserve">, in exercise of the powers conferred by section 26 of the </w:t>
      </w:r>
      <w:r>
        <w:rPr>
          <w:i/>
          <w:snapToGrid w:val="0"/>
        </w:rPr>
        <w:t>Gas Industry Act</w:t>
      </w:r>
      <w:r>
        <w:rPr>
          <w:snapToGrid w:val="0"/>
        </w:rPr>
        <w:t xml:space="preserve">, hereby issues this licence to the </w:t>
      </w:r>
      <w:r>
        <w:rPr>
          <w:i/>
          <w:snapToGrid w:val="0"/>
        </w:rPr>
        <w:t xml:space="preserve">Distributor </w:t>
      </w:r>
      <w:r>
        <w:rPr>
          <w:snapToGrid w:val="0"/>
        </w:rPr>
        <w:t xml:space="preserve">authorising the </w:t>
      </w:r>
      <w:r>
        <w:rPr>
          <w:i/>
          <w:snapToGrid w:val="0"/>
        </w:rPr>
        <w:t>Distributor</w:t>
      </w:r>
      <w:r>
        <w:rPr>
          <w:snapToGrid w:val="0"/>
        </w:rPr>
        <w:t xml:space="preserve"> to provide services by means of </w:t>
      </w:r>
      <w:r>
        <w:rPr>
          <w:i/>
          <w:snapToGrid w:val="0"/>
        </w:rPr>
        <w:t xml:space="preserve">distribution pipelines </w:t>
      </w:r>
      <w:r>
        <w:rPr>
          <w:snapToGrid w:val="0"/>
        </w:rPr>
        <w:t xml:space="preserve">in the </w:t>
      </w:r>
      <w:r>
        <w:rPr>
          <w:i/>
          <w:snapToGrid w:val="0"/>
        </w:rPr>
        <w:t xml:space="preserve">distribution area </w:t>
      </w:r>
      <w:r>
        <w:rPr>
          <w:snapToGrid w:val="0"/>
        </w:rPr>
        <w:t xml:space="preserve">subject to the conditions </w:t>
      </w:r>
      <w:r>
        <w:rPr>
          <w:snapToGrid w:val="0"/>
          <w:color w:val="000000"/>
          <w:sz w:val="24"/>
        </w:rPr>
        <w:t>set out in this licence.</w:t>
      </w:r>
    </w:p>
    <w:p w:rsidR="008340EE" w:rsidRDefault="002C4C73">
      <w:pPr>
        <w:pStyle w:val="Heading1"/>
        <w:rPr>
          <w:snapToGrid w:val="0"/>
        </w:rPr>
      </w:pPr>
      <w:bookmarkStart w:id="2" w:name="_Toc1299466"/>
      <w:r>
        <w:rPr>
          <w:snapToGrid w:val="0"/>
        </w:rPr>
        <w:t>TERM</w:t>
      </w:r>
      <w:bookmarkEnd w:id="2"/>
    </w:p>
    <w:p w:rsidR="008340EE" w:rsidRDefault="002C4C73">
      <w:pPr>
        <w:pStyle w:val="Heading4"/>
        <w:numPr>
          <w:ilvl w:val="0"/>
          <w:numId w:val="0"/>
        </w:numPr>
        <w:ind w:left="720"/>
        <w:rPr>
          <w:snapToGrid w:val="0"/>
        </w:rPr>
      </w:pPr>
      <w:r>
        <w:rPr>
          <w:snapToGrid w:val="0"/>
        </w:rPr>
        <w:t xml:space="preserve">This licence was issued on </w:t>
      </w:r>
      <w:r>
        <w:t xml:space="preserve">11 December 1997 </w:t>
      </w:r>
      <w:r>
        <w:rPr>
          <w:snapToGrid w:val="0"/>
        </w:rPr>
        <w:t>and has been varied on the dates set out in schedule 3.</w:t>
      </w:r>
    </w:p>
    <w:p w:rsidR="008340EE" w:rsidRDefault="002C4C73">
      <w:pPr>
        <w:pStyle w:val="Heading1"/>
      </w:pPr>
      <w:bookmarkStart w:id="3" w:name="_Ref530460032"/>
      <w:bookmarkStart w:id="4" w:name="_Toc1299467"/>
      <w:r>
        <w:t>VARIATION AND REVOCATION</w:t>
      </w:r>
      <w:bookmarkEnd w:id="3"/>
      <w:bookmarkEnd w:id="4"/>
    </w:p>
    <w:p w:rsidR="008340EE" w:rsidRDefault="002C4C73">
      <w:pPr>
        <w:pStyle w:val="Heading4"/>
        <w:rPr>
          <w:snapToGrid w:val="0"/>
        </w:rPr>
      </w:pPr>
      <w:r>
        <w:rPr>
          <w:snapToGrid w:val="0"/>
        </w:rPr>
        <w:t xml:space="preserve">The </w:t>
      </w:r>
      <w:r>
        <w:rPr>
          <w:i/>
          <w:snapToGrid w:val="0"/>
        </w:rPr>
        <w:t xml:space="preserve">Commission </w:t>
      </w:r>
      <w:r>
        <w:rPr>
          <w:snapToGrid w:val="0"/>
        </w:rPr>
        <w:t xml:space="preserve">may vary or revoke this licence in accordance with clause </w:t>
      </w:r>
      <w:r>
        <w:rPr>
          <w:snapToGrid w:val="0"/>
        </w:rPr>
        <w:fldChar w:fldCharType="begin"/>
      </w:r>
      <w:r>
        <w:rPr>
          <w:snapToGrid w:val="0"/>
        </w:rPr>
        <w:instrText xml:space="preserve"> REF _Ref530274563 \w \h  \* MERGEFORMAT </w:instrText>
      </w:r>
      <w:r>
        <w:rPr>
          <w:snapToGrid w:val="0"/>
        </w:rPr>
      </w:r>
      <w:r>
        <w:rPr>
          <w:snapToGrid w:val="0"/>
        </w:rPr>
        <w:fldChar w:fldCharType="separate"/>
      </w:r>
      <w:r w:rsidR="00AA1393">
        <w:rPr>
          <w:snapToGrid w:val="0"/>
        </w:rPr>
        <w:t>3(b)</w:t>
      </w:r>
      <w:r>
        <w:rPr>
          <w:snapToGrid w:val="0"/>
        </w:rPr>
        <w:fldChar w:fldCharType="end"/>
      </w:r>
      <w:r>
        <w:rPr>
          <w:snapToGrid w:val="0"/>
        </w:rPr>
        <w:t xml:space="preserve">, </w:t>
      </w:r>
      <w:r>
        <w:rPr>
          <w:snapToGrid w:val="0"/>
        </w:rPr>
        <w:fldChar w:fldCharType="begin"/>
      </w:r>
      <w:r>
        <w:rPr>
          <w:snapToGrid w:val="0"/>
        </w:rPr>
        <w:instrText xml:space="preserve"> REF _Ref531664419 \w \h  \* MERGEFORMAT </w:instrText>
      </w:r>
      <w:r>
        <w:rPr>
          <w:snapToGrid w:val="0"/>
        </w:rPr>
      </w:r>
      <w:r>
        <w:rPr>
          <w:snapToGrid w:val="0"/>
        </w:rPr>
        <w:fldChar w:fldCharType="separate"/>
      </w:r>
      <w:r w:rsidR="00AA1393">
        <w:rPr>
          <w:snapToGrid w:val="0"/>
        </w:rPr>
        <w:t>3(c)</w:t>
      </w:r>
      <w:r>
        <w:rPr>
          <w:snapToGrid w:val="0"/>
        </w:rPr>
        <w:fldChar w:fldCharType="end"/>
      </w:r>
      <w:r>
        <w:rPr>
          <w:snapToGrid w:val="0"/>
        </w:rPr>
        <w:t xml:space="preserve"> or </w:t>
      </w:r>
      <w:r>
        <w:rPr>
          <w:snapToGrid w:val="0"/>
        </w:rPr>
        <w:fldChar w:fldCharType="begin"/>
      </w:r>
      <w:r>
        <w:rPr>
          <w:snapToGrid w:val="0"/>
        </w:rPr>
        <w:instrText xml:space="preserve"> REF _Ref530460032 \r \h  \* MERGEFORMAT </w:instrText>
      </w:r>
      <w:r>
        <w:rPr>
          <w:snapToGrid w:val="0"/>
        </w:rPr>
      </w:r>
      <w:r>
        <w:rPr>
          <w:snapToGrid w:val="0"/>
        </w:rPr>
        <w:fldChar w:fldCharType="separate"/>
      </w:r>
      <w:r w:rsidR="00AA1393">
        <w:rPr>
          <w:snapToGrid w:val="0"/>
        </w:rPr>
        <w:t>3</w:t>
      </w:r>
      <w:r>
        <w:rPr>
          <w:snapToGrid w:val="0"/>
        </w:rPr>
        <w:fldChar w:fldCharType="end"/>
      </w:r>
      <w:r>
        <w:rPr>
          <w:snapToGrid w:val="0"/>
        </w:rPr>
        <w:fldChar w:fldCharType="begin"/>
      </w:r>
      <w:r>
        <w:rPr>
          <w:snapToGrid w:val="0"/>
        </w:rPr>
        <w:instrText xml:space="preserve"> REF _Ref530274590 \r \h  \* MERGEFORMAT </w:instrText>
      </w:r>
      <w:r>
        <w:rPr>
          <w:snapToGrid w:val="0"/>
        </w:rPr>
      </w:r>
      <w:r>
        <w:rPr>
          <w:snapToGrid w:val="0"/>
        </w:rPr>
        <w:fldChar w:fldCharType="separate"/>
      </w:r>
      <w:r w:rsidR="00AA1393">
        <w:rPr>
          <w:snapToGrid w:val="0"/>
        </w:rPr>
        <w:t>(d)</w:t>
      </w:r>
      <w:r>
        <w:rPr>
          <w:snapToGrid w:val="0"/>
        </w:rPr>
        <w:fldChar w:fldCharType="end"/>
      </w:r>
      <w:r>
        <w:rPr>
          <w:snapToGrid w:val="0"/>
        </w:rPr>
        <w:t>.</w:t>
      </w:r>
    </w:p>
    <w:p w:rsidR="008340EE" w:rsidRDefault="002C4C73">
      <w:pPr>
        <w:pStyle w:val="Heading4"/>
        <w:rPr>
          <w:snapToGrid w:val="0"/>
          <w:color w:val="000000"/>
          <w:sz w:val="24"/>
        </w:rPr>
      </w:pPr>
      <w:bookmarkStart w:id="5" w:name="_Ref530274563"/>
      <w:r>
        <w:rPr>
          <w:snapToGrid w:val="0"/>
        </w:rPr>
        <w:t xml:space="preserve">The </w:t>
      </w:r>
      <w:r>
        <w:rPr>
          <w:i/>
          <w:snapToGrid w:val="0"/>
        </w:rPr>
        <w:t xml:space="preserve">Commission </w:t>
      </w:r>
      <w:r>
        <w:rPr>
          <w:snapToGrid w:val="0"/>
        </w:rPr>
        <w:t xml:space="preserve">may at any time agree with the </w:t>
      </w:r>
      <w:r>
        <w:rPr>
          <w:i/>
          <w:snapToGrid w:val="0"/>
        </w:rPr>
        <w:t xml:space="preserve">Distributor </w:t>
      </w:r>
      <w:r>
        <w:rPr>
          <w:snapToGrid w:val="0"/>
        </w:rPr>
        <w:t>that this licence should be varied or revoked.</w:t>
      </w:r>
      <w:bookmarkEnd w:id="5"/>
    </w:p>
    <w:p w:rsidR="008340EE" w:rsidRDefault="002C4C73">
      <w:pPr>
        <w:pStyle w:val="Heading4"/>
      </w:pPr>
      <w:bookmarkStart w:id="6" w:name="_Ref531664419"/>
      <w:r>
        <w:t xml:space="preserve">The </w:t>
      </w:r>
      <w:r>
        <w:rPr>
          <w:i/>
        </w:rPr>
        <w:t>Commission</w:t>
      </w:r>
      <w:r>
        <w:t xml:space="preserve"> may vary this licence or licence conditions after</w:t>
      </w:r>
      <w:bookmarkEnd w:id="6"/>
      <w:r>
        <w:t>:</w:t>
      </w:r>
    </w:p>
    <w:p w:rsidR="008340EE" w:rsidRDefault="002C4C73">
      <w:pPr>
        <w:pStyle w:val="Heading5"/>
      </w:pPr>
      <w:r>
        <w:t xml:space="preserve">advising the </w:t>
      </w:r>
      <w:r>
        <w:rPr>
          <w:i/>
        </w:rPr>
        <w:t>Distributor</w:t>
      </w:r>
      <w:r>
        <w:t xml:space="preserve"> of the proposed variation; </w:t>
      </w:r>
    </w:p>
    <w:p w:rsidR="008340EE" w:rsidRDefault="002C4C73">
      <w:pPr>
        <w:pStyle w:val="Heading5"/>
      </w:pPr>
      <w:r>
        <w:t xml:space="preserve">giving the </w:t>
      </w:r>
      <w:r>
        <w:rPr>
          <w:i/>
        </w:rPr>
        <w:t>Distributor</w:t>
      </w:r>
      <w:r>
        <w:t xml:space="preserve"> an opportunity to make submissions in relation to the proposed variation; and </w:t>
      </w:r>
    </w:p>
    <w:p w:rsidR="008340EE" w:rsidRDefault="002C4C73">
      <w:pPr>
        <w:pStyle w:val="Heading5"/>
      </w:pPr>
      <w:r>
        <w:t>considering any such submissions.</w:t>
      </w:r>
    </w:p>
    <w:p w:rsidR="008340EE" w:rsidRDefault="002C4C73">
      <w:pPr>
        <w:pStyle w:val="Heading4"/>
        <w:rPr>
          <w:snapToGrid w:val="0"/>
          <w:color w:val="000000"/>
          <w:sz w:val="24"/>
        </w:rPr>
      </w:pPr>
      <w:bookmarkStart w:id="7" w:name="_Ref530274590"/>
      <w:r>
        <w:rPr>
          <w:snapToGrid w:val="0"/>
        </w:rPr>
        <w:t xml:space="preserve">The </w:t>
      </w:r>
      <w:r>
        <w:rPr>
          <w:i/>
        </w:rPr>
        <w:t>Commission</w:t>
      </w:r>
      <w:r>
        <w:t xml:space="preserve"> may at any time give at least 20 business days notice of revocation to the </w:t>
      </w:r>
      <w:r>
        <w:rPr>
          <w:i/>
        </w:rPr>
        <w:t>Distributor</w:t>
      </w:r>
      <w:r>
        <w:rPr>
          <w:i/>
          <w:snapToGrid w:val="0"/>
        </w:rPr>
        <w:t xml:space="preserve"> </w:t>
      </w:r>
      <w:r>
        <w:rPr>
          <w:snapToGrid w:val="0"/>
        </w:rPr>
        <w:t>if:</w:t>
      </w:r>
    </w:p>
    <w:p w:rsidR="008340EE" w:rsidRDefault="002C4C73">
      <w:pPr>
        <w:pStyle w:val="Heading5"/>
        <w:rPr>
          <w:snapToGrid w:val="0"/>
          <w:color w:val="000000"/>
          <w:sz w:val="24"/>
        </w:rPr>
      </w:pPr>
      <w:r>
        <w:rPr>
          <w:snapToGrid w:val="0"/>
        </w:rPr>
        <w:t xml:space="preserve">the </w:t>
      </w:r>
      <w:r>
        <w:rPr>
          <w:i/>
          <w:snapToGrid w:val="0"/>
        </w:rPr>
        <w:t xml:space="preserve">Distributor </w:t>
      </w:r>
      <w:r>
        <w:rPr>
          <w:snapToGrid w:val="0"/>
        </w:rPr>
        <w:t xml:space="preserve">does not comply with an </w:t>
      </w:r>
      <w:r>
        <w:rPr>
          <w:i/>
          <w:snapToGrid w:val="0"/>
        </w:rPr>
        <w:t xml:space="preserve">enforcement order </w:t>
      </w:r>
      <w:r>
        <w:rPr>
          <w:snapToGrid w:val="0"/>
        </w:rPr>
        <w:t xml:space="preserve">or an </w:t>
      </w:r>
      <w:r>
        <w:rPr>
          <w:i/>
          <w:snapToGrid w:val="0"/>
        </w:rPr>
        <w:t>undertaking</w:t>
      </w:r>
      <w:r>
        <w:rPr>
          <w:snapToGrid w:val="0"/>
        </w:rPr>
        <w:t xml:space="preserve">; and </w:t>
      </w:r>
    </w:p>
    <w:p w:rsidR="008340EE" w:rsidRDefault="002C4C73">
      <w:pPr>
        <w:pStyle w:val="Heading5"/>
        <w:rPr>
          <w:snapToGrid w:val="0"/>
          <w:color w:val="000000"/>
          <w:sz w:val="24"/>
        </w:rPr>
      </w:pPr>
      <w:r>
        <w:rPr>
          <w:snapToGrid w:val="0"/>
        </w:rPr>
        <w:t xml:space="preserve">the </w:t>
      </w:r>
      <w:r>
        <w:rPr>
          <w:i/>
          <w:snapToGrid w:val="0"/>
        </w:rPr>
        <w:t xml:space="preserve">Commission </w:t>
      </w:r>
      <w:r>
        <w:rPr>
          <w:snapToGrid w:val="0"/>
        </w:rPr>
        <w:t xml:space="preserve">is satisfied that the revocation of this licence is necessary having regard to the </w:t>
      </w:r>
      <w:r>
        <w:rPr>
          <w:i/>
          <w:snapToGrid w:val="0"/>
          <w:color w:val="000000"/>
          <w:sz w:val="24"/>
        </w:rPr>
        <w:t>policy objective</w:t>
      </w:r>
      <w:r>
        <w:rPr>
          <w:snapToGrid w:val="0"/>
          <w:color w:val="000000"/>
          <w:sz w:val="24"/>
        </w:rPr>
        <w:t>s,</w:t>
      </w:r>
    </w:p>
    <w:p w:rsidR="008340EE" w:rsidRDefault="002C4C73">
      <w:pPr>
        <w:pStyle w:val="BodyText"/>
        <w:ind w:left="720"/>
        <w:rPr>
          <w:snapToGrid w:val="0"/>
        </w:rPr>
      </w:pPr>
      <w:r>
        <w:rPr>
          <w:snapToGrid w:val="0"/>
        </w:rPr>
        <w:t xml:space="preserve">in which case the term of this licence ends, subject to clause </w:t>
      </w:r>
      <w:r>
        <w:rPr>
          <w:snapToGrid w:val="0"/>
        </w:rPr>
        <w:fldChar w:fldCharType="begin"/>
      </w:r>
      <w:r>
        <w:rPr>
          <w:snapToGrid w:val="0"/>
        </w:rPr>
        <w:instrText xml:space="preserve"> REF _Ref530460032 \r \h </w:instrText>
      </w:r>
      <w:r>
        <w:rPr>
          <w:snapToGrid w:val="0"/>
        </w:rPr>
      </w:r>
      <w:r>
        <w:rPr>
          <w:snapToGrid w:val="0"/>
        </w:rPr>
        <w:fldChar w:fldCharType="separate"/>
      </w:r>
      <w:r w:rsidR="00AA1393">
        <w:rPr>
          <w:snapToGrid w:val="0"/>
        </w:rPr>
        <w:t>3</w:t>
      </w:r>
      <w:r>
        <w:rPr>
          <w:snapToGrid w:val="0"/>
        </w:rPr>
        <w:fldChar w:fldCharType="end"/>
      </w:r>
      <w:r>
        <w:rPr>
          <w:snapToGrid w:val="0"/>
        </w:rPr>
        <w:fldChar w:fldCharType="begin"/>
      </w:r>
      <w:r>
        <w:rPr>
          <w:snapToGrid w:val="0"/>
        </w:rPr>
        <w:instrText xml:space="preserve"> REF _Ref530274651 \r \h </w:instrText>
      </w:r>
      <w:r>
        <w:rPr>
          <w:snapToGrid w:val="0"/>
        </w:rPr>
      </w:r>
      <w:r>
        <w:rPr>
          <w:snapToGrid w:val="0"/>
        </w:rPr>
        <w:fldChar w:fldCharType="separate"/>
      </w:r>
      <w:r w:rsidR="00AA1393">
        <w:rPr>
          <w:snapToGrid w:val="0"/>
        </w:rPr>
        <w:t>(e)</w:t>
      </w:r>
      <w:r>
        <w:rPr>
          <w:snapToGrid w:val="0"/>
        </w:rPr>
        <w:fldChar w:fldCharType="end"/>
      </w:r>
      <w:r>
        <w:rPr>
          <w:snapToGrid w:val="0"/>
        </w:rPr>
        <w:t>, on the expiration of the period of the notice.</w:t>
      </w:r>
      <w:bookmarkEnd w:id="7"/>
    </w:p>
    <w:p w:rsidR="008340EE" w:rsidRDefault="002C4C73">
      <w:pPr>
        <w:pStyle w:val="Heading4"/>
        <w:rPr>
          <w:snapToGrid w:val="0"/>
        </w:rPr>
      </w:pPr>
      <w:bookmarkStart w:id="8" w:name="_Ref530274651"/>
      <w:r>
        <w:rPr>
          <w:snapToGrid w:val="0"/>
        </w:rPr>
        <w:lastRenderedPageBreak/>
        <w:t xml:space="preserve">The term of this licence does not end at the expiration of the period of a notice of revocation given under clause </w:t>
      </w:r>
      <w:r>
        <w:rPr>
          <w:snapToGrid w:val="0"/>
        </w:rPr>
        <w:fldChar w:fldCharType="begin"/>
      </w:r>
      <w:r>
        <w:rPr>
          <w:snapToGrid w:val="0"/>
        </w:rPr>
        <w:instrText xml:space="preserve"> REF _Ref530460032 \r \h  \* MERGEFORMAT </w:instrText>
      </w:r>
      <w:r>
        <w:rPr>
          <w:snapToGrid w:val="0"/>
        </w:rPr>
      </w:r>
      <w:r>
        <w:rPr>
          <w:snapToGrid w:val="0"/>
        </w:rPr>
        <w:fldChar w:fldCharType="separate"/>
      </w:r>
      <w:r w:rsidR="00AA1393">
        <w:rPr>
          <w:snapToGrid w:val="0"/>
        </w:rPr>
        <w:t>3</w:t>
      </w:r>
      <w:r>
        <w:rPr>
          <w:snapToGrid w:val="0"/>
        </w:rPr>
        <w:fldChar w:fldCharType="end"/>
      </w:r>
      <w:r>
        <w:rPr>
          <w:snapToGrid w:val="0"/>
        </w:rPr>
        <w:fldChar w:fldCharType="begin"/>
      </w:r>
      <w:r>
        <w:rPr>
          <w:snapToGrid w:val="0"/>
        </w:rPr>
        <w:instrText xml:space="preserve"> REF _Ref530274590 \r \h  \* MERGEFORMAT </w:instrText>
      </w:r>
      <w:r>
        <w:rPr>
          <w:snapToGrid w:val="0"/>
        </w:rPr>
      </w:r>
      <w:r>
        <w:rPr>
          <w:snapToGrid w:val="0"/>
        </w:rPr>
        <w:fldChar w:fldCharType="separate"/>
      </w:r>
      <w:r w:rsidR="00AA1393">
        <w:rPr>
          <w:snapToGrid w:val="0"/>
        </w:rPr>
        <w:t>(d)</w:t>
      </w:r>
      <w:r>
        <w:rPr>
          <w:snapToGrid w:val="0"/>
        </w:rPr>
        <w:fldChar w:fldCharType="end"/>
      </w:r>
      <w:r>
        <w:rPr>
          <w:snapToGrid w:val="0"/>
        </w:rPr>
        <w:t xml:space="preserve"> if, before the expiration, the </w:t>
      </w:r>
      <w:r>
        <w:rPr>
          <w:i/>
          <w:snapToGrid w:val="0"/>
        </w:rPr>
        <w:t xml:space="preserve">Distributor </w:t>
      </w:r>
      <w:r>
        <w:rPr>
          <w:snapToGrid w:val="0"/>
        </w:rPr>
        <w:t xml:space="preserve">complies with the </w:t>
      </w:r>
      <w:r>
        <w:rPr>
          <w:i/>
          <w:snapToGrid w:val="0"/>
        </w:rPr>
        <w:t xml:space="preserve">enforcement order </w:t>
      </w:r>
      <w:r>
        <w:rPr>
          <w:snapToGrid w:val="0"/>
        </w:rPr>
        <w:t xml:space="preserve">or the </w:t>
      </w:r>
      <w:r>
        <w:rPr>
          <w:i/>
          <w:snapToGrid w:val="0"/>
        </w:rPr>
        <w:t xml:space="preserve">undertaking </w:t>
      </w:r>
      <w:r>
        <w:rPr>
          <w:snapToGrid w:val="0"/>
        </w:rPr>
        <w:t>(as the case may be).</w:t>
      </w:r>
      <w:bookmarkEnd w:id="8"/>
    </w:p>
    <w:p w:rsidR="008340EE" w:rsidRDefault="002C4C73">
      <w:pPr>
        <w:pStyle w:val="Heading1"/>
        <w:rPr>
          <w:snapToGrid w:val="0"/>
        </w:rPr>
      </w:pPr>
      <w:bookmarkStart w:id="9" w:name="_Ref530879934"/>
      <w:bookmarkStart w:id="10" w:name="_Toc1299468"/>
      <w:r>
        <w:rPr>
          <w:snapToGrid w:val="0"/>
        </w:rPr>
        <w:t>COMPLIANCE WITH CODEs</w:t>
      </w:r>
      <w:r>
        <w:rPr>
          <w:snapToGrid w:val="0"/>
          <w:sz w:val="29"/>
        </w:rPr>
        <w:t xml:space="preserve">, </w:t>
      </w:r>
      <w:r>
        <w:rPr>
          <w:snapToGrid w:val="0"/>
        </w:rPr>
        <w:t>RULES AND OTHER REQUIREMENTS</w:t>
      </w:r>
      <w:bookmarkEnd w:id="9"/>
      <w:bookmarkEnd w:id="10"/>
    </w:p>
    <w:p w:rsidR="008340EE" w:rsidRDefault="002C4C73">
      <w:pPr>
        <w:pStyle w:val="Heading4"/>
        <w:rPr>
          <w:snapToGrid w:val="0"/>
          <w:color w:val="000000"/>
          <w:sz w:val="24"/>
        </w:rPr>
      </w:pPr>
      <w:bookmarkStart w:id="11" w:name="_Ref530275496"/>
      <w:r>
        <w:rPr>
          <w:snapToGrid w:val="0"/>
        </w:rPr>
        <w:t xml:space="preserve">The </w:t>
      </w:r>
      <w:r>
        <w:rPr>
          <w:i/>
          <w:snapToGrid w:val="0"/>
        </w:rPr>
        <w:t>Distributor</w:t>
      </w:r>
      <w:r>
        <w:rPr>
          <w:snapToGrid w:val="0"/>
        </w:rPr>
        <w:t xml:space="preserve"> must comply with:</w:t>
      </w:r>
      <w:bookmarkEnd w:id="11"/>
    </w:p>
    <w:p w:rsidR="008340EE" w:rsidRDefault="002C4C73">
      <w:pPr>
        <w:pStyle w:val="Heading5"/>
        <w:rPr>
          <w:snapToGrid w:val="0"/>
        </w:rPr>
      </w:pPr>
      <w:r>
        <w:rPr>
          <w:snapToGrid w:val="0"/>
        </w:rPr>
        <w:t xml:space="preserve">the </w:t>
      </w:r>
      <w:r>
        <w:rPr>
          <w:i/>
          <w:snapToGrid w:val="0"/>
        </w:rPr>
        <w:t>Distribution System</w:t>
      </w:r>
      <w:r>
        <w:rPr>
          <w:snapToGrid w:val="0"/>
        </w:rPr>
        <w:t xml:space="preserve"> </w:t>
      </w:r>
      <w:r>
        <w:rPr>
          <w:i/>
          <w:snapToGrid w:val="0"/>
        </w:rPr>
        <w:t>Code;</w:t>
      </w:r>
    </w:p>
    <w:p w:rsidR="008340EE" w:rsidRDefault="002C4C73">
      <w:pPr>
        <w:pStyle w:val="Heading5"/>
        <w:rPr>
          <w:snapToGrid w:val="0"/>
        </w:rPr>
      </w:pPr>
      <w:r>
        <w:rPr>
          <w:snapToGrid w:val="0"/>
        </w:rPr>
        <w:t xml:space="preserve">the </w:t>
      </w:r>
      <w:r>
        <w:rPr>
          <w:i/>
          <w:snapToGrid w:val="0"/>
        </w:rPr>
        <w:t>Retail Code;</w:t>
      </w:r>
    </w:p>
    <w:p w:rsidR="008340EE" w:rsidRDefault="002C4C73">
      <w:pPr>
        <w:pStyle w:val="Heading5"/>
      </w:pPr>
      <w:r>
        <w:rPr>
          <w:snapToGrid w:val="0"/>
        </w:rPr>
        <w:t xml:space="preserve">all other codes, standards, rules and guidelines which are specified by the Commission to apply to the </w:t>
      </w:r>
      <w:r>
        <w:rPr>
          <w:i/>
          <w:snapToGrid w:val="0"/>
        </w:rPr>
        <w:t>Distributor</w:t>
      </w:r>
      <w:r>
        <w:rPr>
          <w:snapToGrid w:val="0"/>
        </w:rPr>
        <w:t>; and</w:t>
      </w:r>
    </w:p>
    <w:p w:rsidR="008340EE" w:rsidRDefault="002C4C73">
      <w:pPr>
        <w:pStyle w:val="Heading5"/>
      </w:pPr>
      <w:r>
        <w:rPr>
          <w:i/>
          <w:snapToGrid w:val="0"/>
        </w:rPr>
        <w:t>customer-related standards and procedures</w:t>
      </w:r>
      <w:r>
        <w:rPr>
          <w:snapToGrid w:val="0"/>
        </w:rPr>
        <w:t xml:space="preserve">,  </w:t>
      </w:r>
    </w:p>
    <w:p w:rsidR="008340EE" w:rsidRDefault="002C4C73">
      <w:pPr>
        <w:pStyle w:val="Heading5"/>
        <w:numPr>
          <w:ilvl w:val="0"/>
          <w:numId w:val="0"/>
        </w:numPr>
        <w:ind w:left="720"/>
        <w:rPr>
          <w:snapToGrid w:val="0"/>
        </w:rPr>
      </w:pPr>
      <w:r>
        <w:rPr>
          <w:snapToGrid w:val="0"/>
        </w:rPr>
        <w:t xml:space="preserve">subject to any derogations from those codes, standards, rules or guidelines or </w:t>
      </w:r>
      <w:r>
        <w:rPr>
          <w:i/>
          <w:snapToGrid w:val="0"/>
        </w:rPr>
        <w:t>customer-related standards and procedures</w:t>
      </w:r>
      <w:r>
        <w:rPr>
          <w:snapToGrid w:val="0"/>
        </w:rPr>
        <w:t xml:space="preserve"> set out in schedule 1 to this licence.</w:t>
      </w:r>
    </w:p>
    <w:p w:rsidR="008340EE" w:rsidRDefault="002C4C73">
      <w:pPr>
        <w:pStyle w:val="Heading4"/>
        <w:rPr>
          <w:snapToGrid w:val="0"/>
        </w:rPr>
      </w:pPr>
      <w:bookmarkStart w:id="12" w:name="_Ref530879937"/>
      <w:r>
        <w:rPr>
          <w:snapToGrid w:val="0"/>
        </w:rPr>
        <w:t xml:space="preserve">At the written request of the </w:t>
      </w:r>
      <w:r>
        <w:rPr>
          <w:i/>
          <w:snapToGrid w:val="0"/>
        </w:rPr>
        <w:t>Commission</w:t>
      </w:r>
      <w:r>
        <w:rPr>
          <w:snapToGrid w:val="0"/>
        </w:rPr>
        <w:t xml:space="preserve">, the </w:t>
      </w:r>
      <w:r>
        <w:rPr>
          <w:i/>
          <w:snapToGrid w:val="0"/>
        </w:rPr>
        <w:t xml:space="preserve">Distributor </w:t>
      </w:r>
      <w:r>
        <w:rPr>
          <w:snapToGrid w:val="0"/>
        </w:rPr>
        <w:t xml:space="preserve">must participate to the extent specified by the </w:t>
      </w:r>
      <w:r>
        <w:rPr>
          <w:i/>
          <w:snapToGrid w:val="0"/>
        </w:rPr>
        <w:t xml:space="preserve">Commission </w:t>
      </w:r>
      <w:r>
        <w:rPr>
          <w:snapToGrid w:val="0"/>
        </w:rPr>
        <w:t>in the development, issue and review of any</w:t>
      </w:r>
      <w:r>
        <w:rPr>
          <w:i/>
          <w:snapToGrid w:val="0"/>
        </w:rPr>
        <w:t xml:space="preserve"> customer-related standards and procedures </w:t>
      </w:r>
      <w:r>
        <w:rPr>
          <w:snapToGrid w:val="0"/>
        </w:rPr>
        <w:t xml:space="preserve">specified by the </w:t>
      </w:r>
      <w:r>
        <w:rPr>
          <w:i/>
          <w:snapToGrid w:val="0"/>
        </w:rPr>
        <w:t>Commission</w:t>
      </w:r>
      <w:r>
        <w:rPr>
          <w:snapToGrid w:val="0"/>
        </w:rPr>
        <w:t>.</w:t>
      </w:r>
      <w:bookmarkEnd w:id="12"/>
    </w:p>
    <w:p w:rsidR="008340EE" w:rsidRDefault="002C4C73">
      <w:pPr>
        <w:pStyle w:val="Heading4"/>
      </w:pPr>
      <w:bookmarkStart w:id="13" w:name="_Ref532002250"/>
      <w:r>
        <w:t xml:space="preserve">If the </w:t>
      </w:r>
      <w:r>
        <w:rPr>
          <w:i/>
        </w:rPr>
        <w:t>Commission</w:t>
      </w:r>
      <w:r>
        <w:t xml:space="preserve"> considers that:</w:t>
      </w:r>
      <w:bookmarkEnd w:id="13"/>
    </w:p>
    <w:p w:rsidR="008340EE" w:rsidRDefault="002C4C73">
      <w:pPr>
        <w:pStyle w:val="Heading5"/>
      </w:pPr>
      <w:r>
        <w:t xml:space="preserve">the </w:t>
      </w:r>
      <w:r>
        <w:rPr>
          <w:i/>
        </w:rPr>
        <w:t>Distributor</w:t>
      </w:r>
      <w:r>
        <w:t xml:space="preserve"> has failed to comply with clause </w:t>
      </w:r>
      <w:r>
        <w:fldChar w:fldCharType="begin"/>
      </w:r>
      <w:r>
        <w:instrText xml:space="preserve"> REF _Ref530879937 \w \h  \* MERGEFORMAT </w:instrText>
      </w:r>
      <w:r>
        <w:fldChar w:fldCharType="separate"/>
      </w:r>
      <w:r w:rsidR="00AA1393">
        <w:t>4(b)</w:t>
      </w:r>
      <w:r>
        <w:fldChar w:fldCharType="end"/>
      </w:r>
      <w:r>
        <w:t>; or</w:t>
      </w:r>
    </w:p>
    <w:p w:rsidR="008340EE" w:rsidRDefault="002C4C73">
      <w:pPr>
        <w:pStyle w:val="Heading5"/>
      </w:pPr>
      <w:r>
        <w:rPr>
          <w:i/>
        </w:rPr>
        <w:t>customer-related standards or procedures</w:t>
      </w:r>
      <w:r>
        <w:t xml:space="preserve"> developed by the </w:t>
      </w:r>
      <w:r>
        <w:rPr>
          <w:i/>
        </w:rPr>
        <w:t>Distributor</w:t>
      </w:r>
      <w:r>
        <w:t xml:space="preserve"> are insufficient for the purpose for which they were developed,</w:t>
      </w:r>
    </w:p>
    <w:p w:rsidR="008340EE" w:rsidRDefault="002C4C73">
      <w:pPr>
        <w:pStyle w:val="Heading5"/>
        <w:numPr>
          <w:ilvl w:val="0"/>
          <w:numId w:val="0"/>
        </w:numPr>
        <w:ind w:left="720"/>
      </w:pPr>
      <w:r>
        <w:t xml:space="preserve">the </w:t>
      </w:r>
      <w:r>
        <w:rPr>
          <w:i/>
        </w:rPr>
        <w:t>Commission</w:t>
      </w:r>
      <w:r>
        <w:t xml:space="preserve"> may issue </w:t>
      </w:r>
      <w:r>
        <w:rPr>
          <w:i/>
        </w:rPr>
        <w:t>customer-related standards and procedures</w:t>
      </w:r>
      <w:r>
        <w:t xml:space="preserve"> applicable to the </w:t>
      </w:r>
      <w:r>
        <w:rPr>
          <w:i/>
        </w:rPr>
        <w:t>Distributor</w:t>
      </w:r>
      <w:r>
        <w:t xml:space="preserve"> and with which the </w:t>
      </w:r>
      <w:r>
        <w:rPr>
          <w:i/>
        </w:rPr>
        <w:t>Distributor</w:t>
      </w:r>
      <w:r>
        <w:t xml:space="preserve"> must comply.  </w:t>
      </w:r>
    </w:p>
    <w:p w:rsidR="008340EE" w:rsidRDefault="002C4C73">
      <w:pPr>
        <w:pStyle w:val="Heading4"/>
        <w:rPr>
          <w:snapToGrid w:val="0"/>
          <w:color w:val="000000"/>
          <w:sz w:val="24"/>
        </w:rPr>
      </w:pPr>
      <w:r>
        <w:rPr>
          <w:snapToGrid w:val="0"/>
        </w:rPr>
        <w:t xml:space="preserve">If the </w:t>
      </w:r>
      <w:r>
        <w:rPr>
          <w:i/>
          <w:snapToGrid w:val="0"/>
        </w:rPr>
        <w:t xml:space="preserve">Distributor </w:t>
      </w:r>
      <w:r>
        <w:rPr>
          <w:snapToGrid w:val="0"/>
        </w:rPr>
        <w:t xml:space="preserve">becomes aware of a material breach of a licence condition, code, standard, rule, guideline or </w:t>
      </w:r>
      <w:r>
        <w:rPr>
          <w:i/>
          <w:snapToGrid w:val="0"/>
        </w:rPr>
        <w:t>customer-related standard or procedure</w:t>
      </w:r>
      <w:r>
        <w:rPr>
          <w:snapToGrid w:val="0"/>
        </w:rPr>
        <w:t xml:space="preserve"> by the </w:t>
      </w:r>
      <w:r>
        <w:rPr>
          <w:i/>
          <w:snapToGrid w:val="0"/>
        </w:rPr>
        <w:t>Distributor</w:t>
      </w:r>
      <w:r>
        <w:rPr>
          <w:snapToGrid w:val="0"/>
        </w:rPr>
        <w:t xml:space="preserve">, the </w:t>
      </w:r>
      <w:r>
        <w:rPr>
          <w:i/>
          <w:snapToGrid w:val="0"/>
        </w:rPr>
        <w:t xml:space="preserve">Distributor </w:t>
      </w:r>
      <w:r>
        <w:rPr>
          <w:snapToGrid w:val="0"/>
        </w:rPr>
        <w:t xml:space="preserve">must notify the </w:t>
      </w:r>
      <w:r>
        <w:rPr>
          <w:i/>
          <w:snapToGrid w:val="0"/>
        </w:rPr>
        <w:t xml:space="preserve">Commission </w:t>
      </w:r>
      <w:r>
        <w:rPr>
          <w:snapToGrid w:val="0"/>
        </w:rPr>
        <w:t xml:space="preserve">of the material breach in accordance with any </w:t>
      </w:r>
      <w:r>
        <w:rPr>
          <w:snapToGrid w:val="0"/>
          <w:color w:val="000000"/>
          <w:sz w:val="24"/>
        </w:rPr>
        <w:t xml:space="preserve">guidelines issued by the </w:t>
      </w:r>
      <w:r>
        <w:rPr>
          <w:i/>
          <w:snapToGrid w:val="0"/>
          <w:color w:val="000000"/>
          <w:sz w:val="24"/>
        </w:rPr>
        <w:t xml:space="preserve">Commission </w:t>
      </w:r>
      <w:r>
        <w:rPr>
          <w:snapToGrid w:val="0"/>
          <w:color w:val="000000"/>
          <w:sz w:val="24"/>
        </w:rPr>
        <w:t>or, in the absence of such guidelines, as soon as practicable.</w:t>
      </w:r>
    </w:p>
    <w:p w:rsidR="008340EE" w:rsidRDefault="002C4C73">
      <w:pPr>
        <w:pStyle w:val="Heading4"/>
      </w:pPr>
      <w:r>
        <w:t xml:space="preserve">The </w:t>
      </w:r>
      <w:r>
        <w:rPr>
          <w:i/>
        </w:rPr>
        <w:t>Distributor</w:t>
      </w:r>
      <w:r>
        <w:t xml:space="preserve"> must:</w:t>
      </w:r>
    </w:p>
    <w:p w:rsidR="008340EE" w:rsidRDefault="002C4C73">
      <w:pPr>
        <w:pStyle w:val="Heading5"/>
      </w:pPr>
      <w:r>
        <w:lastRenderedPageBreak/>
        <w:t xml:space="preserve">at the request in writing of the </w:t>
      </w:r>
      <w:r>
        <w:rPr>
          <w:i/>
        </w:rPr>
        <w:t>Commission</w:t>
      </w:r>
      <w:r>
        <w:t xml:space="preserve">; or </w:t>
      </w:r>
    </w:p>
    <w:p w:rsidR="008340EE" w:rsidRDefault="002C4C73">
      <w:pPr>
        <w:pStyle w:val="Heading5"/>
      </w:pPr>
      <w:r>
        <w:t xml:space="preserve">as required by guidelines issued by the </w:t>
      </w:r>
      <w:r>
        <w:rPr>
          <w:i/>
        </w:rPr>
        <w:t>Commission</w:t>
      </w:r>
      <w:r>
        <w:t>,</w:t>
      </w:r>
    </w:p>
    <w:p w:rsidR="008340EE" w:rsidRDefault="002C4C73">
      <w:pPr>
        <w:pStyle w:val="Heading4"/>
        <w:numPr>
          <w:ilvl w:val="0"/>
          <w:numId w:val="0"/>
        </w:numPr>
      </w:pPr>
      <w:r>
        <w:t xml:space="preserve">report to the </w:t>
      </w:r>
      <w:r>
        <w:rPr>
          <w:i/>
        </w:rPr>
        <w:t>Commission</w:t>
      </w:r>
      <w:r>
        <w:t xml:space="preserve"> in connection with its compliance with:</w:t>
      </w:r>
    </w:p>
    <w:p w:rsidR="008340EE" w:rsidRDefault="002C4C73" w:rsidP="00766CC3">
      <w:pPr>
        <w:pStyle w:val="Heading5"/>
        <w:numPr>
          <w:ilvl w:val="4"/>
          <w:numId w:val="10"/>
        </w:numPr>
      </w:pPr>
      <w:r>
        <w:t>licence conditions;</w:t>
      </w:r>
    </w:p>
    <w:p w:rsidR="008340EE" w:rsidRDefault="002C4C73">
      <w:pPr>
        <w:pStyle w:val="Heading5"/>
      </w:pPr>
      <w:r>
        <w:t>applicable codes, standards, rules and guidelines; and</w:t>
      </w:r>
    </w:p>
    <w:p w:rsidR="008340EE" w:rsidRDefault="002C4C73">
      <w:pPr>
        <w:pStyle w:val="Heading5"/>
      </w:pPr>
      <w:r>
        <w:rPr>
          <w:i/>
        </w:rPr>
        <w:t>customer-related standards and procedures</w:t>
      </w:r>
      <w:r>
        <w:t>.</w:t>
      </w:r>
    </w:p>
    <w:p w:rsidR="008340EE" w:rsidRDefault="002C4C73">
      <w:pPr>
        <w:ind w:left="1134" w:hanging="1134"/>
        <w:rPr>
          <w:rFonts w:ascii="Arial" w:hAnsi="Arial"/>
          <w:sz w:val="20"/>
        </w:rPr>
      </w:pPr>
      <w:r>
        <w:rPr>
          <w:rFonts w:ascii="Arial" w:hAnsi="Arial"/>
          <w:sz w:val="20"/>
        </w:rPr>
        <w:t>Note:</w:t>
      </w:r>
      <w:r>
        <w:rPr>
          <w:rFonts w:ascii="Arial" w:hAnsi="Arial"/>
          <w:sz w:val="20"/>
        </w:rPr>
        <w:tab/>
        <w:t>The licence conditions in clause 4 are made pursuant to section 29(c) of the</w:t>
      </w:r>
      <w:r>
        <w:rPr>
          <w:rFonts w:ascii="Arial" w:hAnsi="Arial"/>
          <w:i/>
          <w:sz w:val="20"/>
        </w:rPr>
        <w:t xml:space="preserve"> Gas Industry Act.  </w:t>
      </w:r>
      <w:r>
        <w:rPr>
          <w:rFonts w:ascii="Arial" w:hAnsi="Arial"/>
          <w:sz w:val="20"/>
        </w:rPr>
        <w:t xml:space="preserve">Pursuant to section 31(1) of the </w:t>
      </w:r>
      <w:r>
        <w:rPr>
          <w:rFonts w:ascii="Arial" w:hAnsi="Arial"/>
          <w:i/>
          <w:sz w:val="20"/>
        </w:rPr>
        <w:t>Gas Industry Act</w:t>
      </w:r>
      <w:r>
        <w:rPr>
          <w:rFonts w:ascii="Arial" w:hAnsi="Arial"/>
          <w:sz w:val="20"/>
        </w:rPr>
        <w:t xml:space="preserve">, if a licence is subject to a condition of a kind referred to in section 29(c) of the </w:t>
      </w:r>
      <w:r>
        <w:rPr>
          <w:rFonts w:ascii="Arial" w:hAnsi="Arial"/>
          <w:i/>
          <w:sz w:val="20"/>
        </w:rPr>
        <w:t>Gas Industry Act,</w:t>
      </w:r>
      <w:r>
        <w:rPr>
          <w:rFonts w:ascii="Arial" w:hAnsi="Arial"/>
          <w:sz w:val="20"/>
        </w:rPr>
        <w:t xml:space="preserve"> the </w:t>
      </w:r>
      <w:r>
        <w:rPr>
          <w:rFonts w:ascii="Arial" w:hAnsi="Arial"/>
          <w:i/>
          <w:sz w:val="20"/>
        </w:rPr>
        <w:t>Commission</w:t>
      </w:r>
      <w:r>
        <w:rPr>
          <w:rFonts w:ascii="Arial" w:hAnsi="Arial"/>
          <w:sz w:val="20"/>
        </w:rPr>
        <w:t xml:space="preserve"> may:</w:t>
      </w:r>
    </w:p>
    <w:p w:rsidR="008340EE" w:rsidRDefault="002C4C73">
      <w:pPr>
        <w:ind w:left="2160" w:hanging="720"/>
        <w:rPr>
          <w:rFonts w:ascii="Arial" w:hAnsi="Arial"/>
          <w:sz w:val="20"/>
        </w:rPr>
      </w:pPr>
      <w:r>
        <w:rPr>
          <w:rFonts w:ascii="Arial" w:hAnsi="Arial"/>
          <w:sz w:val="20"/>
        </w:rPr>
        <w:t>(a)</w:t>
      </w:r>
      <w:r>
        <w:rPr>
          <w:rFonts w:ascii="Arial" w:hAnsi="Arial"/>
          <w:sz w:val="20"/>
        </w:rPr>
        <w:tab/>
        <w:t xml:space="preserve">in accordance with procedures specified by the </w:t>
      </w:r>
      <w:r>
        <w:rPr>
          <w:rFonts w:ascii="Arial" w:hAnsi="Arial"/>
          <w:i/>
          <w:sz w:val="20"/>
        </w:rPr>
        <w:t>Commission</w:t>
      </w:r>
      <w:r>
        <w:rPr>
          <w:rFonts w:ascii="Arial" w:hAnsi="Arial"/>
          <w:sz w:val="20"/>
        </w:rPr>
        <w:t>, amend specified industry codes, standards, rules or guidelines, or a document referred to in any of them, for the purposes of their application under the licence; and</w:t>
      </w:r>
    </w:p>
    <w:p w:rsidR="008340EE" w:rsidRDefault="002C4C73">
      <w:pPr>
        <w:ind w:left="2160" w:hanging="720"/>
        <w:rPr>
          <w:rFonts w:ascii="Arial" w:hAnsi="Arial"/>
          <w:sz w:val="20"/>
        </w:rPr>
      </w:pPr>
      <w:r>
        <w:rPr>
          <w:rFonts w:ascii="Arial" w:hAnsi="Arial"/>
          <w:sz w:val="20"/>
        </w:rPr>
        <w:t xml:space="preserve">(b) </w:t>
      </w:r>
      <w:r>
        <w:rPr>
          <w:rFonts w:ascii="Arial" w:hAnsi="Arial"/>
          <w:sz w:val="20"/>
        </w:rPr>
        <w:tab/>
        <w:t>resolve, or seek to resolve, disputes between the licensee and any other person relating to the specified industry codes, standards, rules or guidelines, or a document referred to in any of them, as they apply under the licence.</w:t>
      </w:r>
    </w:p>
    <w:p w:rsidR="008340EE" w:rsidRDefault="002C4C73">
      <w:pPr>
        <w:ind w:left="720" w:firstLine="720"/>
      </w:pPr>
      <w:r>
        <w:t xml:space="preserve">  </w:t>
      </w:r>
    </w:p>
    <w:p w:rsidR="008340EE" w:rsidRDefault="002C4C73">
      <w:pPr>
        <w:pStyle w:val="Heading1"/>
      </w:pPr>
      <w:bookmarkStart w:id="14" w:name="_Toc1299469"/>
      <w:r>
        <w:t>DEEMED DISTRIBUTION CONTRACTS</w:t>
      </w:r>
      <w:bookmarkEnd w:id="14"/>
    </w:p>
    <w:p w:rsidR="008340EE" w:rsidRDefault="002C4C73">
      <w:pPr>
        <w:pStyle w:val="Heading4"/>
      </w:pPr>
      <w:bookmarkStart w:id="15" w:name="_Ref532011086"/>
      <w:r>
        <w:t xml:space="preserve">The </w:t>
      </w:r>
      <w:r>
        <w:rPr>
          <w:i/>
        </w:rPr>
        <w:t>Distributor</w:t>
      </w:r>
      <w:r>
        <w:t>:</w:t>
      </w:r>
      <w:bookmarkEnd w:id="15"/>
    </w:p>
    <w:p w:rsidR="008340EE" w:rsidRDefault="002C4C73">
      <w:pPr>
        <w:pStyle w:val="Heading5"/>
      </w:pPr>
      <w:r>
        <w:t xml:space="preserve">must by a date nominated by the </w:t>
      </w:r>
      <w:r>
        <w:rPr>
          <w:i/>
        </w:rPr>
        <w:t xml:space="preserve">Commission </w:t>
      </w:r>
      <w:r>
        <w:t>in a written notice</w:t>
      </w:r>
      <w:r>
        <w:rPr>
          <w:i/>
        </w:rPr>
        <w:t xml:space="preserve"> </w:t>
      </w:r>
      <w:r>
        <w:t xml:space="preserve">given to the </w:t>
      </w:r>
      <w:r>
        <w:rPr>
          <w:i/>
        </w:rPr>
        <w:t>Distributor</w:t>
      </w:r>
      <w:r>
        <w:t xml:space="preserve">, which is not less than 20 </w:t>
      </w:r>
      <w:r>
        <w:rPr>
          <w:i/>
        </w:rPr>
        <w:t xml:space="preserve">business days </w:t>
      </w:r>
      <w:r>
        <w:t>after the notice</w:t>
      </w:r>
      <w:r>
        <w:rPr>
          <w:i/>
        </w:rPr>
        <w:t xml:space="preserve"> </w:t>
      </w:r>
      <w:r>
        <w:t xml:space="preserve">is given to the </w:t>
      </w:r>
      <w:r>
        <w:rPr>
          <w:i/>
        </w:rPr>
        <w:t>Distributor</w:t>
      </w:r>
      <w:r>
        <w:t xml:space="preserve">; and </w:t>
      </w:r>
    </w:p>
    <w:p w:rsidR="008340EE" w:rsidRDefault="002C4C73">
      <w:pPr>
        <w:pStyle w:val="Heading5"/>
      </w:pPr>
      <w:r>
        <w:t>may at any other time,</w:t>
      </w:r>
    </w:p>
    <w:p w:rsidR="008340EE" w:rsidRDefault="002C4C73">
      <w:pPr>
        <w:ind w:left="720"/>
      </w:pPr>
      <w:r>
        <w:t xml:space="preserve">prepare and submit to the </w:t>
      </w:r>
      <w:r>
        <w:rPr>
          <w:i/>
        </w:rPr>
        <w:t xml:space="preserve">Commission </w:t>
      </w:r>
      <w:r>
        <w:t xml:space="preserve">proposed terms and conditions of a </w:t>
      </w:r>
      <w:r>
        <w:rPr>
          <w:i/>
        </w:rPr>
        <w:t xml:space="preserve">deemed distribution contract </w:t>
      </w:r>
      <w:r>
        <w:t xml:space="preserve">for approval by the </w:t>
      </w:r>
      <w:r>
        <w:rPr>
          <w:i/>
        </w:rPr>
        <w:t>Commission</w:t>
      </w:r>
      <w:r>
        <w:t>.</w:t>
      </w:r>
    </w:p>
    <w:p w:rsidR="008340EE" w:rsidRDefault="008340EE">
      <w:pPr>
        <w:ind w:left="720"/>
      </w:pPr>
    </w:p>
    <w:p w:rsidR="008340EE" w:rsidRDefault="002C4C73">
      <w:pPr>
        <w:pStyle w:val="Heading4"/>
      </w:pPr>
      <w:r>
        <w:t xml:space="preserve">As soon as practicable after approval of proposed terms and conditions of a </w:t>
      </w:r>
      <w:r>
        <w:rPr>
          <w:i/>
        </w:rPr>
        <w:t xml:space="preserve">deemed distribution contract </w:t>
      </w:r>
      <w:r>
        <w:t xml:space="preserve">by the </w:t>
      </w:r>
      <w:r>
        <w:rPr>
          <w:i/>
        </w:rPr>
        <w:t>Commission</w:t>
      </w:r>
      <w:r>
        <w:t xml:space="preserve">, the </w:t>
      </w:r>
      <w:r>
        <w:rPr>
          <w:i/>
        </w:rPr>
        <w:t xml:space="preserve">Distributor </w:t>
      </w:r>
      <w:r>
        <w:t xml:space="preserve">must give notice of those terms and conditions and publish them in the Government Gazette in accordance with the </w:t>
      </w:r>
      <w:r>
        <w:rPr>
          <w:i/>
        </w:rPr>
        <w:t>Gas Industry Act</w:t>
      </w:r>
      <w:r>
        <w:t>.</w:t>
      </w:r>
    </w:p>
    <w:p w:rsidR="008340EE" w:rsidRDefault="002C4C73">
      <w:pPr>
        <w:pStyle w:val="Heading1"/>
        <w:rPr>
          <w:snapToGrid w:val="0"/>
        </w:rPr>
      </w:pPr>
      <w:bookmarkStart w:id="16" w:name="_Toc1299470"/>
      <w:r>
        <w:rPr>
          <w:snapToGrid w:val="0"/>
        </w:rPr>
        <w:lastRenderedPageBreak/>
        <w:t>PROVISION OF INFORMATION and maintenance of separate accounts</w:t>
      </w:r>
      <w:bookmarkEnd w:id="16"/>
    </w:p>
    <w:p w:rsidR="008340EE" w:rsidRDefault="002C4C73">
      <w:pPr>
        <w:pStyle w:val="Heading4"/>
        <w:rPr>
          <w:snapToGrid w:val="0"/>
        </w:rPr>
      </w:pPr>
      <w:r>
        <w:rPr>
          <w:snapToGrid w:val="0"/>
        </w:rPr>
        <w:t xml:space="preserve">The </w:t>
      </w:r>
      <w:r>
        <w:rPr>
          <w:i/>
          <w:snapToGrid w:val="0"/>
        </w:rPr>
        <w:t xml:space="preserve">Distributor </w:t>
      </w:r>
      <w:r>
        <w:rPr>
          <w:snapToGrid w:val="0"/>
        </w:rPr>
        <w:t xml:space="preserve">must provide to the </w:t>
      </w:r>
      <w:r>
        <w:rPr>
          <w:i/>
          <w:snapToGrid w:val="0"/>
        </w:rPr>
        <w:t>Commission</w:t>
      </w:r>
      <w:r>
        <w:rPr>
          <w:snapToGrid w:val="0"/>
        </w:rPr>
        <w:t xml:space="preserve">, in a manner and form and at a time decided by the </w:t>
      </w:r>
      <w:r>
        <w:rPr>
          <w:i/>
          <w:snapToGrid w:val="0"/>
        </w:rPr>
        <w:t xml:space="preserve">Commission </w:t>
      </w:r>
      <w:r>
        <w:rPr>
          <w:snapToGrid w:val="0"/>
        </w:rPr>
        <w:t xml:space="preserve">and notified to the </w:t>
      </w:r>
      <w:r>
        <w:rPr>
          <w:i/>
          <w:snapToGrid w:val="0"/>
        </w:rPr>
        <w:t>Distributor</w:t>
      </w:r>
      <w:r>
        <w:rPr>
          <w:snapToGrid w:val="0"/>
        </w:rPr>
        <w:t xml:space="preserve">, such information as the </w:t>
      </w:r>
      <w:r>
        <w:rPr>
          <w:i/>
          <w:snapToGrid w:val="0"/>
        </w:rPr>
        <w:t xml:space="preserve">Commission </w:t>
      </w:r>
      <w:r>
        <w:rPr>
          <w:snapToGrid w:val="0"/>
        </w:rPr>
        <w:t>may from time to time require.</w:t>
      </w:r>
    </w:p>
    <w:p w:rsidR="008340EE" w:rsidRDefault="002C4C73">
      <w:pPr>
        <w:pStyle w:val="Heading4"/>
      </w:pPr>
      <w:r>
        <w:t xml:space="preserve">The </w:t>
      </w:r>
      <w:r>
        <w:rPr>
          <w:i/>
        </w:rPr>
        <w:t>Distributor</w:t>
      </w:r>
      <w:r>
        <w:t xml:space="preserve"> must ensure that separate accounts are prepared for its distribution business in accordance with any applicable </w:t>
      </w:r>
      <w:r>
        <w:rPr>
          <w:i/>
        </w:rPr>
        <w:t>Commission</w:t>
      </w:r>
      <w:r>
        <w:t xml:space="preserve"> guidelines published for this purpose.</w:t>
      </w:r>
    </w:p>
    <w:p w:rsidR="002359C0" w:rsidRPr="002359C0" w:rsidRDefault="00347C1C" w:rsidP="002359C0">
      <w:pPr>
        <w:pStyle w:val="Heading4"/>
      </w:pPr>
      <w:r>
        <w:t xml:space="preserve">Upon becoming financially committed to an activity that may require a variation of its licence, including any change to the </w:t>
      </w:r>
      <w:r>
        <w:rPr>
          <w:i/>
        </w:rPr>
        <w:t xml:space="preserve">Distributor’s </w:t>
      </w:r>
      <w:r>
        <w:t xml:space="preserve">defined </w:t>
      </w:r>
      <w:r>
        <w:rPr>
          <w:i/>
        </w:rPr>
        <w:t>distribution area</w:t>
      </w:r>
      <w:r>
        <w:t>,</w:t>
      </w:r>
      <w:r>
        <w:rPr>
          <w:i/>
        </w:rPr>
        <w:t xml:space="preserve"> </w:t>
      </w:r>
      <w:r>
        <w:t>t</w:t>
      </w:r>
      <w:r w:rsidR="002359C0">
        <w:t xml:space="preserve">he </w:t>
      </w:r>
      <w:r w:rsidR="002359C0">
        <w:rPr>
          <w:i/>
        </w:rPr>
        <w:t xml:space="preserve">Distributor </w:t>
      </w:r>
      <w:r w:rsidR="002359C0">
        <w:t xml:space="preserve">must advise the </w:t>
      </w:r>
      <w:r w:rsidR="002359C0">
        <w:rPr>
          <w:i/>
        </w:rPr>
        <w:t>Commission</w:t>
      </w:r>
      <w:r w:rsidR="002359C0">
        <w:t xml:space="preserve"> in writing</w:t>
      </w:r>
      <w:r>
        <w:t>.</w:t>
      </w:r>
    </w:p>
    <w:p w:rsidR="008340EE" w:rsidRDefault="002C4C73">
      <w:pPr>
        <w:pStyle w:val="Heading1"/>
      </w:pPr>
      <w:bookmarkStart w:id="17" w:name="_Toc1299471"/>
      <w:r>
        <w:t>Dispute Resolution</w:t>
      </w:r>
      <w:bookmarkEnd w:id="17"/>
    </w:p>
    <w:p w:rsidR="008340EE" w:rsidRDefault="002C4C73">
      <w:pPr>
        <w:pStyle w:val="Heading4"/>
        <w:rPr>
          <w:snapToGrid w:val="0"/>
        </w:rPr>
      </w:pPr>
      <w:bookmarkStart w:id="18" w:name="_Ref530886212"/>
      <w:r>
        <w:rPr>
          <w:snapToGrid w:val="0"/>
        </w:rPr>
        <w:t xml:space="preserve">The </w:t>
      </w:r>
      <w:r>
        <w:rPr>
          <w:i/>
        </w:rPr>
        <w:t>Distributor</w:t>
      </w:r>
      <w:r>
        <w:t xml:space="preserve"> </w:t>
      </w:r>
      <w:r>
        <w:rPr>
          <w:snapToGrid w:val="0"/>
        </w:rPr>
        <w:t xml:space="preserve">must submit to the </w:t>
      </w:r>
      <w:r>
        <w:rPr>
          <w:i/>
        </w:rPr>
        <w:t>Commission</w:t>
      </w:r>
      <w:r>
        <w:t xml:space="preserve"> </w:t>
      </w:r>
      <w:r>
        <w:rPr>
          <w:snapToGrid w:val="0"/>
        </w:rPr>
        <w:t>for its approval, and if approved implement, a scheme for the fair, reasonable and effective investigation and resolution of disputes between it and:</w:t>
      </w:r>
      <w:bookmarkEnd w:id="18"/>
    </w:p>
    <w:p w:rsidR="008340EE" w:rsidRDefault="002C4C73">
      <w:pPr>
        <w:pStyle w:val="Heading5"/>
        <w:rPr>
          <w:snapToGrid w:val="0"/>
        </w:rPr>
      </w:pPr>
      <w:r>
        <w:rPr>
          <w:snapToGrid w:val="0"/>
        </w:rPr>
        <w:t xml:space="preserve">a </w:t>
      </w:r>
      <w:r>
        <w:rPr>
          <w:i/>
        </w:rPr>
        <w:t>customer</w:t>
      </w:r>
      <w:r>
        <w:t xml:space="preserve"> </w:t>
      </w:r>
      <w:r>
        <w:rPr>
          <w:snapToGrid w:val="0"/>
        </w:rPr>
        <w:t xml:space="preserve">about the </w:t>
      </w:r>
      <w:r>
        <w:rPr>
          <w:i/>
        </w:rPr>
        <w:t>Distributor's</w:t>
      </w:r>
      <w:r>
        <w:t xml:space="preserve"> </w:t>
      </w:r>
      <w:r>
        <w:rPr>
          <w:snapToGrid w:val="0"/>
        </w:rPr>
        <w:t>services, billing and charging; and</w:t>
      </w:r>
    </w:p>
    <w:p w:rsidR="008340EE" w:rsidRDefault="002C4C73">
      <w:pPr>
        <w:pStyle w:val="Heading5"/>
        <w:rPr>
          <w:snapToGrid w:val="0"/>
          <w:color w:val="000000"/>
          <w:sz w:val="24"/>
        </w:rPr>
      </w:pPr>
      <w:r>
        <w:rPr>
          <w:snapToGrid w:val="0"/>
        </w:rPr>
        <w:t xml:space="preserve">aggrieved persons about the manner in which the </w:t>
      </w:r>
      <w:r>
        <w:rPr>
          <w:i/>
        </w:rPr>
        <w:t>Distributor</w:t>
      </w:r>
      <w:r>
        <w:rPr>
          <w:b/>
          <w:i/>
          <w:snapToGrid w:val="0"/>
        </w:rPr>
        <w:t xml:space="preserve"> </w:t>
      </w:r>
      <w:r>
        <w:rPr>
          <w:snapToGrid w:val="0"/>
        </w:rPr>
        <w:t xml:space="preserve">conducts its business under </w:t>
      </w:r>
      <w:r>
        <w:rPr>
          <w:snapToGrid w:val="0"/>
          <w:color w:val="000000"/>
          <w:sz w:val="24"/>
        </w:rPr>
        <w:t xml:space="preserve">its </w:t>
      </w:r>
      <w:r>
        <w:rPr>
          <w:i/>
          <w:snapToGrid w:val="0"/>
          <w:color w:val="000000"/>
          <w:sz w:val="24"/>
        </w:rPr>
        <w:t>Distribution Licence</w:t>
      </w:r>
      <w:r>
        <w:rPr>
          <w:snapToGrid w:val="0"/>
          <w:color w:val="000000"/>
          <w:sz w:val="24"/>
        </w:rPr>
        <w:t xml:space="preserve"> and applicable codes, standards, rules or guidelines.</w:t>
      </w:r>
    </w:p>
    <w:p w:rsidR="008340EE" w:rsidRDefault="002C4C73">
      <w:pPr>
        <w:pStyle w:val="Heading4"/>
        <w:rPr>
          <w:snapToGrid w:val="0"/>
        </w:rPr>
      </w:pPr>
      <w:bookmarkStart w:id="19" w:name="_Ref530886180"/>
      <w:r>
        <w:rPr>
          <w:snapToGrid w:val="0"/>
        </w:rPr>
        <w:t xml:space="preserve">Unless it has been notified by the </w:t>
      </w:r>
      <w:r>
        <w:rPr>
          <w:i/>
        </w:rPr>
        <w:t>Commission</w:t>
      </w:r>
      <w:r>
        <w:t xml:space="preserve"> </w:t>
      </w:r>
      <w:r>
        <w:rPr>
          <w:snapToGrid w:val="0"/>
        </w:rPr>
        <w:t xml:space="preserve">that it need not comply with this clause </w:t>
      </w:r>
      <w:r>
        <w:rPr>
          <w:snapToGrid w:val="0"/>
        </w:rPr>
        <w:fldChar w:fldCharType="begin"/>
      </w:r>
      <w:r>
        <w:rPr>
          <w:snapToGrid w:val="0"/>
        </w:rPr>
        <w:instrText xml:space="preserve"> REF _Ref530886180 \w \h </w:instrText>
      </w:r>
      <w:r>
        <w:rPr>
          <w:snapToGrid w:val="0"/>
        </w:rPr>
      </w:r>
      <w:r>
        <w:rPr>
          <w:snapToGrid w:val="0"/>
        </w:rPr>
        <w:fldChar w:fldCharType="separate"/>
      </w:r>
      <w:r w:rsidR="00AA1393">
        <w:rPr>
          <w:snapToGrid w:val="0"/>
        </w:rPr>
        <w:t>7(b)</w:t>
      </w:r>
      <w:r>
        <w:rPr>
          <w:snapToGrid w:val="0"/>
        </w:rPr>
        <w:fldChar w:fldCharType="end"/>
      </w:r>
      <w:r>
        <w:rPr>
          <w:snapToGrid w:val="0"/>
        </w:rPr>
        <w:t xml:space="preserve">, the </w:t>
      </w:r>
      <w:r>
        <w:rPr>
          <w:i/>
        </w:rPr>
        <w:t>Distributor</w:t>
      </w:r>
      <w:r>
        <w:t xml:space="preserve"> </w:t>
      </w:r>
      <w:r>
        <w:rPr>
          <w:snapToGrid w:val="0"/>
        </w:rPr>
        <w:t xml:space="preserve">must comply with clause </w:t>
      </w:r>
      <w:r>
        <w:rPr>
          <w:snapToGrid w:val="0"/>
        </w:rPr>
        <w:fldChar w:fldCharType="begin"/>
      </w:r>
      <w:r>
        <w:rPr>
          <w:snapToGrid w:val="0"/>
        </w:rPr>
        <w:instrText xml:space="preserve"> REF _Ref530886212 \w \h </w:instrText>
      </w:r>
      <w:r>
        <w:rPr>
          <w:snapToGrid w:val="0"/>
        </w:rPr>
      </w:r>
      <w:r>
        <w:rPr>
          <w:snapToGrid w:val="0"/>
        </w:rPr>
        <w:fldChar w:fldCharType="separate"/>
      </w:r>
      <w:r w:rsidR="00AA1393">
        <w:rPr>
          <w:snapToGrid w:val="0"/>
        </w:rPr>
        <w:t>7(a)</w:t>
      </w:r>
      <w:r>
        <w:rPr>
          <w:snapToGrid w:val="0"/>
        </w:rPr>
        <w:fldChar w:fldCharType="end"/>
      </w:r>
      <w:r>
        <w:rPr>
          <w:snapToGrid w:val="0"/>
        </w:rPr>
        <w:t xml:space="preserve"> by submitting to the </w:t>
      </w:r>
      <w:r>
        <w:rPr>
          <w:i/>
        </w:rPr>
        <w:t>Commission</w:t>
      </w:r>
      <w:r>
        <w:t xml:space="preserve"> </w:t>
      </w:r>
      <w:r>
        <w:rPr>
          <w:snapToGrid w:val="0"/>
        </w:rPr>
        <w:t xml:space="preserve">for its approval an ombudsman scheme and implementing any such scheme that the </w:t>
      </w:r>
      <w:r>
        <w:rPr>
          <w:i/>
        </w:rPr>
        <w:t>Commission</w:t>
      </w:r>
      <w:r>
        <w:t xml:space="preserve"> </w:t>
      </w:r>
      <w:r>
        <w:rPr>
          <w:snapToGrid w:val="0"/>
        </w:rPr>
        <w:t>has approved.</w:t>
      </w:r>
      <w:bookmarkEnd w:id="19"/>
    </w:p>
    <w:p w:rsidR="008340EE" w:rsidRDefault="002C4C73">
      <w:pPr>
        <w:pStyle w:val="Heading4"/>
        <w:rPr>
          <w:snapToGrid w:val="0"/>
          <w:color w:val="000000"/>
          <w:sz w:val="24"/>
        </w:rPr>
      </w:pPr>
      <w:bookmarkStart w:id="20" w:name="_Ref530883370"/>
      <w:r>
        <w:rPr>
          <w:snapToGrid w:val="0"/>
        </w:rPr>
        <w:t xml:space="preserve">An ombudsman scheme that is implemented by the </w:t>
      </w:r>
      <w:r>
        <w:rPr>
          <w:i/>
          <w:snapToGrid w:val="0"/>
        </w:rPr>
        <w:t>Distributor</w:t>
      </w:r>
      <w:r>
        <w:rPr>
          <w:snapToGrid w:val="0"/>
        </w:rPr>
        <w:t xml:space="preserve"> to comply with clause </w:t>
      </w:r>
      <w:r>
        <w:rPr>
          <w:snapToGrid w:val="0"/>
        </w:rPr>
        <w:fldChar w:fldCharType="begin"/>
      </w:r>
      <w:r>
        <w:rPr>
          <w:snapToGrid w:val="0"/>
        </w:rPr>
        <w:instrText xml:space="preserve"> REF _Ref530886180 \w \h </w:instrText>
      </w:r>
      <w:r>
        <w:rPr>
          <w:snapToGrid w:val="0"/>
        </w:rPr>
      </w:r>
      <w:r>
        <w:rPr>
          <w:snapToGrid w:val="0"/>
        </w:rPr>
        <w:fldChar w:fldCharType="separate"/>
      </w:r>
      <w:r w:rsidR="00AA1393">
        <w:rPr>
          <w:snapToGrid w:val="0"/>
        </w:rPr>
        <w:t>7(b)</w:t>
      </w:r>
      <w:r>
        <w:rPr>
          <w:snapToGrid w:val="0"/>
        </w:rPr>
        <w:fldChar w:fldCharType="end"/>
      </w:r>
      <w:r>
        <w:rPr>
          <w:snapToGrid w:val="0"/>
        </w:rPr>
        <w:t xml:space="preserve"> must </w:t>
      </w:r>
      <w:r>
        <w:rPr>
          <w:snapToGrid w:val="0"/>
          <w:color w:val="000000"/>
          <w:sz w:val="24"/>
        </w:rPr>
        <w:t>contain and comply with terms and conditions that:</w:t>
      </w:r>
      <w:bookmarkEnd w:id="20"/>
    </w:p>
    <w:p w:rsidR="008340EE" w:rsidRDefault="002C4C73">
      <w:pPr>
        <w:pStyle w:val="Heading5"/>
        <w:rPr>
          <w:snapToGrid w:val="0"/>
        </w:rPr>
      </w:pPr>
      <w:bookmarkStart w:id="21" w:name="_Ref530883285"/>
      <w:r>
        <w:rPr>
          <w:snapToGrid w:val="0"/>
        </w:rPr>
        <w:t xml:space="preserve">bind the </w:t>
      </w:r>
      <w:r>
        <w:rPr>
          <w:i/>
        </w:rPr>
        <w:t>Distributor</w:t>
      </w:r>
      <w:r>
        <w:t xml:space="preserve"> </w:t>
      </w:r>
      <w:r>
        <w:rPr>
          <w:snapToGrid w:val="0"/>
        </w:rPr>
        <w:t xml:space="preserve">to participate in the scheme and comply with its rules (as amended from time to time) from the date on which it is approved by the </w:t>
      </w:r>
      <w:r>
        <w:rPr>
          <w:i/>
        </w:rPr>
        <w:t>Commission</w:t>
      </w:r>
      <w:r>
        <w:rPr>
          <w:snapToGrid w:val="0"/>
        </w:rPr>
        <w:t>;</w:t>
      </w:r>
      <w:bookmarkEnd w:id="21"/>
      <w:r>
        <w:rPr>
          <w:snapToGrid w:val="0"/>
        </w:rPr>
        <w:t xml:space="preserve"> </w:t>
      </w:r>
    </w:p>
    <w:p w:rsidR="008340EE" w:rsidRDefault="002C4C73">
      <w:pPr>
        <w:pStyle w:val="Heading5"/>
        <w:rPr>
          <w:snapToGrid w:val="0"/>
          <w:color w:val="000000"/>
          <w:sz w:val="24"/>
        </w:rPr>
      </w:pPr>
      <w:bookmarkStart w:id="22" w:name="_Ref530883265"/>
      <w:r>
        <w:rPr>
          <w:snapToGrid w:val="0"/>
        </w:rPr>
        <w:t xml:space="preserve">provide the </w:t>
      </w:r>
      <w:r>
        <w:rPr>
          <w:i/>
        </w:rPr>
        <w:t>Distributor’s</w:t>
      </w:r>
      <w:r>
        <w:t xml:space="preserve"> </w:t>
      </w:r>
      <w:r>
        <w:rPr>
          <w:i/>
        </w:rPr>
        <w:t>customers</w:t>
      </w:r>
      <w:r>
        <w:t xml:space="preserve"> </w:t>
      </w:r>
      <w:r>
        <w:rPr>
          <w:snapToGrid w:val="0"/>
        </w:rPr>
        <w:t xml:space="preserve">and aggrieved persons with ready and equal access </w:t>
      </w:r>
      <w:r>
        <w:rPr>
          <w:snapToGrid w:val="0"/>
          <w:color w:val="000000"/>
          <w:sz w:val="24"/>
        </w:rPr>
        <w:t>to the scheme;</w:t>
      </w:r>
      <w:bookmarkEnd w:id="22"/>
    </w:p>
    <w:p w:rsidR="008340EE" w:rsidRDefault="002C4C73">
      <w:pPr>
        <w:pStyle w:val="Heading5"/>
        <w:rPr>
          <w:snapToGrid w:val="0"/>
        </w:rPr>
      </w:pPr>
      <w:r>
        <w:rPr>
          <w:snapToGrid w:val="0"/>
        </w:rPr>
        <w:lastRenderedPageBreak/>
        <w:t xml:space="preserve">subject to </w:t>
      </w:r>
      <w:r>
        <w:rPr>
          <w:snapToGrid w:val="0"/>
        </w:rPr>
        <w:fldChar w:fldCharType="begin"/>
      </w:r>
      <w:r>
        <w:rPr>
          <w:snapToGrid w:val="0"/>
        </w:rPr>
        <w:instrText xml:space="preserve"> REF _Ref1299630 \w \h </w:instrText>
      </w:r>
      <w:r>
        <w:rPr>
          <w:snapToGrid w:val="0"/>
        </w:rPr>
      </w:r>
      <w:r>
        <w:rPr>
          <w:snapToGrid w:val="0"/>
        </w:rPr>
        <w:fldChar w:fldCharType="separate"/>
      </w:r>
      <w:r w:rsidR="00AA1393">
        <w:rPr>
          <w:snapToGrid w:val="0"/>
        </w:rPr>
        <w:t>7(c)(iv)</w:t>
      </w:r>
      <w:r>
        <w:rPr>
          <w:snapToGrid w:val="0"/>
        </w:rPr>
        <w:fldChar w:fldCharType="end"/>
      </w:r>
      <w:r>
        <w:rPr>
          <w:snapToGrid w:val="0"/>
        </w:rPr>
        <w:t xml:space="preserve">, present no cost barriers to </w:t>
      </w:r>
      <w:r>
        <w:rPr>
          <w:i/>
          <w:snapToGrid w:val="0"/>
        </w:rPr>
        <w:t>c</w:t>
      </w:r>
      <w:r>
        <w:rPr>
          <w:i/>
        </w:rPr>
        <w:t>ustomers</w:t>
      </w:r>
      <w:r>
        <w:rPr>
          <w:snapToGrid w:val="0"/>
        </w:rPr>
        <w:t>;</w:t>
      </w:r>
    </w:p>
    <w:p w:rsidR="008340EE" w:rsidRDefault="002C4C73">
      <w:pPr>
        <w:pStyle w:val="Heading5"/>
        <w:rPr>
          <w:snapToGrid w:val="0"/>
          <w:color w:val="000000"/>
          <w:sz w:val="24"/>
        </w:rPr>
      </w:pPr>
      <w:bookmarkStart w:id="23" w:name="_Ref1299630"/>
      <w:r>
        <w:rPr>
          <w:snapToGrid w:val="0"/>
        </w:rPr>
        <w:t xml:space="preserve">do not permit fees to be charged to, or costs to be awarded against, residential and </w:t>
      </w:r>
      <w:r>
        <w:rPr>
          <w:snapToGrid w:val="0"/>
          <w:color w:val="000000"/>
          <w:sz w:val="24"/>
        </w:rPr>
        <w:t xml:space="preserve">small business </w:t>
      </w:r>
      <w:r>
        <w:rPr>
          <w:i/>
        </w:rPr>
        <w:t>customers</w:t>
      </w:r>
      <w:r>
        <w:rPr>
          <w:snapToGrid w:val="0"/>
          <w:color w:val="000000"/>
          <w:sz w:val="24"/>
        </w:rPr>
        <w:t>;</w:t>
      </w:r>
      <w:bookmarkEnd w:id="23"/>
    </w:p>
    <w:p w:rsidR="008340EE" w:rsidRDefault="002C4C73">
      <w:pPr>
        <w:pStyle w:val="Heading5"/>
        <w:rPr>
          <w:snapToGrid w:val="0"/>
          <w:color w:val="000000"/>
          <w:sz w:val="24"/>
        </w:rPr>
      </w:pPr>
      <w:r>
        <w:rPr>
          <w:snapToGrid w:val="0"/>
        </w:rPr>
        <w:t xml:space="preserve">provide that the scheme be governed by a board consisting of an independent chairperson and equal numbers of </w:t>
      </w:r>
      <w:r>
        <w:rPr>
          <w:i/>
        </w:rPr>
        <w:t>customer</w:t>
      </w:r>
      <w:r>
        <w:t xml:space="preserve"> </w:t>
      </w:r>
      <w:r>
        <w:rPr>
          <w:snapToGrid w:val="0"/>
        </w:rPr>
        <w:t xml:space="preserve">representatives appointed by the </w:t>
      </w:r>
      <w:r>
        <w:rPr>
          <w:i/>
        </w:rPr>
        <w:t>Commission</w:t>
      </w:r>
      <w:r>
        <w:t xml:space="preserve"> </w:t>
      </w:r>
      <w:r>
        <w:rPr>
          <w:snapToGrid w:val="0"/>
          <w:color w:val="000000"/>
          <w:sz w:val="24"/>
        </w:rPr>
        <w:t>and representatives appointed by the members of the scheme;</w:t>
      </w:r>
    </w:p>
    <w:p w:rsidR="008340EE" w:rsidRDefault="002C4C73">
      <w:pPr>
        <w:pStyle w:val="Heading5"/>
        <w:rPr>
          <w:snapToGrid w:val="0"/>
          <w:color w:val="000000"/>
          <w:sz w:val="24"/>
        </w:rPr>
      </w:pPr>
      <w:r>
        <w:rPr>
          <w:snapToGrid w:val="0"/>
        </w:rPr>
        <w:t xml:space="preserve">in accordance with a process approved by the </w:t>
      </w:r>
      <w:r>
        <w:rPr>
          <w:i/>
        </w:rPr>
        <w:t>Commission</w:t>
      </w:r>
      <w:r>
        <w:rPr>
          <w:snapToGrid w:val="0"/>
        </w:rPr>
        <w:t xml:space="preserve">, provide for those members of the scheme and </w:t>
      </w:r>
      <w:r>
        <w:rPr>
          <w:i/>
        </w:rPr>
        <w:t>customer</w:t>
      </w:r>
      <w:r>
        <w:t xml:space="preserve"> </w:t>
      </w:r>
      <w:r>
        <w:rPr>
          <w:snapToGrid w:val="0"/>
        </w:rPr>
        <w:t xml:space="preserve">representatives that are members of the board to appoint the </w:t>
      </w:r>
      <w:r>
        <w:rPr>
          <w:snapToGrid w:val="0"/>
          <w:color w:val="000000"/>
          <w:sz w:val="24"/>
        </w:rPr>
        <w:t xml:space="preserve">chairperson after consultation with the </w:t>
      </w:r>
      <w:r>
        <w:rPr>
          <w:i/>
        </w:rPr>
        <w:t>Commission</w:t>
      </w:r>
      <w:r>
        <w:rPr>
          <w:snapToGrid w:val="0"/>
          <w:color w:val="000000"/>
          <w:sz w:val="24"/>
        </w:rPr>
        <w:t>;</w:t>
      </w:r>
    </w:p>
    <w:p w:rsidR="008340EE" w:rsidRDefault="002C4C73">
      <w:pPr>
        <w:pStyle w:val="Heading5"/>
        <w:rPr>
          <w:snapToGrid w:val="0"/>
        </w:rPr>
      </w:pPr>
      <w:r>
        <w:rPr>
          <w:snapToGrid w:val="0"/>
        </w:rPr>
        <w:t>provide for the board to appoint the ombudsman;.</w:t>
      </w:r>
    </w:p>
    <w:p w:rsidR="008340EE" w:rsidRDefault="002C4C73">
      <w:pPr>
        <w:pStyle w:val="Heading5"/>
        <w:rPr>
          <w:snapToGrid w:val="0"/>
        </w:rPr>
      </w:pPr>
      <w:r>
        <w:rPr>
          <w:snapToGrid w:val="0"/>
        </w:rPr>
        <w:t xml:space="preserve">require the board to inform the </w:t>
      </w:r>
      <w:r>
        <w:rPr>
          <w:i/>
        </w:rPr>
        <w:t>Commission</w:t>
      </w:r>
      <w:r>
        <w:t xml:space="preserve"> </w:t>
      </w:r>
      <w:r>
        <w:rPr>
          <w:snapToGrid w:val="0"/>
        </w:rPr>
        <w:t>of any proposed amendments of the scheme;</w:t>
      </w:r>
    </w:p>
    <w:p w:rsidR="008340EE" w:rsidRDefault="002C4C73">
      <w:pPr>
        <w:pStyle w:val="Heading5"/>
        <w:rPr>
          <w:snapToGrid w:val="0"/>
          <w:color w:val="000000"/>
          <w:sz w:val="24"/>
        </w:rPr>
      </w:pPr>
      <w:r>
        <w:rPr>
          <w:snapToGrid w:val="0"/>
        </w:rPr>
        <w:t xml:space="preserve">confer on the ombudsman the power to make rulings with which the </w:t>
      </w:r>
      <w:r>
        <w:rPr>
          <w:i/>
        </w:rPr>
        <w:t>Distributor</w:t>
      </w:r>
      <w:r>
        <w:rPr>
          <w:b/>
          <w:i/>
          <w:snapToGrid w:val="0"/>
        </w:rPr>
        <w:t xml:space="preserve"> </w:t>
      </w:r>
      <w:r>
        <w:rPr>
          <w:snapToGrid w:val="0"/>
        </w:rPr>
        <w:t xml:space="preserve">is </w:t>
      </w:r>
      <w:r>
        <w:rPr>
          <w:snapToGrid w:val="0"/>
          <w:color w:val="000000"/>
          <w:sz w:val="24"/>
        </w:rPr>
        <w:t>required to comply;</w:t>
      </w:r>
    </w:p>
    <w:p w:rsidR="008340EE" w:rsidRDefault="002C4C73">
      <w:pPr>
        <w:pStyle w:val="Heading5"/>
        <w:rPr>
          <w:snapToGrid w:val="0"/>
        </w:rPr>
      </w:pPr>
      <w:r>
        <w:rPr>
          <w:snapToGrid w:val="0"/>
        </w:rPr>
        <w:t xml:space="preserve">provide that, if the scheme prevents a ruling of the ombudsman from exceeding in value a maximum amount, that amount must be no less than $20,000 in respect of a complaint from an individual </w:t>
      </w:r>
      <w:r>
        <w:rPr>
          <w:i/>
          <w:snapToGrid w:val="0"/>
        </w:rPr>
        <w:t>customer</w:t>
      </w:r>
      <w:r>
        <w:rPr>
          <w:snapToGrid w:val="0"/>
        </w:rPr>
        <w:t>;</w:t>
      </w:r>
    </w:p>
    <w:p w:rsidR="008340EE" w:rsidRDefault="002C4C73">
      <w:pPr>
        <w:pStyle w:val="Heading5"/>
        <w:rPr>
          <w:snapToGrid w:val="0"/>
          <w:color w:val="000000"/>
          <w:sz w:val="24"/>
        </w:rPr>
      </w:pPr>
      <w:r>
        <w:rPr>
          <w:snapToGrid w:val="0"/>
        </w:rPr>
        <w:t xml:space="preserve">confer on the ombudsman the power to impose sanctions on the </w:t>
      </w:r>
      <w:r>
        <w:rPr>
          <w:i/>
        </w:rPr>
        <w:t>Distributor</w:t>
      </w:r>
      <w:r>
        <w:t xml:space="preserve"> </w:t>
      </w:r>
      <w:r>
        <w:rPr>
          <w:snapToGrid w:val="0"/>
        </w:rPr>
        <w:t xml:space="preserve">for a breach </w:t>
      </w:r>
      <w:r>
        <w:rPr>
          <w:snapToGrid w:val="0"/>
          <w:color w:val="000000"/>
          <w:sz w:val="24"/>
        </w:rPr>
        <w:t>of a ruling;</w:t>
      </w:r>
    </w:p>
    <w:p w:rsidR="008340EE" w:rsidRDefault="002C4C73">
      <w:pPr>
        <w:pStyle w:val="Heading5"/>
        <w:rPr>
          <w:snapToGrid w:val="0"/>
        </w:rPr>
      </w:pPr>
      <w:r>
        <w:rPr>
          <w:snapToGrid w:val="0"/>
        </w:rPr>
        <w:t>require the ombudsman to follow fair and efficient procedures, and make decisions that are fair and reasonable having regard to the law, the licences, industry codes, deemed contracts, and good industry practice;</w:t>
      </w:r>
    </w:p>
    <w:p w:rsidR="008340EE" w:rsidRDefault="002C4C73">
      <w:pPr>
        <w:pStyle w:val="Heading5"/>
        <w:rPr>
          <w:snapToGrid w:val="0"/>
          <w:color w:val="000000"/>
          <w:sz w:val="24"/>
        </w:rPr>
      </w:pPr>
      <w:r>
        <w:rPr>
          <w:snapToGrid w:val="0"/>
        </w:rPr>
        <w:t xml:space="preserve">enable the </w:t>
      </w:r>
      <w:r>
        <w:rPr>
          <w:i/>
        </w:rPr>
        <w:t>Commission</w:t>
      </w:r>
      <w:r>
        <w:t xml:space="preserve"> </w:t>
      </w:r>
      <w:r>
        <w:rPr>
          <w:snapToGrid w:val="0"/>
        </w:rPr>
        <w:t xml:space="preserve">to refer complaints in relation to the conduct of the participating </w:t>
      </w:r>
      <w:r>
        <w:rPr>
          <w:i/>
        </w:rPr>
        <w:t>Distributor’s</w:t>
      </w:r>
      <w:r>
        <w:t xml:space="preserve"> </w:t>
      </w:r>
      <w:r>
        <w:rPr>
          <w:snapToGrid w:val="0"/>
          <w:color w:val="000000"/>
          <w:sz w:val="24"/>
        </w:rPr>
        <w:t xml:space="preserve">business conducted under its </w:t>
      </w:r>
      <w:r>
        <w:rPr>
          <w:i/>
          <w:snapToGrid w:val="0"/>
          <w:color w:val="000000"/>
          <w:sz w:val="24"/>
        </w:rPr>
        <w:t>Distribution Licence</w:t>
      </w:r>
      <w:r>
        <w:rPr>
          <w:snapToGrid w:val="0"/>
          <w:color w:val="000000"/>
          <w:sz w:val="24"/>
        </w:rPr>
        <w:t xml:space="preserve"> to the ombudsman;</w:t>
      </w:r>
    </w:p>
    <w:p w:rsidR="008340EE" w:rsidRDefault="002C4C73">
      <w:pPr>
        <w:pStyle w:val="Heading5"/>
        <w:rPr>
          <w:snapToGrid w:val="0"/>
          <w:color w:val="000000"/>
          <w:sz w:val="24"/>
        </w:rPr>
      </w:pPr>
      <w:r>
        <w:rPr>
          <w:snapToGrid w:val="0"/>
        </w:rPr>
        <w:t xml:space="preserve">require the </w:t>
      </w:r>
      <w:r>
        <w:rPr>
          <w:i/>
        </w:rPr>
        <w:t>Distributor</w:t>
      </w:r>
      <w:r>
        <w:t xml:space="preserve"> </w:t>
      </w:r>
      <w:r>
        <w:rPr>
          <w:snapToGrid w:val="0"/>
        </w:rPr>
        <w:t xml:space="preserve">to bear a fair proportion of the cost of the development, </w:t>
      </w:r>
      <w:r>
        <w:rPr>
          <w:snapToGrid w:val="0"/>
          <w:color w:val="000000"/>
          <w:sz w:val="24"/>
        </w:rPr>
        <w:t>establishment and operation of the ombudsman scheme;</w:t>
      </w:r>
    </w:p>
    <w:p w:rsidR="008340EE" w:rsidRDefault="002C4C73">
      <w:pPr>
        <w:pStyle w:val="Heading5"/>
        <w:rPr>
          <w:snapToGrid w:val="0"/>
        </w:rPr>
      </w:pPr>
      <w:r>
        <w:rPr>
          <w:snapToGrid w:val="0"/>
        </w:rPr>
        <w:lastRenderedPageBreak/>
        <w:t xml:space="preserve">enable a question as to the fairness of the proportion of the costs which must be borne by a </w:t>
      </w:r>
      <w:r>
        <w:rPr>
          <w:i/>
        </w:rPr>
        <w:t>Distributor</w:t>
      </w:r>
      <w:r>
        <w:t xml:space="preserve"> </w:t>
      </w:r>
      <w:r>
        <w:rPr>
          <w:snapToGrid w:val="0"/>
        </w:rPr>
        <w:t xml:space="preserve">to be decided by the </w:t>
      </w:r>
      <w:r>
        <w:rPr>
          <w:i/>
        </w:rPr>
        <w:t>Commission</w:t>
      </w:r>
      <w:r>
        <w:t xml:space="preserve"> </w:t>
      </w:r>
      <w:r>
        <w:rPr>
          <w:snapToGrid w:val="0"/>
        </w:rPr>
        <w:t xml:space="preserve">on the basis of the </w:t>
      </w:r>
      <w:r>
        <w:rPr>
          <w:i/>
        </w:rPr>
        <w:t>Commission's</w:t>
      </w:r>
      <w:r>
        <w:t xml:space="preserve"> </w:t>
      </w:r>
      <w:r>
        <w:rPr>
          <w:snapToGrid w:val="0"/>
        </w:rPr>
        <w:t>opinion of the fairness of the proportion;</w:t>
      </w:r>
    </w:p>
    <w:p w:rsidR="008340EE" w:rsidRDefault="002C4C73">
      <w:pPr>
        <w:pStyle w:val="Heading5"/>
        <w:rPr>
          <w:snapToGrid w:val="0"/>
        </w:rPr>
      </w:pPr>
      <w:r>
        <w:rPr>
          <w:snapToGrid w:val="0"/>
        </w:rPr>
        <w:t xml:space="preserve">require the ombudsman to report to the </w:t>
      </w:r>
      <w:r>
        <w:rPr>
          <w:i/>
        </w:rPr>
        <w:t>Commission</w:t>
      </w:r>
      <w:r>
        <w:t xml:space="preserve"> </w:t>
      </w:r>
      <w:r>
        <w:rPr>
          <w:snapToGrid w:val="0"/>
        </w:rPr>
        <w:t xml:space="preserve">as and when required by the </w:t>
      </w:r>
      <w:r>
        <w:rPr>
          <w:i/>
        </w:rPr>
        <w:t>Commission</w:t>
      </w:r>
      <w:r>
        <w:t xml:space="preserve"> </w:t>
      </w:r>
      <w:r>
        <w:rPr>
          <w:snapToGrid w:val="0"/>
        </w:rPr>
        <w:t xml:space="preserve">on the operation of the scheme in relation to the industry of which the </w:t>
      </w:r>
      <w:r>
        <w:rPr>
          <w:i/>
        </w:rPr>
        <w:t>Distributor</w:t>
      </w:r>
      <w:r>
        <w:t xml:space="preserve"> </w:t>
      </w:r>
      <w:r>
        <w:rPr>
          <w:snapToGrid w:val="0"/>
        </w:rPr>
        <w:t>is part;</w:t>
      </w:r>
    </w:p>
    <w:p w:rsidR="008340EE" w:rsidRDefault="002C4C73">
      <w:pPr>
        <w:pStyle w:val="Heading5"/>
        <w:rPr>
          <w:snapToGrid w:val="0"/>
        </w:rPr>
      </w:pPr>
      <w:r>
        <w:rPr>
          <w:snapToGrid w:val="0"/>
        </w:rPr>
        <w:t xml:space="preserve">require the ombudsman to publish its decisions and annual reports on the operation of the scheme and the performance of each member of the scheme in relation to the industry of which the </w:t>
      </w:r>
      <w:r>
        <w:rPr>
          <w:i/>
        </w:rPr>
        <w:t>Distributor</w:t>
      </w:r>
      <w:r>
        <w:t xml:space="preserve"> </w:t>
      </w:r>
      <w:r>
        <w:rPr>
          <w:snapToGrid w:val="0"/>
        </w:rPr>
        <w:t>is part;</w:t>
      </w:r>
    </w:p>
    <w:p w:rsidR="008340EE" w:rsidRDefault="002C4C73">
      <w:pPr>
        <w:pStyle w:val="Heading5"/>
        <w:rPr>
          <w:snapToGrid w:val="0"/>
          <w:color w:val="000000"/>
          <w:sz w:val="24"/>
        </w:rPr>
      </w:pPr>
      <w:r>
        <w:rPr>
          <w:snapToGrid w:val="0"/>
        </w:rPr>
        <w:t xml:space="preserve">require the board to conduct periodic and comprehensive reviews of the performance of </w:t>
      </w:r>
      <w:r>
        <w:t xml:space="preserve">the scheme in consultation with members, </w:t>
      </w:r>
      <w:r>
        <w:rPr>
          <w:i/>
        </w:rPr>
        <w:t>customer</w:t>
      </w:r>
      <w:r>
        <w:t xml:space="preserve"> representatives, the</w:t>
      </w:r>
      <w:r>
        <w:rPr>
          <w:snapToGrid w:val="0"/>
          <w:color w:val="000000"/>
          <w:sz w:val="24"/>
        </w:rPr>
        <w:t xml:space="preserve"> </w:t>
      </w:r>
      <w:r>
        <w:rPr>
          <w:i/>
        </w:rPr>
        <w:t>Commission</w:t>
      </w:r>
      <w:r>
        <w:t xml:space="preserve"> </w:t>
      </w:r>
      <w:r>
        <w:rPr>
          <w:snapToGrid w:val="0"/>
          <w:color w:val="000000"/>
          <w:sz w:val="24"/>
        </w:rPr>
        <w:t>and other interested parties; and</w:t>
      </w:r>
    </w:p>
    <w:p w:rsidR="008340EE" w:rsidRDefault="002C4C73">
      <w:pPr>
        <w:pStyle w:val="Heading5"/>
        <w:tabs>
          <w:tab w:val="clear" w:pos="1440"/>
          <w:tab w:val="num" w:pos="993"/>
        </w:tabs>
        <w:ind w:left="993" w:hanging="273"/>
        <w:rPr>
          <w:snapToGrid w:val="0"/>
        </w:rPr>
      </w:pPr>
      <w:r>
        <w:rPr>
          <w:snapToGrid w:val="0"/>
        </w:rPr>
        <w:t xml:space="preserve">provide for the </w:t>
      </w:r>
      <w:r>
        <w:rPr>
          <w:i/>
        </w:rPr>
        <w:t>Distributor</w:t>
      </w:r>
      <w:r>
        <w:t xml:space="preserve"> </w:t>
      </w:r>
      <w:r>
        <w:rPr>
          <w:snapToGrid w:val="0"/>
        </w:rPr>
        <w:t>to withdraw from the scheme subject to:</w:t>
      </w:r>
    </w:p>
    <w:p w:rsidR="008340EE" w:rsidRDefault="002C4C73">
      <w:pPr>
        <w:pStyle w:val="Heading6"/>
        <w:numPr>
          <w:ilvl w:val="0"/>
          <w:numId w:val="0"/>
        </w:numPr>
        <w:ind w:left="2160" w:hanging="720"/>
        <w:rPr>
          <w:snapToGrid w:val="0"/>
        </w:rPr>
      </w:pPr>
      <w:r>
        <w:rPr>
          <w:snapToGrid w:val="0"/>
        </w:rPr>
        <w:t>A.</w:t>
      </w:r>
      <w:r>
        <w:rPr>
          <w:snapToGrid w:val="0"/>
        </w:rPr>
        <w:tab/>
        <w:t xml:space="preserve">the </w:t>
      </w:r>
      <w:r>
        <w:rPr>
          <w:i/>
        </w:rPr>
        <w:t>Commission</w:t>
      </w:r>
      <w:r>
        <w:rPr>
          <w:b/>
          <w:i/>
          <w:snapToGrid w:val="0"/>
        </w:rPr>
        <w:t xml:space="preserve"> </w:t>
      </w:r>
      <w:r>
        <w:rPr>
          <w:snapToGrid w:val="0"/>
        </w:rPr>
        <w:t xml:space="preserve">notifying the </w:t>
      </w:r>
      <w:r>
        <w:rPr>
          <w:i/>
        </w:rPr>
        <w:t>Distributor</w:t>
      </w:r>
      <w:r>
        <w:t xml:space="preserve"> </w:t>
      </w:r>
      <w:r>
        <w:rPr>
          <w:snapToGrid w:val="0"/>
        </w:rPr>
        <w:t xml:space="preserve">that it need not comply with clause </w:t>
      </w:r>
      <w:r>
        <w:rPr>
          <w:snapToGrid w:val="0"/>
        </w:rPr>
        <w:fldChar w:fldCharType="begin"/>
      </w:r>
      <w:r>
        <w:rPr>
          <w:snapToGrid w:val="0"/>
        </w:rPr>
        <w:instrText xml:space="preserve"> REF _Ref530886180 \w \h </w:instrText>
      </w:r>
      <w:r>
        <w:rPr>
          <w:snapToGrid w:val="0"/>
        </w:rPr>
      </w:r>
      <w:r>
        <w:rPr>
          <w:snapToGrid w:val="0"/>
        </w:rPr>
        <w:fldChar w:fldCharType="separate"/>
      </w:r>
      <w:r w:rsidR="00AA1393">
        <w:rPr>
          <w:snapToGrid w:val="0"/>
        </w:rPr>
        <w:t>7(b)</w:t>
      </w:r>
      <w:r>
        <w:rPr>
          <w:snapToGrid w:val="0"/>
        </w:rPr>
        <w:fldChar w:fldCharType="end"/>
      </w:r>
      <w:r>
        <w:rPr>
          <w:snapToGrid w:val="0"/>
        </w:rPr>
        <w:t>;</w:t>
      </w:r>
    </w:p>
    <w:p w:rsidR="008340EE" w:rsidRDefault="002C4C73">
      <w:pPr>
        <w:pStyle w:val="Heading6"/>
        <w:numPr>
          <w:ilvl w:val="0"/>
          <w:numId w:val="0"/>
        </w:numPr>
        <w:ind w:left="2160" w:hanging="720"/>
        <w:rPr>
          <w:snapToGrid w:val="0"/>
          <w:color w:val="000000"/>
          <w:sz w:val="24"/>
        </w:rPr>
      </w:pPr>
      <w:r>
        <w:rPr>
          <w:snapToGrid w:val="0"/>
        </w:rPr>
        <w:t>B.</w:t>
      </w:r>
      <w:r>
        <w:rPr>
          <w:snapToGrid w:val="0"/>
        </w:rPr>
        <w:tab/>
        <w:t xml:space="preserve">the </w:t>
      </w:r>
      <w:r>
        <w:rPr>
          <w:i/>
        </w:rPr>
        <w:t>Distributor</w:t>
      </w:r>
      <w:r>
        <w:t xml:space="preserve"> </w:t>
      </w:r>
      <w:r>
        <w:rPr>
          <w:snapToGrid w:val="0"/>
        </w:rPr>
        <w:t xml:space="preserve">providing to the </w:t>
      </w:r>
      <w:r>
        <w:rPr>
          <w:i/>
        </w:rPr>
        <w:t>Commission</w:t>
      </w:r>
      <w:r>
        <w:t xml:space="preserve"> </w:t>
      </w:r>
      <w:r>
        <w:rPr>
          <w:snapToGrid w:val="0"/>
        </w:rPr>
        <w:t xml:space="preserve">12 months notice in writing of the </w:t>
      </w:r>
      <w:r>
        <w:t xml:space="preserve">Distributor's </w:t>
      </w:r>
      <w:r>
        <w:rPr>
          <w:snapToGrid w:val="0"/>
          <w:color w:val="000000"/>
          <w:sz w:val="24"/>
        </w:rPr>
        <w:t>intention to withdraw; and</w:t>
      </w:r>
    </w:p>
    <w:p w:rsidR="008340EE" w:rsidRDefault="002C4C73">
      <w:pPr>
        <w:pStyle w:val="Heading6"/>
        <w:numPr>
          <w:ilvl w:val="0"/>
          <w:numId w:val="0"/>
        </w:numPr>
        <w:ind w:left="2160" w:hanging="720"/>
        <w:rPr>
          <w:snapToGrid w:val="0"/>
        </w:rPr>
      </w:pPr>
      <w:r>
        <w:rPr>
          <w:snapToGrid w:val="0"/>
          <w:color w:val="000000"/>
          <w:sz w:val="24"/>
        </w:rPr>
        <w:t>C.</w:t>
      </w:r>
      <w:r>
        <w:rPr>
          <w:snapToGrid w:val="0"/>
          <w:color w:val="000000"/>
          <w:sz w:val="24"/>
        </w:rPr>
        <w:tab/>
      </w:r>
      <w:r>
        <w:rPr>
          <w:snapToGrid w:val="0"/>
        </w:rPr>
        <w:t xml:space="preserve">the </w:t>
      </w:r>
      <w:r>
        <w:rPr>
          <w:i/>
        </w:rPr>
        <w:t xml:space="preserve">Distributor </w:t>
      </w:r>
      <w:r>
        <w:rPr>
          <w:snapToGrid w:val="0"/>
        </w:rPr>
        <w:t xml:space="preserve">satisfying the </w:t>
      </w:r>
      <w:r>
        <w:rPr>
          <w:i/>
        </w:rPr>
        <w:t>Commission</w:t>
      </w:r>
      <w:r>
        <w:t xml:space="preserve"> </w:t>
      </w:r>
      <w:r>
        <w:rPr>
          <w:snapToGrid w:val="0"/>
        </w:rPr>
        <w:t xml:space="preserve">that the </w:t>
      </w:r>
      <w:r>
        <w:rPr>
          <w:i/>
        </w:rPr>
        <w:t>Distributor</w:t>
      </w:r>
      <w:r>
        <w:t xml:space="preserve"> </w:t>
      </w:r>
      <w:r>
        <w:rPr>
          <w:snapToGrid w:val="0"/>
        </w:rPr>
        <w:t xml:space="preserve">complies with clause </w:t>
      </w:r>
      <w:r>
        <w:rPr>
          <w:snapToGrid w:val="0"/>
        </w:rPr>
        <w:fldChar w:fldCharType="begin"/>
      </w:r>
      <w:r>
        <w:rPr>
          <w:snapToGrid w:val="0"/>
        </w:rPr>
        <w:instrText xml:space="preserve"> REF _Ref530886212 \w \h </w:instrText>
      </w:r>
      <w:r>
        <w:rPr>
          <w:snapToGrid w:val="0"/>
        </w:rPr>
      </w:r>
      <w:r>
        <w:rPr>
          <w:snapToGrid w:val="0"/>
        </w:rPr>
        <w:fldChar w:fldCharType="separate"/>
      </w:r>
      <w:r w:rsidR="00AA1393">
        <w:rPr>
          <w:snapToGrid w:val="0"/>
        </w:rPr>
        <w:t>7(a)</w:t>
      </w:r>
      <w:r>
        <w:rPr>
          <w:snapToGrid w:val="0"/>
        </w:rPr>
        <w:fldChar w:fldCharType="end"/>
      </w:r>
      <w:r>
        <w:rPr>
          <w:snapToGrid w:val="0"/>
        </w:rPr>
        <w:t>.</w:t>
      </w:r>
    </w:p>
    <w:p w:rsidR="008340EE" w:rsidRDefault="002C4C73">
      <w:pPr>
        <w:pStyle w:val="Heading1"/>
        <w:rPr>
          <w:snapToGrid w:val="0"/>
        </w:rPr>
      </w:pPr>
      <w:bookmarkStart w:id="24" w:name="_Toc1299472"/>
      <w:r>
        <w:rPr>
          <w:snapToGrid w:val="0"/>
        </w:rPr>
        <w:t>PAYMENT OF LICENCE FEES</w:t>
      </w:r>
      <w:bookmarkEnd w:id="24"/>
    </w:p>
    <w:p w:rsidR="008340EE" w:rsidRDefault="002C4C73">
      <w:pPr>
        <w:pStyle w:val="Heading4"/>
        <w:rPr>
          <w:snapToGrid w:val="0"/>
          <w:color w:val="000000"/>
          <w:sz w:val="24"/>
        </w:rPr>
      </w:pPr>
      <w:bookmarkStart w:id="25" w:name="_Toc530459392"/>
      <w:r>
        <w:rPr>
          <w:snapToGrid w:val="0"/>
        </w:rPr>
        <w:t xml:space="preserve">The </w:t>
      </w:r>
      <w:r>
        <w:rPr>
          <w:i/>
          <w:snapToGrid w:val="0"/>
        </w:rPr>
        <w:t xml:space="preserve">Distributor </w:t>
      </w:r>
      <w:r>
        <w:rPr>
          <w:snapToGrid w:val="0"/>
        </w:rPr>
        <w:t xml:space="preserve">must pay as directed by the </w:t>
      </w:r>
      <w:r>
        <w:rPr>
          <w:i/>
          <w:snapToGrid w:val="0"/>
        </w:rPr>
        <w:t xml:space="preserve">Commission </w:t>
      </w:r>
      <w:r>
        <w:rPr>
          <w:snapToGrid w:val="0"/>
        </w:rPr>
        <w:t xml:space="preserve">a licence fee determined in accordance with </w:t>
      </w:r>
      <w:r>
        <w:rPr>
          <w:snapToGrid w:val="0"/>
          <w:color w:val="000000"/>
          <w:sz w:val="24"/>
        </w:rPr>
        <w:t xml:space="preserve">section 30 of the </w:t>
      </w:r>
      <w:r>
        <w:rPr>
          <w:i/>
          <w:snapToGrid w:val="0"/>
          <w:color w:val="000000"/>
          <w:sz w:val="24"/>
        </w:rPr>
        <w:t>Gas Industry Act</w:t>
      </w:r>
      <w:r>
        <w:rPr>
          <w:snapToGrid w:val="0"/>
          <w:color w:val="000000"/>
          <w:sz w:val="24"/>
        </w:rPr>
        <w:t>.</w:t>
      </w:r>
      <w:bookmarkEnd w:id="25"/>
    </w:p>
    <w:p w:rsidR="008340EE" w:rsidRDefault="002C4C73">
      <w:pPr>
        <w:pStyle w:val="Heading4"/>
        <w:rPr>
          <w:snapToGrid w:val="0"/>
        </w:rPr>
      </w:pPr>
      <w:bookmarkStart w:id="26" w:name="_Toc530459393"/>
      <w:r>
        <w:rPr>
          <w:snapToGrid w:val="0"/>
        </w:rPr>
        <w:t>If the fee is an annual fee, it must be paid:</w:t>
      </w:r>
      <w:bookmarkEnd w:id="26"/>
    </w:p>
    <w:p w:rsidR="008340EE" w:rsidRDefault="002C4C73">
      <w:pPr>
        <w:pStyle w:val="Heading5"/>
        <w:rPr>
          <w:snapToGrid w:val="0"/>
          <w:color w:val="000000"/>
          <w:sz w:val="24"/>
        </w:rPr>
      </w:pPr>
      <w:r>
        <w:rPr>
          <w:snapToGrid w:val="0"/>
        </w:rPr>
        <w:t xml:space="preserve">in four equal instalments due on the last days of September, December, March and June </w:t>
      </w:r>
      <w:r>
        <w:rPr>
          <w:snapToGrid w:val="0"/>
          <w:color w:val="000000"/>
          <w:sz w:val="24"/>
        </w:rPr>
        <w:t>of each year; or</w:t>
      </w:r>
    </w:p>
    <w:p w:rsidR="008340EE" w:rsidRDefault="002C4C73">
      <w:pPr>
        <w:pStyle w:val="Heading5"/>
        <w:rPr>
          <w:snapToGrid w:val="0"/>
        </w:rPr>
      </w:pPr>
      <w:r>
        <w:rPr>
          <w:snapToGrid w:val="0"/>
        </w:rPr>
        <w:t>in full on or before the last day of September of each year.</w:t>
      </w:r>
    </w:p>
    <w:p w:rsidR="008340EE" w:rsidRDefault="002C4C73">
      <w:pPr>
        <w:pStyle w:val="Heading4"/>
        <w:rPr>
          <w:snapToGrid w:val="0"/>
          <w:color w:val="000000"/>
          <w:sz w:val="24"/>
        </w:rPr>
      </w:pPr>
      <w:bookmarkStart w:id="27" w:name="_Toc530459394"/>
      <w:r>
        <w:rPr>
          <w:snapToGrid w:val="0"/>
        </w:rPr>
        <w:lastRenderedPageBreak/>
        <w:t xml:space="preserve">The </w:t>
      </w:r>
      <w:r>
        <w:rPr>
          <w:i/>
          <w:snapToGrid w:val="0"/>
        </w:rPr>
        <w:t xml:space="preserve">Distributor </w:t>
      </w:r>
      <w:r>
        <w:rPr>
          <w:snapToGrid w:val="0"/>
        </w:rPr>
        <w:t xml:space="preserve">must pay as directed by the </w:t>
      </w:r>
      <w:r>
        <w:rPr>
          <w:i/>
          <w:snapToGrid w:val="0"/>
        </w:rPr>
        <w:t xml:space="preserve">Commission </w:t>
      </w:r>
      <w:r>
        <w:rPr>
          <w:snapToGrid w:val="0"/>
        </w:rPr>
        <w:t xml:space="preserve">such other fees and charges in respect of this </w:t>
      </w:r>
      <w:r>
        <w:rPr>
          <w:snapToGrid w:val="0"/>
          <w:color w:val="000000"/>
          <w:sz w:val="24"/>
        </w:rPr>
        <w:t xml:space="preserve">licence as are determined by the </w:t>
      </w:r>
      <w:r>
        <w:rPr>
          <w:iCs/>
          <w:snapToGrid w:val="0"/>
          <w:color w:val="000000"/>
          <w:sz w:val="24"/>
        </w:rPr>
        <w:t>Minister</w:t>
      </w:r>
      <w:r>
        <w:rPr>
          <w:i/>
          <w:snapToGrid w:val="0"/>
          <w:color w:val="000000"/>
          <w:sz w:val="24"/>
        </w:rPr>
        <w:t xml:space="preserve"> </w:t>
      </w:r>
      <w:r>
        <w:rPr>
          <w:snapToGrid w:val="0"/>
          <w:color w:val="000000"/>
          <w:sz w:val="24"/>
        </w:rPr>
        <w:t xml:space="preserve">in accordance with section 30 of the </w:t>
      </w:r>
      <w:r>
        <w:rPr>
          <w:i/>
          <w:snapToGrid w:val="0"/>
          <w:color w:val="000000"/>
          <w:sz w:val="24"/>
        </w:rPr>
        <w:t>Gas Industry Act</w:t>
      </w:r>
      <w:r>
        <w:rPr>
          <w:snapToGrid w:val="0"/>
          <w:color w:val="000000"/>
          <w:sz w:val="24"/>
        </w:rPr>
        <w:t>.</w:t>
      </w:r>
      <w:bookmarkEnd w:id="27"/>
    </w:p>
    <w:p w:rsidR="008340EE" w:rsidRDefault="002C4C73">
      <w:pPr>
        <w:pStyle w:val="Heading1"/>
      </w:pPr>
      <w:bookmarkStart w:id="28" w:name="_Toc1299473"/>
      <w:r>
        <w:rPr>
          <w:snapToGrid w:val="0"/>
        </w:rPr>
        <w:t>COMPLIANCE WITH LAWS</w:t>
      </w:r>
      <w:bookmarkEnd w:id="28"/>
    </w:p>
    <w:p w:rsidR="008340EE" w:rsidRDefault="002C4C73">
      <w:pPr>
        <w:pStyle w:val="BodyText"/>
        <w:ind w:left="720"/>
        <w:rPr>
          <w:snapToGrid w:val="0"/>
        </w:rPr>
      </w:pPr>
      <w:r>
        <w:rPr>
          <w:snapToGrid w:val="0"/>
        </w:rPr>
        <w:t xml:space="preserve">The </w:t>
      </w:r>
      <w:r>
        <w:rPr>
          <w:i/>
          <w:snapToGrid w:val="0"/>
        </w:rPr>
        <w:t xml:space="preserve">Distributor </w:t>
      </w:r>
      <w:r>
        <w:rPr>
          <w:snapToGrid w:val="0"/>
        </w:rPr>
        <w:t>must comply with all applicable laws.</w:t>
      </w:r>
    </w:p>
    <w:p w:rsidR="008340EE" w:rsidRDefault="002C4C73">
      <w:pPr>
        <w:pStyle w:val="Heading1"/>
        <w:rPr>
          <w:rStyle w:val="Heading"/>
          <w:b/>
        </w:rPr>
      </w:pPr>
      <w:bookmarkStart w:id="29" w:name="_Toc530459398"/>
      <w:bookmarkStart w:id="30" w:name="_Toc1299474"/>
      <w:r>
        <w:rPr>
          <w:rStyle w:val="Heading"/>
          <w:b/>
        </w:rPr>
        <w:t>OPERATIONAL AND COMPLIANCE AUDITS</w:t>
      </w:r>
      <w:bookmarkEnd w:id="29"/>
      <w:bookmarkEnd w:id="30"/>
    </w:p>
    <w:p w:rsidR="008340EE" w:rsidRDefault="002C4C73">
      <w:pPr>
        <w:pStyle w:val="Heading4"/>
        <w:rPr>
          <w:snapToGrid w:val="0"/>
        </w:rPr>
      </w:pPr>
      <w:bookmarkStart w:id="31" w:name="_Toc530459399"/>
      <w:r>
        <w:rPr>
          <w:snapToGrid w:val="0"/>
        </w:rPr>
        <w:t xml:space="preserve">As requested by the </w:t>
      </w:r>
      <w:r>
        <w:rPr>
          <w:i/>
          <w:snapToGrid w:val="0"/>
        </w:rPr>
        <w:t>Commission</w:t>
      </w:r>
      <w:r>
        <w:rPr>
          <w:snapToGrid w:val="0"/>
        </w:rPr>
        <w:t xml:space="preserve">, the </w:t>
      </w:r>
      <w:r>
        <w:rPr>
          <w:i/>
          <w:snapToGrid w:val="0"/>
        </w:rPr>
        <w:t xml:space="preserve">Distributor </w:t>
      </w:r>
      <w:r>
        <w:rPr>
          <w:snapToGrid w:val="0"/>
        </w:rPr>
        <w:t>must undertake operational and compliance audits of:</w:t>
      </w:r>
      <w:bookmarkEnd w:id="31"/>
    </w:p>
    <w:p w:rsidR="008340EE" w:rsidRDefault="002C4C73">
      <w:pPr>
        <w:pStyle w:val="Heading5"/>
        <w:rPr>
          <w:snapToGrid w:val="0"/>
          <w:color w:val="000000"/>
          <w:sz w:val="24"/>
        </w:rPr>
      </w:pPr>
      <w:r>
        <w:rPr>
          <w:snapToGrid w:val="0"/>
        </w:rPr>
        <w:t xml:space="preserve">its compliance with obligations under this licence, the </w:t>
      </w:r>
      <w:r>
        <w:rPr>
          <w:i/>
          <w:snapToGrid w:val="0"/>
        </w:rPr>
        <w:t xml:space="preserve">Distribution System </w:t>
      </w:r>
      <w:r>
        <w:rPr>
          <w:i/>
          <w:snapToGrid w:val="0"/>
          <w:color w:val="000000"/>
          <w:sz w:val="24"/>
        </w:rPr>
        <w:t xml:space="preserve">Code </w:t>
      </w:r>
      <w:r>
        <w:rPr>
          <w:snapToGrid w:val="0"/>
          <w:color w:val="000000"/>
          <w:sz w:val="24"/>
        </w:rPr>
        <w:t xml:space="preserve">and the </w:t>
      </w:r>
      <w:r>
        <w:rPr>
          <w:i/>
          <w:snapToGrid w:val="0"/>
          <w:color w:val="000000"/>
          <w:sz w:val="24"/>
        </w:rPr>
        <w:t xml:space="preserve">Retail Code; </w:t>
      </w:r>
      <w:r>
        <w:rPr>
          <w:snapToGrid w:val="0"/>
          <w:color w:val="000000"/>
          <w:sz w:val="24"/>
        </w:rPr>
        <w:t>and</w:t>
      </w:r>
    </w:p>
    <w:p w:rsidR="008340EE" w:rsidRDefault="002C4C73">
      <w:pPr>
        <w:pStyle w:val="Heading5"/>
        <w:rPr>
          <w:snapToGrid w:val="0"/>
        </w:rPr>
      </w:pPr>
      <w:r>
        <w:rPr>
          <w:snapToGrid w:val="0"/>
        </w:rPr>
        <w:t xml:space="preserve">its compliance with policies, practices, procedures and systems for collection, analysis and reporting of data on the performance and the capacity of the </w:t>
      </w:r>
      <w:r>
        <w:rPr>
          <w:i/>
          <w:snapToGrid w:val="0"/>
        </w:rPr>
        <w:t>gas distribution system</w:t>
      </w:r>
      <w:r>
        <w:rPr>
          <w:snapToGrid w:val="0"/>
        </w:rPr>
        <w:t xml:space="preserve">. </w:t>
      </w:r>
    </w:p>
    <w:p w:rsidR="008340EE" w:rsidRDefault="002C4C73">
      <w:pPr>
        <w:pStyle w:val="Heading4"/>
        <w:rPr>
          <w:snapToGrid w:val="0"/>
          <w:color w:val="000000"/>
          <w:sz w:val="24"/>
        </w:rPr>
      </w:pPr>
      <w:bookmarkStart w:id="32" w:name="_Toc530459400"/>
      <w:bookmarkStart w:id="33" w:name="_Ref1299704"/>
      <w:r>
        <w:rPr>
          <w:snapToGrid w:val="0"/>
        </w:rPr>
        <w:t xml:space="preserve">The operational and compliance audits must be conducted by an independent expert or </w:t>
      </w:r>
      <w:r>
        <w:rPr>
          <w:snapToGrid w:val="0"/>
          <w:color w:val="000000"/>
          <w:sz w:val="24"/>
        </w:rPr>
        <w:t xml:space="preserve">audit team nominated by the </w:t>
      </w:r>
      <w:r>
        <w:rPr>
          <w:i/>
          <w:snapToGrid w:val="0"/>
          <w:color w:val="000000"/>
          <w:sz w:val="24"/>
        </w:rPr>
        <w:t xml:space="preserve">Distributor </w:t>
      </w:r>
      <w:r>
        <w:rPr>
          <w:snapToGrid w:val="0"/>
          <w:color w:val="000000"/>
          <w:sz w:val="24"/>
        </w:rPr>
        <w:t xml:space="preserve">and approved by the </w:t>
      </w:r>
      <w:r>
        <w:rPr>
          <w:i/>
          <w:snapToGrid w:val="0"/>
          <w:color w:val="000000"/>
          <w:sz w:val="24"/>
        </w:rPr>
        <w:t>Commission</w:t>
      </w:r>
      <w:r>
        <w:rPr>
          <w:snapToGrid w:val="0"/>
          <w:color w:val="000000"/>
          <w:sz w:val="24"/>
        </w:rPr>
        <w:t>.</w:t>
      </w:r>
      <w:bookmarkEnd w:id="32"/>
      <w:bookmarkEnd w:id="33"/>
    </w:p>
    <w:p w:rsidR="008340EE" w:rsidRDefault="002C4C73">
      <w:pPr>
        <w:pStyle w:val="Heading4"/>
        <w:rPr>
          <w:snapToGrid w:val="0"/>
          <w:color w:val="000000"/>
          <w:sz w:val="24"/>
        </w:rPr>
      </w:pPr>
      <w:bookmarkStart w:id="34" w:name="_Toc530459401"/>
      <w:r>
        <w:rPr>
          <w:snapToGrid w:val="0"/>
        </w:rPr>
        <w:t xml:space="preserve">The scope of the operational and compliance audits are to be approved by the </w:t>
      </w:r>
      <w:r>
        <w:rPr>
          <w:i/>
          <w:snapToGrid w:val="0"/>
        </w:rPr>
        <w:t xml:space="preserve">Commission </w:t>
      </w:r>
      <w:r>
        <w:rPr>
          <w:snapToGrid w:val="0"/>
        </w:rPr>
        <w:t xml:space="preserve">and must meet any minimum audit scope required by the </w:t>
      </w:r>
      <w:r>
        <w:rPr>
          <w:i/>
          <w:snapToGrid w:val="0"/>
        </w:rPr>
        <w:t>Commission</w:t>
      </w:r>
      <w:r>
        <w:rPr>
          <w:snapToGrid w:val="0"/>
        </w:rPr>
        <w:t xml:space="preserve">, but need not cover obligations, policies, </w:t>
      </w:r>
      <w:r>
        <w:rPr>
          <w:snapToGrid w:val="0"/>
          <w:color w:val="000000"/>
          <w:sz w:val="24"/>
        </w:rPr>
        <w:t xml:space="preserve">practices, procedures or systems of the </w:t>
      </w:r>
      <w:r>
        <w:rPr>
          <w:i/>
          <w:snapToGrid w:val="0"/>
          <w:color w:val="000000"/>
          <w:sz w:val="24"/>
        </w:rPr>
        <w:t xml:space="preserve">Distributor </w:t>
      </w:r>
      <w:r>
        <w:rPr>
          <w:snapToGrid w:val="0"/>
          <w:color w:val="000000"/>
          <w:sz w:val="24"/>
        </w:rPr>
        <w:t>where compliance is audited under a separate regulatory requirement.</w:t>
      </w:r>
      <w:bookmarkEnd w:id="34"/>
    </w:p>
    <w:p w:rsidR="008340EE" w:rsidRDefault="002C4C73">
      <w:pPr>
        <w:pStyle w:val="Heading4"/>
        <w:rPr>
          <w:snapToGrid w:val="0"/>
          <w:color w:val="000000"/>
          <w:sz w:val="24"/>
        </w:rPr>
      </w:pPr>
      <w:bookmarkStart w:id="35" w:name="_Toc530459402"/>
      <w:r>
        <w:rPr>
          <w:snapToGrid w:val="0"/>
        </w:rPr>
        <w:t xml:space="preserve">The </w:t>
      </w:r>
      <w:r>
        <w:rPr>
          <w:i/>
          <w:snapToGrid w:val="0"/>
        </w:rPr>
        <w:t xml:space="preserve">Distributor </w:t>
      </w:r>
      <w:r>
        <w:rPr>
          <w:snapToGrid w:val="0"/>
        </w:rPr>
        <w:t xml:space="preserve">must provide the results of the audit to the </w:t>
      </w:r>
      <w:r>
        <w:rPr>
          <w:i/>
          <w:snapToGrid w:val="0"/>
        </w:rPr>
        <w:t xml:space="preserve">Commission </w:t>
      </w:r>
      <w:r>
        <w:rPr>
          <w:snapToGrid w:val="0"/>
        </w:rPr>
        <w:t xml:space="preserve">in accordance with any </w:t>
      </w:r>
      <w:r>
        <w:rPr>
          <w:snapToGrid w:val="0"/>
          <w:color w:val="000000"/>
          <w:sz w:val="24"/>
        </w:rPr>
        <w:t xml:space="preserve">guidelines published by the </w:t>
      </w:r>
      <w:r>
        <w:rPr>
          <w:i/>
          <w:snapToGrid w:val="0"/>
          <w:color w:val="000000"/>
          <w:sz w:val="24"/>
        </w:rPr>
        <w:t>Commission</w:t>
      </w:r>
      <w:bookmarkEnd w:id="35"/>
      <w:r>
        <w:rPr>
          <w:snapToGrid w:val="0"/>
          <w:color w:val="000000"/>
          <w:sz w:val="24"/>
        </w:rPr>
        <w:t>.</w:t>
      </w:r>
    </w:p>
    <w:p w:rsidR="008340EE" w:rsidRDefault="002C4C73">
      <w:pPr>
        <w:pStyle w:val="Heading4"/>
        <w:rPr>
          <w:snapToGrid w:val="0"/>
          <w:color w:val="000000"/>
          <w:sz w:val="24"/>
        </w:rPr>
      </w:pPr>
      <w:bookmarkStart w:id="36" w:name="_Toc530459403"/>
      <w:r>
        <w:rPr>
          <w:snapToGrid w:val="0"/>
        </w:rPr>
        <w:t xml:space="preserve">The terms and conditions of the operational and compliance audit contract which relate to the </w:t>
      </w:r>
      <w:r>
        <w:rPr>
          <w:snapToGrid w:val="0"/>
          <w:color w:val="000000"/>
          <w:sz w:val="24"/>
        </w:rPr>
        <w:t xml:space="preserve">scope of the audits must be approved by the </w:t>
      </w:r>
      <w:r>
        <w:rPr>
          <w:i/>
          <w:snapToGrid w:val="0"/>
          <w:color w:val="000000"/>
          <w:sz w:val="24"/>
        </w:rPr>
        <w:t>Commission</w:t>
      </w:r>
      <w:r>
        <w:rPr>
          <w:snapToGrid w:val="0"/>
          <w:color w:val="000000"/>
          <w:sz w:val="24"/>
        </w:rPr>
        <w:t>.</w:t>
      </w:r>
      <w:bookmarkEnd w:id="36"/>
    </w:p>
    <w:p w:rsidR="008340EE" w:rsidRDefault="002C4C73">
      <w:pPr>
        <w:pStyle w:val="Heading1"/>
        <w:rPr>
          <w:snapToGrid w:val="0"/>
        </w:rPr>
      </w:pPr>
      <w:bookmarkStart w:id="37" w:name="_Toc1299475"/>
      <w:r>
        <w:rPr>
          <w:snapToGrid w:val="0"/>
        </w:rPr>
        <w:t>Definitions and INTERPRETATION</w:t>
      </w:r>
      <w:bookmarkEnd w:id="37"/>
    </w:p>
    <w:p w:rsidR="008340EE" w:rsidRDefault="002C4C73">
      <w:pPr>
        <w:pStyle w:val="Heading2"/>
        <w:rPr>
          <w:rStyle w:val="Subheading"/>
        </w:rPr>
      </w:pPr>
      <w:bookmarkStart w:id="38" w:name="_Toc530459408"/>
      <w:bookmarkStart w:id="39" w:name="_Ref532626701"/>
      <w:bookmarkStart w:id="40" w:name="_Toc1299476"/>
      <w:r>
        <w:rPr>
          <w:rStyle w:val="Subheading"/>
        </w:rPr>
        <w:t>Definitions</w:t>
      </w:r>
      <w:bookmarkEnd w:id="38"/>
      <w:bookmarkEnd w:id="39"/>
      <w:bookmarkEnd w:id="40"/>
    </w:p>
    <w:p w:rsidR="008340EE" w:rsidRDefault="002C4C73">
      <w:pPr>
        <w:pStyle w:val="BodyText"/>
        <w:rPr>
          <w:snapToGrid w:val="0"/>
        </w:rPr>
      </w:pPr>
      <w:r>
        <w:rPr>
          <w:snapToGrid w:val="0"/>
        </w:rPr>
        <w:t>In this licence, unless the contrary intentions appears:</w:t>
      </w:r>
    </w:p>
    <w:p w:rsidR="008340EE" w:rsidRDefault="002C4C73">
      <w:pPr>
        <w:pStyle w:val="BodyText"/>
        <w:rPr>
          <w:snapToGrid w:val="0"/>
        </w:rPr>
      </w:pPr>
      <w:r>
        <w:rPr>
          <w:snapToGrid w:val="0"/>
        </w:rPr>
        <w:t>“</w:t>
      </w:r>
      <w:r>
        <w:rPr>
          <w:i/>
          <w:snapToGrid w:val="0"/>
        </w:rPr>
        <w:t xml:space="preserve">Access Arrangement” </w:t>
      </w:r>
      <w:r>
        <w:rPr>
          <w:snapToGrid w:val="0"/>
        </w:rPr>
        <w:t xml:space="preserve">has the meaning in the </w:t>
      </w:r>
      <w:r>
        <w:rPr>
          <w:i/>
          <w:snapToGrid w:val="0"/>
        </w:rPr>
        <w:t>Distribution System Code</w:t>
      </w:r>
      <w:r>
        <w:rPr>
          <w:snapToGrid w:val="0"/>
        </w:rPr>
        <w:t>;</w:t>
      </w:r>
    </w:p>
    <w:p w:rsidR="008340EE" w:rsidRDefault="002C4C73">
      <w:pPr>
        <w:pStyle w:val="BodyText"/>
        <w:rPr>
          <w:snapToGrid w:val="0"/>
          <w:color w:val="000000"/>
          <w:sz w:val="24"/>
        </w:rPr>
      </w:pPr>
      <w:r>
        <w:rPr>
          <w:i/>
          <w:snapToGrid w:val="0"/>
        </w:rPr>
        <w:lastRenderedPageBreak/>
        <w:t xml:space="preserve">“business day” </w:t>
      </w:r>
      <w:r>
        <w:rPr>
          <w:snapToGrid w:val="0"/>
        </w:rPr>
        <w:t xml:space="preserve">means a day on which banks are open for general banking business in Melbourne, </w:t>
      </w:r>
      <w:r>
        <w:rPr>
          <w:snapToGrid w:val="0"/>
          <w:color w:val="000000"/>
          <w:sz w:val="24"/>
        </w:rPr>
        <w:t>excluding a Saturday or Sunday;</w:t>
      </w:r>
    </w:p>
    <w:p w:rsidR="008340EE" w:rsidRDefault="002C4C73">
      <w:pPr>
        <w:pStyle w:val="BodyText"/>
        <w:rPr>
          <w:snapToGrid w:val="0"/>
        </w:rPr>
      </w:pPr>
      <w:r>
        <w:rPr>
          <w:i/>
          <w:snapToGrid w:val="0"/>
        </w:rPr>
        <w:t xml:space="preserve">“Commission” </w:t>
      </w:r>
      <w:r>
        <w:rPr>
          <w:snapToGrid w:val="0"/>
        </w:rPr>
        <w:t>means the Essential Services Commission established under the Essential Services Commission Act 2001;</w:t>
      </w:r>
    </w:p>
    <w:p w:rsidR="008340EE" w:rsidRDefault="002C4C73">
      <w:pPr>
        <w:pStyle w:val="BodyText"/>
        <w:rPr>
          <w:i/>
          <w:snapToGrid w:val="0"/>
        </w:rPr>
      </w:pPr>
      <w:r>
        <w:rPr>
          <w:i/>
          <w:snapToGrid w:val="0"/>
        </w:rPr>
        <w:t xml:space="preserve">“customer” </w:t>
      </w:r>
      <w:r>
        <w:rPr>
          <w:snapToGrid w:val="0"/>
        </w:rPr>
        <w:t>means a person to whom gas is conveyed through a</w:t>
      </w:r>
      <w:r>
        <w:rPr>
          <w:i/>
          <w:snapToGrid w:val="0"/>
        </w:rPr>
        <w:t xml:space="preserve"> distribution pipeline.</w:t>
      </w:r>
    </w:p>
    <w:p w:rsidR="008340EE" w:rsidRDefault="002C4C73">
      <w:pPr>
        <w:pStyle w:val="BodyText"/>
        <w:rPr>
          <w:snapToGrid w:val="0"/>
        </w:rPr>
      </w:pPr>
      <w:r>
        <w:rPr>
          <w:i/>
          <w:snapToGrid w:val="0"/>
        </w:rPr>
        <w:t xml:space="preserve">“customer-related standards and procedures” </w:t>
      </w:r>
      <w:r>
        <w:rPr>
          <w:snapToGrid w:val="0"/>
        </w:rPr>
        <w:t>includes:</w:t>
      </w:r>
    </w:p>
    <w:p w:rsidR="008340EE" w:rsidRDefault="002C4C73" w:rsidP="00766CC3">
      <w:pPr>
        <w:pStyle w:val="Heading4"/>
        <w:numPr>
          <w:ilvl w:val="3"/>
          <w:numId w:val="9"/>
        </w:numPr>
        <w:rPr>
          <w:snapToGrid w:val="0"/>
        </w:rPr>
      </w:pPr>
      <w:r>
        <w:rPr>
          <w:snapToGrid w:val="0"/>
        </w:rPr>
        <w:t>overall performance standards;</w:t>
      </w:r>
    </w:p>
    <w:p w:rsidR="008340EE" w:rsidRDefault="002C4C73">
      <w:pPr>
        <w:pStyle w:val="Heading4"/>
        <w:rPr>
          <w:snapToGrid w:val="0"/>
        </w:rPr>
      </w:pPr>
      <w:r>
        <w:rPr>
          <w:snapToGrid w:val="0"/>
        </w:rPr>
        <w:t>complaint handling, escalation and resolution policies, practices and procedures;</w:t>
      </w:r>
    </w:p>
    <w:p w:rsidR="008340EE" w:rsidRDefault="002C4C73">
      <w:pPr>
        <w:pStyle w:val="Heading4"/>
        <w:rPr>
          <w:snapToGrid w:val="0"/>
        </w:rPr>
      </w:pPr>
      <w:r>
        <w:rPr>
          <w:snapToGrid w:val="0"/>
        </w:rPr>
        <w:t>security deposit, disconnection and credit policies, practices and procedures; and</w:t>
      </w:r>
    </w:p>
    <w:p w:rsidR="008340EE" w:rsidRDefault="002C4C73">
      <w:pPr>
        <w:pStyle w:val="Heading4"/>
        <w:rPr>
          <w:snapToGrid w:val="0"/>
          <w:color w:val="000000"/>
          <w:sz w:val="24"/>
        </w:rPr>
      </w:pPr>
      <w:r>
        <w:rPr>
          <w:snapToGrid w:val="0"/>
        </w:rPr>
        <w:t xml:space="preserve">rules and procedures for compensating </w:t>
      </w:r>
      <w:r>
        <w:rPr>
          <w:i/>
          <w:snapToGrid w:val="0"/>
        </w:rPr>
        <w:t xml:space="preserve">customers </w:t>
      </w:r>
      <w:r>
        <w:rPr>
          <w:snapToGrid w:val="0"/>
        </w:rPr>
        <w:t xml:space="preserve">for the </w:t>
      </w:r>
      <w:r>
        <w:rPr>
          <w:i/>
          <w:snapToGrid w:val="0"/>
        </w:rPr>
        <w:t xml:space="preserve">Distributor's </w:t>
      </w:r>
      <w:r>
        <w:rPr>
          <w:snapToGrid w:val="0"/>
        </w:rPr>
        <w:t xml:space="preserve">failure to comply with any such standards, policies, practices and procedures, </w:t>
      </w:r>
      <w:r>
        <w:rPr>
          <w:snapToGrid w:val="0"/>
          <w:color w:val="000000"/>
          <w:sz w:val="24"/>
        </w:rPr>
        <w:t xml:space="preserve">which are issued by the </w:t>
      </w:r>
      <w:r>
        <w:rPr>
          <w:i/>
          <w:snapToGrid w:val="0"/>
          <w:color w:val="000000"/>
          <w:sz w:val="24"/>
        </w:rPr>
        <w:t xml:space="preserve">Distributor </w:t>
      </w:r>
      <w:r>
        <w:rPr>
          <w:snapToGrid w:val="0"/>
          <w:color w:val="000000"/>
          <w:sz w:val="24"/>
        </w:rPr>
        <w:t xml:space="preserve">under clause </w:t>
      </w:r>
      <w:r>
        <w:rPr>
          <w:snapToGrid w:val="0"/>
          <w:color w:val="000000"/>
          <w:sz w:val="24"/>
        </w:rPr>
        <w:fldChar w:fldCharType="begin"/>
      </w:r>
      <w:r>
        <w:rPr>
          <w:snapToGrid w:val="0"/>
          <w:color w:val="000000"/>
          <w:sz w:val="24"/>
        </w:rPr>
        <w:instrText xml:space="preserve"> REF _Ref530879937 \r \h  \* MERGEFORMAT </w:instrText>
      </w:r>
      <w:r>
        <w:rPr>
          <w:snapToGrid w:val="0"/>
          <w:color w:val="000000"/>
          <w:sz w:val="24"/>
        </w:rPr>
      </w:r>
      <w:r>
        <w:rPr>
          <w:snapToGrid w:val="0"/>
          <w:color w:val="000000"/>
          <w:sz w:val="24"/>
        </w:rPr>
        <w:fldChar w:fldCharType="separate"/>
      </w:r>
      <w:r w:rsidR="00AA1393">
        <w:rPr>
          <w:snapToGrid w:val="0"/>
          <w:color w:val="000000"/>
          <w:sz w:val="24"/>
        </w:rPr>
        <w:t>4(b)</w:t>
      </w:r>
      <w:r>
        <w:rPr>
          <w:snapToGrid w:val="0"/>
          <w:color w:val="000000"/>
          <w:sz w:val="24"/>
        </w:rPr>
        <w:fldChar w:fldCharType="end"/>
      </w:r>
      <w:r>
        <w:rPr>
          <w:snapToGrid w:val="0"/>
          <w:color w:val="000000"/>
          <w:sz w:val="24"/>
        </w:rPr>
        <w:t xml:space="preserve"> or by the </w:t>
      </w:r>
      <w:r>
        <w:rPr>
          <w:i/>
          <w:snapToGrid w:val="0"/>
          <w:color w:val="000000"/>
          <w:sz w:val="24"/>
        </w:rPr>
        <w:t xml:space="preserve">Commission </w:t>
      </w:r>
      <w:r>
        <w:rPr>
          <w:snapToGrid w:val="0"/>
          <w:color w:val="000000"/>
          <w:sz w:val="24"/>
        </w:rPr>
        <w:t xml:space="preserve">under clause </w:t>
      </w:r>
      <w:r>
        <w:rPr>
          <w:snapToGrid w:val="0"/>
          <w:color w:val="000000"/>
          <w:sz w:val="24"/>
        </w:rPr>
        <w:fldChar w:fldCharType="begin"/>
      </w:r>
      <w:r>
        <w:rPr>
          <w:snapToGrid w:val="0"/>
          <w:color w:val="000000"/>
          <w:sz w:val="24"/>
        </w:rPr>
        <w:instrText xml:space="preserve"> REF _Ref532002250 \r \h  \* MERGEFORMAT </w:instrText>
      </w:r>
      <w:r>
        <w:rPr>
          <w:snapToGrid w:val="0"/>
          <w:color w:val="000000"/>
          <w:sz w:val="24"/>
        </w:rPr>
      </w:r>
      <w:r>
        <w:rPr>
          <w:snapToGrid w:val="0"/>
          <w:color w:val="000000"/>
          <w:sz w:val="24"/>
        </w:rPr>
        <w:fldChar w:fldCharType="separate"/>
      </w:r>
      <w:r w:rsidR="00AA1393">
        <w:rPr>
          <w:snapToGrid w:val="0"/>
          <w:color w:val="000000"/>
          <w:sz w:val="24"/>
        </w:rPr>
        <w:t>4(c)</w:t>
      </w:r>
      <w:r>
        <w:rPr>
          <w:snapToGrid w:val="0"/>
          <w:color w:val="000000"/>
          <w:sz w:val="24"/>
        </w:rPr>
        <w:fldChar w:fldCharType="end"/>
      </w:r>
      <w:r>
        <w:rPr>
          <w:snapToGrid w:val="0"/>
          <w:color w:val="000000"/>
          <w:sz w:val="24"/>
        </w:rPr>
        <w:t>;</w:t>
      </w:r>
    </w:p>
    <w:p w:rsidR="008340EE" w:rsidRDefault="002C4C73">
      <w:pPr>
        <w:rPr>
          <w:i/>
        </w:rPr>
      </w:pPr>
      <w:r>
        <w:rPr>
          <w:i/>
        </w:rPr>
        <w:t>“deemed distribution contract”</w:t>
      </w:r>
      <w:r>
        <w:t xml:space="preserve"> means a contract deemed to be entered into between the </w:t>
      </w:r>
      <w:r>
        <w:rPr>
          <w:i/>
        </w:rPr>
        <w:t>Distributor</w:t>
      </w:r>
      <w:r>
        <w:t xml:space="preserve"> and a retail customer pursuant to section 48 (6) of the </w:t>
      </w:r>
      <w:r>
        <w:rPr>
          <w:i/>
        </w:rPr>
        <w:t>Gas Industry</w:t>
      </w:r>
      <w:r>
        <w:t xml:space="preserve"> </w:t>
      </w:r>
      <w:r>
        <w:rPr>
          <w:i/>
        </w:rPr>
        <w:t>Act.</w:t>
      </w:r>
    </w:p>
    <w:p w:rsidR="008340EE" w:rsidRDefault="008340EE">
      <w:pPr>
        <w:rPr>
          <w:i/>
        </w:rPr>
      </w:pPr>
    </w:p>
    <w:p w:rsidR="008340EE" w:rsidRDefault="002C4C73">
      <w:pPr>
        <w:pStyle w:val="BodyText"/>
        <w:rPr>
          <w:snapToGrid w:val="0"/>
        </w:rPr>
      </w:pPr>
      <w:r>
        <w:rPr>
          <w:i/>
          <w:snapToGrid w:val="0"/>
        </w:rPr>
        <w:t>“distribute</w:t>
      </w:r>
      <w:r>
        <w:rPr>
          <w:snapToGrid w:val="0"/>
        </w:rPr>
        <w:t xml:space="preserve">”, has the meaning ascribed to that term in the </w:t>
      </w:r>
      <w:r>
        <w:rPr>
          <w:i/>
          <w:snapToGrid w:val="0"/>
        </w:rPr>
        <w:t>Gas Industry Act</w:t>
      </w:r>
      <w:r>
        <w:rPr>
          <w:snapToGrid w:val="0"/>
        </w:rPr>
        <w:t>;</w:t>
      </w:r>
    </w:p>
    <w:p w:rsidR="008340EE" w:rsidRDefault="002C4C73">
      <w:pPr>
        <w:pStyle w:val="BodyText"/>
        <w:rPr>
          <w:snapToGrid w:val="0"/>
        </w:rPr>
      </w:pPr>
      <w:r>
        <w:rPr>
          <w:i/>
          <w:snapToGrid w:val="0"/>
        </w:rPr>
        <w:t xml:space="preserve">“Distributor” </w:t>
      </w:r>
      <w:r>
        <w:rPr>
          <w:snapToGrid w:val="0"/>
        </w:rPr>
        <w:t xml:space="preserve">means </w:t>
      </w:r>
      <w:r w:rsidR="00EC097F">
        <w:t>Australian Gas Networks (Vic)</w:t>
      </w:r>
      <w:r>
        <w:t xml:space="preserve"> Pty Ltd ACN 085 899 001;</w:t>
      </w:r>
      <w:r>
        <w:rPr>
          <w:snapToGrid w:val="0"/>
        </w:rPr>
        <w:t xml:space="preserve"> </w:t>
      </w:r>
    </w:p>
    <w:p w:rsidR="008340EE" w:rsidRDefault="002C4C73">
      <w:pPr>
        <w:pStyle w:val="BodyText"/>
        <w:rPr>
          <w:snapToGrid w:val="0"/>
        </w:rPr>
      </w:pPr>
      <w:r>
        <w:rPr>
          <w:i/>
          <w:snapToGrid w:val="0"/>
        </w:rPr>
        <w:t xml:space="preserve">“distribution area” </w:t>
      </w:r>
      <w:r>
        <w:rPr>
          <w:snapToGrid w:val="0"/>
        </w:rPr>
        <w:t>means the area described in schedule 2;</w:t>
      </w:r>
      <w:r>
        <w:rPr>
          <w:i/>
          <w:snapToGrid w:val="0"/>
        </w:rPr>
        <w:t xml:space="preserve">“distribution pipeline” </w:t>
      </w:r>
      <w:r>
        <w:rPr>
          <w:snapToGrid w:val="0"/>
        </w:rPr>
        <w:t xml:space="preserve">has the meaning ascribed to that term in the </w:t>
      </w:r>
      <w:r>
        <w:rPr>
          <w:i/>
          <w:snapToGrid w:val="0"/>
        </w:rPr>
        <w:t>Gas Industry Act</w:t>
      </w:r>
      <w:r>
        <w:rPr>
          <w:snapToGrid w:val="0"/>
        </w:rPr>
        <w:t>;</w:t>
      </w:r>
    </w:p>
    <w:p w:rsidR="008340EE" w:rsidRDefault="002C4C73">
      <w:pPr>
        <w:pStyle w:val="BodyText"/>
        <w:rPr>
          <w:snapToGrid w:val="0"/>
        </w:rPr>
      </w:pPr>
      <w:r>
        <w:rPr>
          <w:i/>
          <w:snapToGrid w:val="0"/>
        </w:rPr>
        <w:t xml:space="preserve">“Distribution System Code” </w:t>
      </w:r>
      <w:r>
        <w:rPr>
          <w:snapToGrid w:val="0"/>
        </w:rPr>
        <w:t xml:space="preserve">means the Distribution System Code issued by the </w:t>
      </w:r>
      <w:r>
        <w:rPr>
          <w:i/>
          <w:snapToGrid w:val="0"/>
        </w:rPr>
        <w:t xml:space="preserve">Commission </w:t>
      </w:r>
      <w:r>
        <w:rPr>
          <w:snapToGrid w:val="0"/>
        </w:rPr>
        <w:t>as amended from time to time;</w:t>
      </w:r>
    </w:p>
    <w:p w:rsidR="008340EE" w:rsidRDefault="002C4C73">
      <w:pPr>
        <w:pStyle w:val="BodyText"/>
        <w:rPr>
          <w:snapToGrid w:val="0"/>
        </w:rPr>
      </w:pPr>
      <w:r>
        <w:rPr>
          <w:i/>
          <w:snapToGrid w:val="0"/>
        </w:rPr>
        <w:t>“distribution system</w:t>
      </w:r>
      <w:r>
        <w:rPr>
          <w:snapToGrid w:val="0"/>
        </w:rPr>
        <w:t xml:space="preserve">” means in relation to a </w:t>
      </w:r>
      <w:r>
        <w:rPr>
          <w:i/>
          <w:snapToGrid w:val="0"/>
        </w:rPr>
        <w:t xml:space="preserve">distributor </w:t>
      </w:r>
      <w:r>
        <w:rPr>
          <w:snapToGrid w:val="0"/>
        </w:rPr>
        <w:t xml:space="preserve">a system of </w:t>
      </w:r>
      <w:r>
        <w:rPr>
          <w:i/>
          <w:snapToGrid w:val="0"/>
        </w:rPr>
        <w:t>distribution pipelines</w:t>
      </w:r>
      <w:r>
        <w:rPr>
          <w:snapToGrid w:val="0"/>
        </w:rPr>
        <w:t xml:space="preserve">  which a </w:t>
      </w:r>
      <w:r>
        <w:rPr>
          <w:i/>
          <w:snapToGrid w:val="0"/>
        </w:rPr>
        <w:t xml:space="preserve">distributor </w:t>
      </w:r>
      <w:r>
        <w:rPr>
          <w:snapToGrid w:val="0"/>
        </w:rPr>
        <w:t xml:space="preserve">uses to </w:t>
      </w:r>
      <w:r>
        <w:rPr>
          <w:i/>
          <w:snapToGrid w:val="0"/>
        </w:rPr>
        <w:t xml:space="preserve">distribute </w:t>
      </w:r>
      <w:r>
        <w:rPr>
          <w:snapToGrid w:val="0"/>
        </w:rPr>
        <w:t xml:space="preserve">gas for </w:t>
      </w:r>
      <w:r>
        <w:rPr>
          <w:i/>
          <w:snapToGrid w:val="0"/>
        </w:rPr>
        <w:t xml:space="preserve">supply </w:t>
      </w:r>
      <w:r>
        <w:rPr>
          <w:snapToGrid w:val="0"/>
        </w:rPr>
        <w:t xml:space="preserve">to </w:t>
      </w:r>
      <w:r>
        <w:rPr>
          <w:i/>
          <w:snapToGrid w:val="0"/>
        </w:rPr>
        <w:t>customers</w:t>
      </w:r>
      <w:r>
        <w:rPr>
          <w:snapToGrid w:val="0"/>
        </w:rPr>
        <w:t>;</w:t>
      </w:r>
    </w:p>
    <w:p w:rsidR="008340EE" w:rsidRDefault="002C4C73">
      <w:pPr>
        <w:pStyle w:val="BodyText"/>
        <w:rPr>
          <w:snapToGrid w:val="0"/>
        </w:rPr>
      </w:pPr>
      <w:r>
        <w:rPr>
          <w:i/>
          <w:snapToGrid w:val="0"/>
        </w:rPr>
        <w:t xml:space="preserve">“enforcement order” </w:t>
      </w:r>
      <w:r>
        <w:rPr>
          <w:snapToGrid w:val="0"/>
        </w:rPr>
        <w:t xml:space="preserve">means a provisional or final order made and served by the </w:t>
      </w:r>
      <w:r>
        <w:rPr>
          <w:i/>
          <w:snapToGrid w:val="0"/>
        </w:rPr>
        <w:t xml:space="preserve">Commission </w:t>
      </w:r>
      <w:r>
        <w:rPr>
          <w:snapToGrid w:val="0"/>
        </w:rPr>
        <w:t>under section 53 of the Essential Services Commission Act 2001;</w:t>
      </w:r>
    </w:p>
    <w:p w:rsidR="008340EE" w:rsidRDefault="002C4C73">
      <w:pPr>
        <w:pStyle w:val="BodyText"/>
        <w:rPr>
          <w:snapToGrid w:val="0"/>
        </w:rPr>
      </w:pPr>
      <w:r>
        <w:rPr>
          <w:i/>
          <w:snapToGrid w:val="0"/>
        </w:rPr>
        <w:t xml:space="preserve">“Gas Industry Act” </w:t>
      </w:r>
      <w:r>
        <w:rPr>
          <w:snapToGrid w:val="0"/>
        </w:rPr>
        <w:t>means the Gas Industry Act 2001;</w:t>
      </w:r>
    </w:p>
    <w:p w:rsidR="008340EE" w:rsidRDefault="002C4C73">
      <w:pPr>
        <w:pStyle w:val="BodyText"/>
        <w:rPr>
          <w:snapToGrid w:val="0"/>
        </w:rPr>
      </w:pPr>
      <w:r>
        <w:rPr>
          <w:i/>
          <w:snapToGrid w:val="0"/>
        </w:rPr>
        <w:lastRenderedPageBreak/>
        <w:t xml:space="preserve">“policy objectives” </w:t>
      </w:r>
      <w:r>
        <w:rPr>
          <w:snapToGrid w:val="0"/>
        </w:rPr>
        <w:t xml:space="preserve">means the objectives specified in section 18 of the </w:t>
      </w:r>
      <w:r>
        <w:rPr>
          <w:i/>
          <w:snapToGrid w:val="0"/>
        </w:rPr>
        <w:t xml:space="preserve">Gas Industry Act </w:t>
      </w:r>
      <w:r>
        <w:rPr>
          <w:snapToGrid w:val="0"/>
        </w:rPr>
        <w:t>and section 8 of the Essential Services Commission Act 2001;</w:t>
      </w:r>
    </w:p>
    <w:p w:rsidR="008340EE" w:rsidRDefault="002C4C73">
      <w:pPr>
        <w:pStyle w:val="BodyText"/>
        <w:rPr>
          <w:snapToGrid w:val="0"/>
        </w:rPr>
      </w:pPr>
      <w:r>
        <w:rPr>
          <w:i/>
          <w:snapToGrid w:val="0"/>
        </w:rPr>
        <w:t xml:space="preserve">“Retail Code” </w:t>
      </w:r>
      <w:r>
        <w:rPr>
          <w:snapToGrid w:val="0"/>
        </w:rPr>
        <w:t xml:space="preserve">means the Gas Retail Code issued by the </w:t>
      </w:r>
      <w:r>
        <w:rPr>
          <w:i/>
          <w:snapToGrid w:val="0"/>
        </w:rPr>
        <w:t>Commission</w:t>
      </w:r>
      <w:r>
        <w:rPr>
          <w:snapToGrid w:val="0"/>
        </w:rPr>
        <w:t xml:space="preserve"> as amended from time to time;</w:t>
      </w:r>
    </w:p>
    <w:p w:rsidR="008340EE" w:rsidRDefault="002C4C73">
      <w:pPr>
        <w:pStyle w:val="BodyText"/>
        <w:rPr>
          <w:snapToGrid w:val="0"/>
        </w:rPr>
      </w:pPr>
      <w:r>
        <w:rPr>
          <w:i/>
          <w:snapToGrid w:val="0"/>
        </w:rPr>
        <w:t>“supply</w:t>
      </w:r>
      <w:r>
        <w:rPr>
          <w:snapToGrid w:val="0"/>
        </w:rPr>
        <w:t>”, in relation to gas, means the delivery of gas;</w:t>
      </w:r>
    </w:p>
    <w:p w:rsidR="008340EE" w:rsidRDefault="002C4C73">
      <w:pPr>
        <w:pStyle w:val="BodyText"/>
        <w:rPr>
          <w:snapToGrid w:val="0"/>
        </w:rPr>
      </w:pPr>
      <w:r>
        <w:rPr>
          <w:i/>
          <w:snapToGrid w:val="0"/>
        </w:rPr>
        <w:t xml:space="preserve">“undertaking” </w:t>
      </w:r>
      <w:r>
        <w:rPr>
          <w:snapToGrid w:val="0"/>
        </w:rPr>
        <w:t xml:space="preserve">means an undertaking given by the </w:t>
      </w:r>
      <w:r>
        <w:rPr>
          <w:i/>
          <w:snapToGrid w:val="0"/>
        </w:rPr>
        <w:t xml:space="preserve">Distributor </w:t>
      </w:r>
      <w:r>
        <w:rPr>
          <w:snapToGrid w:val="0"/>
        </w:rPr>
        <w:t>under section 53(5)(a) of the Essential Services Commission Act 2001.</w:t>
      </w:r>
    </w:p>
    <w:p w:rsidR="008340EE" w:rsidRDefault="002C4C73">
      <w:pPr>
        <w:pStyle w:val="Heading2"/>
        <w:rPr>
          <w:rStyle w:val="Subheading"/>
        </w:rPr>
      </w:pPr>
      <w:r>
        <w:rPr>
          <w:b/>
          <w:i/>
          <w:snapToGrid w:val="0"/>
        </w:rPr>
        <w:t xml:space="preserve"> </w:t>
      </w:r>
      <w:bookmarkStart w:id="41" w:name="_Toc530459409"/>
      <w:bookmarkStart w:id="42" w:name="_Toc1299477"/>
      <w:r>
        <w:rPr>
          <w:rStyle w:val="Subheading"/>
        </w:rPr>
        <w:t>Interpretation</w:t>
      </w:r>
      <w:bookmarkEnd w:id="41"/>
      <w:bookmarkEnd w:id="42"/>
    </w:p>
    <w:p w:rsidR="008340EE" w:rsidRDefault="002C4C73">
      <w:pPr>
        <w:pStyle w:val="BodyText"/>
        <w:rPr>
          <w:snapToGrid w:val="0"/>
        </w:rPr>
      </w:pPr>
      <w:r>
        <w:rPr>
          <w:snapToGrid w:val="0"/>
        </w:rPr>
        <w:t>In this licence, unless the context otherwise requires:</w:t>
      </w:r>
    </w:p>
    <w:p w:rsidR="008340EE" w:rsidRDefault="002C4C73">
      <w:pPr>
        <w:pStyle w:val="Heading4"/>
        <w:rPr>
          <w:snapToGrid w:val="0"/>
        </w:rPr>
      </w:pPr>
      <w:r>
        <w:rPr>
          <w:snapToGrid w:val="0"/>
        </w:rPr>
        <w:t xml:space="preserve">words and phrases in italics have the meaning ascribed to them in clause </w:t>
      </w:r>
      <w:r>
        <w:rPr>
          <w:snapToGrid w:val="0"/>
        </w:rPr>
        <w:fldChar w:fldCharType="begin"/>
      </w:r>
      <w:r>
        <w:rPr>
          <w:snapToGrid w:val="0"/>
        </w:rPr>
        <w:instrText xml:space="preserve"> REF _Ref532626701 \r \h </w:instrText>
      </w:r>
      <w:r>
        <w:rPr>
          <w:snapToGrid w:val="0"/>
        </w:rPr>
      </w:r>
      <w:r>
        <w:rPr>
          <w:snapToGrid w:val="0"/>
        </w:rPr>
        <w:fldChar w:fldCharType="separate"/>
      </w:r>
      <w:r w:rsidR="00AA1393">
        <w:rPr>
          <w:snapToGrid w:val="0"/>
        </w:rPr>
        <w:t>11.1</w:t>
      </w:r>
      <w:r>
        <w:rPr>
          <w:snapToGrid w:val="0"/>
        </w:rPr>
        <w:fldChar w:fldCharType="end"/>
      </w:r>
      <w:r>
        <w:rPr>
          <w:snapToGrid w:val="0"/>
        </w:rPr>
        <w:t>;</w:t>
      </w:r>
    </w:p>
    <w:p w:rsidR="008340EE" w:rsidRDefault="002C4C73">
      <w:pPr>
        <w:pStyle w:val="Heading4"/>
        <w:rPr>
          <w:snapToGrid w:val="0"/>
        </w:rPr>
      </w:pPr>
      <w:r>
        <w:rPr>
          <w:snapToGrid w:val="0"/>
        </w:rPr>
        <w:t>headings are for convenience only and do not affect the interpretation of this licence;</w:t>
      </w:r>
    </w:p>
    <w:p w:rsidR="008340EE" w:rsidRDefault="002C4C73">
      <w:pPr>
        <w:pStyle w:val="Heading4"/>
        <w:rPr>
          <w:snapToGrid w:val="0"/>
        </w:rPr>
      </w:pPr>
      <w:r>
        <w:rPr>
          <w:snapToGrid w:val="0"/>
        </w:rPr>
        <w:t>words importing the singular include the plural and vice versa;</w:t>
      </w:r>
    </w:p>
    <w:p w:rsidR="008340EE" w:rsidRDefault="002C4C73">
      <w:pPr>
        <w:pStyle w:val="Heading4"/>
        <w:rPr>
          <w:snapToGrid w:val="0"/>
          <w:color w:val="000000"/>
        </w:rPr>
      </w:pPr>
      <w:r>
        <w:rPr>
          <w:snapToGrid w:val="0"/>
          <w:color w:val="000000"/>
        </w:rPr>
        <w:t>words importing a gender include any gender;</w:t>
      </w:r>
    </w:p>
    <w:p w:rsidR="008340EE" w:rsidRDefault="002C4C73">
      <w:pPr>
        <w:pStyle w:val="Heading4"/>
        <w:rPr>
          <w:snapToGrid w:val="0"/>
          <w:color w:val="000000"/>
        </w:rPr>
      </w:pPr>
      <w:r>
        <w:rPr>
          <w:snapToGrid w:val="0"/>
          <w:color w:val="000000"/>
        </w:rPr>
        <w:t>an expression importing a natural person includes any company, partnership, trust, joint venture, association, corporation or other body corporate and any governmental agency;</w:t>
      </w:r>
    </w:p>
    <w:p w:rsidR="008340EE" w:rsidRDefault="002C4C73">
      <w:pPr>
        <w:pStyle w:val="Heading4"/>
        <w:rPr>
          <w:snapToGrid w:val="0"/>
          <w:color w:val="000000"/>
        </w:rPr>
      </w:pPr>
      <w:r>
        <w:rPr>
          <w:snapToGrid w:val="0"/>
          <w:color w:val="000000"/>
        </w:rPr>
        <w:t>a reference to any thing includes a part of that thing;</w:t>
      </w:r>
    </w:p>
    <w:p w:rsidR="008340EE" w:rsidRDefault="002C4C73">
      <w:pPr>
        <w:pStyle w:val="Heading4"/>
        <w:rPr>
          <w:snapToGrid w:val="0"/>
          <w:color w:val="000000"/>
        </w:rPr>
      </w:pPr>
      <w:r>
        <w:rPr>
          <w:snapToGrid w:val="0"/>
          <w:color w:val="000000"/>
        </w:rPr>
        <w:t>a reference to a condition, clause, schedule or part is to a condition, clause, schedule or part of this licence;</w:t>
      </w:r>
    </w:p>
    <w:p w:rsidR="008340EE" w:rsidRDefault="002C4C73">
      <w:pPr>
        <w:pStyle w:val="Heading4"/>
        <w:rPr>
          <w:snapToGrid w:val="0"/>
          <w:color w:val="000000"/>
        </w:rPr>
      </w:pPr>
      <w:r>
        <w:rPr>
          <w:snapToGrid w:val="0"/>
          <w:color w:val="000000"/>
        </w:rPr>
        <w:t>a reference to any statute, regulation, proclamation, order in council, ordinance or by-law includes all statutes, regulations, proclamations, orders in council, ordinances or by-laws varying, consolidating, re-enacting, extending or replacing them and a reference to a statute includes all regulations, proclamations, orders in council, ordinances, by-laws and determinations issued under that statute;</w:t>
      </w:r>
    </w:p>
    <w:p w:rsidR="008340EE" w:rsidRDefault="002C4C73">
      <w:pPr>
        <w:pStyle w:val="Heading4"/>
        <w:rPr>
          <w:snapToGrid w:val="0"/>
          <w:color w:val="000000"/>
        </w:rPr>
      </w:pPr>
      <w:r>
        <w:rPr>
          <w:snapToGrid w:val="0"/>
          <w:color w:val="000000"/>
        </w:rPr>
        <w:t>a reference to a document or a provision of a document includes an amendment or supplement to, or replacement or novation of, that document or that provision of that document;</w:t>
      </w:r>
    </w:p>
    <w:p w:rsidR="008340EE" w:rsidRDefault="002C4C73">
      <w:pPr>
        <w:pStyle w:val="Heading4"/>
      </w:pPr>
      <w:r>
        <w:rPr>
          <w:snapToGrid w:val="0"/>
        </w:rPr>
        <w:lastRenderedPageBreak/>
        <w:t>a reference to writing</w:t>
      </w:r>
      <w:r>
        <w:rPr>
          <w:b/>
          <w:i/>
          <w:snapToGrid w:val="0"/>
        </w:rPr>
        <w:t xml:space="preserve"> </w:t>
      </w:r>
      <w:r>
        <w:rPr>
          <w:snapToGrid w:val="0"/>
        </w:rPr>
        <w:t>includes any mode of representing or reproducing words, figures, drawings or symbols in a visible form;</w:t>
      </w:r>
    </w:p>
    <w:p w:rsidR="008340EE" w:rsidRDefault="002C4C73">
      <w:pPr>
        <w:pStyle w:val="Heading4"/>
        <w:rPr>
          <w:snapToGrid w:val="0"/>
          <w:color w:val="000000"/>
        </w:rPr>
      </w:pPr>
      <w:r>
        <w:rPr>
          <w:snapToGrid w:val="0"/>
          <w:color w:val="000000"/>
        </w:rPr>
        <w:t>a reference to a person includes that person's executors, administrators, successors, substitutes (including, without limitation, persons taking by novation) and permitted assigns;</w:t>
      </w:r>
    </w:p>
    <w:p w:rsidR="008340EE" w:rsidRDefault="002C4C73">
      <w:pPr>
        <w:pStyle w:val="Heading4"/>
      </w:pPr>
      <w:r>
        <w:t xml:space="preserve">a reference to the </w:t>
      </w:r>
      <w:r>
        <w:rPr>
          <w:i/>
        </w:rPr>
        <w:t>Commission</w:t>
      </w:r>
      <w:r>
        <w:t xml:space="preserve"> includes a reference to the Office of the Regulator-General established under the Office of the Regulator-General Act 1994;</w:t>
      </w:r>
    </w:p>
    <w:p w:rsidR="008340EE" w:rsidRDefault="002C4C73">
      <w:pPr>
        <w:pStyle w:val="Heading4"/>
        <w:rPr>
          <w:snapToGrid w:val="0"/>
          <w:color w:val="000000"/>
        </w:rPr>
      </w:pPr>
      <w:r>
        <w:rPr>
          <w:snapToGrid w:val="0"/>
          <w:color w:val="000000"/>
        </w:rPr>
        <w:t>when italicised, other parts of speech and grammatical forms of a word or phrase defined in this licence have a corresponding meaning;</w:t>
      </w:r>
    </w:p>
    <w:p w:rsidR="008340EE" w:rsidRDefault="002C4C73">
      <w:pPr>
        <w:pStyle w:val="Heading4"/>
        <w:rPr>
          <w:snapToGrid w:val="0"/>
        </w:rPr>
      </w:pPr>
      <w:r>
        <w:rPr>
          <w:snapToGrid w:val="0"/>
        </w:rPr>
        <w:t>a period of time:</w:t>
      </w:r>
    </w:p>
    <w:p w:rsidR="008340EE" w:rsidRDefault="002C4C73">
      <w:pPr>
        <w:pStyle w:val="Heading5"/>
        <w:rPr>
          <w:snapToGrid w:val="0"/>
          <w:color w:val="000000"/>
        </w:rPr>
      </w:pPr>
      <w:r>
        <w:rPr>
          <w:snapToGrid w:val="0"/>
        </w:rPr>
        <w:t xml:space="preserve">which dates from a given day or the day of an act or event is to be calculated exclusive </w:t>
      </w:r>
      <w:r>
        <w:rPr>
          <w:snapToGrid w:val="0"/>
          <w:color w:val="000000"/>
        </w:rPr>
        <w:t>of that day; or</w:t>
      </w:r>
    </w:p>
    <w:p w:rsidR="008340EE" w:rsidRDefault="002C4C73">
      <w:pPr>
        <w:pStyle w:val="Heading5"/>
        <w:rPr>
          <w:snapToGrid w:val="0"/>
          <w:color w:val="000000"/>
        </w:rPr>
      </w:pPr>
      <w:r>
        <w:rPr>
          <w:snapToGrid w:val="0"/>
        </w:rPr>
        <w:t xml:space="preserve">which commences on a given day or the day of an act or event is to be calculated </w:t>
      </w:r>
      <w:r>
        <w:rPr>
          <w:snapToGrid w:val="0"/>
          <w:color w:val="000000"/>
        </w:rPr>
        <w:t>inclusive of that day; and</w:t>
      </w:r>
    </w:p>
    <w:p w:rsidR="008340EE" w:rsidRDefault="002C4C73">
      <w:pPr>
        <w:pStyle w:val="Heading4"/>
      </w:pPr>
      <w:r>
        <w:rPr>
          <w:snapToGrid w:val="0"/>
        </w:rPr>
        <w:t xml:space="preserve">an event which is required under this licence to occur on or by a stipulated day which is not a </w:t>
      </w:r>
      <w:r>
        <w:rPr>
          <w:i/>
          <w:snapToGrid w:val="0"/>
        </w:rPr>
        <w:t xml:space="preserve">business day </w:t>
      </w:r>
      <w:r>
        <w:rPr>
          <w:snapToGrid w:val="0"/>
        </w:rPr>
        <w:t xml:space="preserve">may occur on or by the next </w:t>
      </w:r>
      <w:r>
        <w:rPr>
          <w:i/>
          <w:snapToGrid w:val="0"/>
        </w:rPr>
        <w:t>business day</w:t>
      </w:r>
      <w:r>
        <w:rPr>
          <w:snapToGrid w:val="0"/>
        </w:rPr>
        <w:t>.</w:t>
      </w:r>
    </w:p>
    <w:p w:rsidR="008340EE" w:rsidRDefault="008340EE"/>
    <w:p w:rsidR="008340EE" w:rsidRDefault="002C4C73">
      <w:pPr>
        <w:keepNext/>
        <w:rPr>
          <w:rStyle w:val="Heading"/>
        </w:rPr>
      </w:pPr>
      <w:r>
        <w:rPr>
          <w:rStyle w:val="Heading"/>
        </w:rPr>
        <w:t xml:space="preserve">THE COMMON SEAL </w:t>
      </w:r>
      <w:r>
        <w:t xml:space="preserve">of </w:t>
      </w:r>
      <w:r>
        <w:rPr>
          <w:rStyle w:val="Heading"/>
        </w:rPr>
        <w:t xml:space="preserve">THE essential) </w:t>
      </w:r>
    </w:p>
    <w:p w:rsidR="008340EE" w:rsidRDefault="002C4C73">
      <w:pPr>
        <w:keepNext/>
      </w:pPr>
      <w:r>
        <w:rPr>
          <w:rStyle w:val="Heading"/>
        </w:rPr>
        <w:t xml:space="preserve">services commission </w:t>
      </w:r>
      <w:r>
        <w:t>was affixed</w:t>
      </w:r>
      <w:r>
        <w:tab/>
        <w:t xml:space="preserve">) </w:t>
      </w:r>
    </w:p>
    <w:p w:rsidR="008340EE" w:rsidRDefault="002C4C73">
      <w:pPr>
        <w:keepNext/>
      </w:pPr>
      <w:r>
        <w:t xml:space="preserve">pursuant to the authority of the </w:t>
      </w:r>
      <w:r>
        <w:tab/>
        <w:t>)</w:t>
      </w:r>
    </w:p>
    <w:p w:rsidR="008340EE" w:rsidRDefault="002C4C73">
      <w:pPr>
        <w:rPr>
          <w:snapToGrid w:val="0"/>
          <w:color w:val="000000"/>
          <w:sz w:val="24"/>
        </w:rPr>
      </w:pPr>
      <w:r>
        <w:t xml:space="preserve">Commission on </w:t>
      </w:r>
      <w:r w:rsidR="0032326E">
        <w:t>30</w:t>
      </w:r>
      <w:r w:rsidR="002C02F2">
        <w:t xml:space="preserve"> </w:t>
      </w:r>
      <w:r w:rsidR="00AA1393">
        <w:t>August</w:t>
      </w:r>
      <w:r w:rsidR="00403D66">
        <w:t xml:space="preserve"> 2017</w:t>
      </w:r>
      <w:r>
        <w:tab/>
        <w:t>)</w:t>
      </w:r>
    </w:p>
    <w:p w:rsidR="008340EE" w:rsidRDefault="008340EE"/>
    <w:p w:rsidR="008340EE" w:rsidRDefault="008340EE"/>
    <w:p w:rsidR="008340EE" w:rsidRDefault="008340EE"/>
    <w:p w:rsidR="008340EE" w:rsidRDefault="00403D66">
      <w:r>
        <w:t>Dr Ron Ben-David</w:t>
      </w:r>
    </w:p>
    <w:p w:rsidR="008340EE" w:rsidRDefault="002C4C73">
      <w:pPr>
        <w:rPr>
          <w:snapToGrid w:val="0"/>
          <w:color w:val="000000"/>
          <w:sz w:val="24"/>
        </w:rPr>
      </w:pPr>
      <w:r>
        <w:rPr>
          <w:snapToGrid w:val="0"/>
          <w:color w:val="000000"/>
          <w:sz w:val="24"/>
        </w:rPr>
        <w:t>Chairman</w:t>
      </w:r>
    </w:p>
    <w:p w:rsidR="008340EE" w:rsidRDefault="008340EE">
      <w:pPr>
        <w:rPr>
          <w:snapToGrid w:val="0"/>
          <w:color w:val="000000"/>
          <w:sz w:val="24"/>
        </w:rPr>
      </w:pPr>
    </w:p>
    <w:p w:rsidR="008340EE" w:rsidRDefault="002C4C73">
      <w:pPr>
        <w:pStyle w:val="BodyText"/>
        <w:jc w:val="center"/>
        <w:rPr>
          <w:snapToGrid w:val="0"/>
        </w:rPr>
      </w:pPr>
      <w:r>
        <w:rPr>
          <w:snapToGrid w:val="0"/>
          <w:color w:val="000000"/>
          <w:sz w:val="29"/>
        </w:rPr>
        <w:br w:type="page"/>
      </w:r>
    </w:p>
    <w:p w:rsidR="008340EE" w:rsidRDefault="002C4C73">
      <w:pPr>
        <w:rPr>
          <w:rStyle w:val="Heading"/>
        </w:rPr>
      </w:pPr>
      <w:r>
        <w:rPr>
          <w:rStyle w:val="Heading"/>
        </w:rPr>
        <w:t>SCHEDULE 1: derogations</w:t>
      </w:r>
    </w:p>
    <w:p w:rsidR="008340EE" w:rsidRDefault="002C4C73">
      <w:pPr>
        <w:rPr>
          <w:rStyle w:val="Heading"/>
        </w:rPr>
      </w:pPr>
      <w:r>
        <w:rPr>
          <w:rStyle w:val="Heading"/>
        </w:rPr>
        <w:br w:type="page"/>
      </w:r>
    </w:p>
    <w:p w:rsidR="008340EE" w:rsidRDefault="002C4C73">
      <w:r>
        <w:rPr>
          <w:rStyle w:val="Heading"/>
        </w:rPr>
        <w:t>SCHEDULE 2: DISTRIBUTION AREA</w:t>
      </w:r>
      <w:r>
        <w:t xml:space="preserve"> </w:t>
      </w:r>
    </w:p>
    <w:p w:rsidR="008340EE" w:rsidRDefault="002C4C73">
      <w:pPr>
        <w:spacing w:after="360"/>
        <w:jc w:val="center"/>
      </w:pPr>
      <w:r>
        <w:rPr>
          <w:b/>
        </w:rPr>
        <w:t>Postcodes</w:t>
      </w:r>
    </w:p>
    <w:p w:rsidR="008340EE" w:rsidRDefault="002C4C73">
      <w:pPr>
        <w:ind w:left="709" w:right="1418"/>
      </w:pPr>
      <w:r>
        <w:rPr>
          <w:b/>
        </w:rPr>
        <w:t>North</w:t>
      </w:r>
    </w:p>
    <w:p w:rsidR="008340EE" w:rsidRDefault="002C4C73">
      <w:pPr>
        <w:spacing w:after="360"/>
        <w:ind w:left="709" w:right="1417"/>
      </w:pPr>
      <w:r>
        <w:t xml:space="preserve">3561, 3564, 3616, 3618, 3620, 3621, 3623, 3624, 3629, 3630, 3631, 3658, 3659, 3660, 3662, </w:t>
      </w:r>
      <w:r w:rsidRPr="007569F4">
        <w:t>3666</w:t>
      </w:r>
      <w:r>
        <w:t>, 3672, 3677,</w:t>
      </w:r>
      <w:r w:rsidR="002B697C">
        <w:t xml:space="preserve"> 3678,</w:t>
      </w:r>
      <w:r>
        <w:t xml:space="preserve">  3690, 3691, 3694, 3753, 3756, 3757, </w:t>
      </w:r>
      <w:r w:rsidR="002B697C">
        <w:t xml:space="preserve">3758, </w:t>
      </w:r>
      <w:r>
        <w:t>3763, 3764, 3775</w:t>
      </w:r>
    </w:p>
    <w:p w:rsidR="008340EE" w:rsidRDefault="002C4C73">
      <w:pPr>
        <w:ind w:left="709" w:right="1418"/>
        <w:rPr>
          <w:b/>
        </w:rPr>
      </w:pPr>
      <w:r>
        <w:rPr>
          <w:b/>
        </w:rPr>
        <w:t>Central</w:t>
      </w:r>
    </w:p>
    <w:p w:rsidR="008340EE" w:rsidRDefault="002C4C73">
      <w:pPr>
        <w:spacing w:after="360"/>
        <w:ind w:left="709" w:right="1417"/>
      </w:pPr>
      <w:r>
        <w:t>3000*, 3002, 3003, 3005,</w:t>
      </w:r>
      <w:r w:rsidR="00E81B49">
        <w:t xml:space="preserve"> 3008*,</w:t>
      </w:r>
      <w:r>
        <w:t xml:space="preserve"> 3050, 3051, 3052, 3053, 3054, 3055*, 3056, 3057, </w:t>
      </w:r>
      <w:r w:rsidR="00E81B49">
        <w:t xml:space="preserve">3064*, </w:t>
      </w:r>
      <w:r w:rsidRPr="007569F4">
        <w:t>3065</w:t>
      </w:r>
      <w:r>
        <w:t>, 3066, 3067, 3068, 3070, 3071, 3072, 3073*, 3074, 3075, 3076, 3078, 3079, 3081, 3082, 3083, 3084, 3085, 3087, 3088, 3089, 3090, 3091, 3093, 3094, 3095, 3096, 3097*, 3099,</w:t>
      </w:r>
      <w:r w:rsidR="00E81B49">
        <w:t xml:space="preserve"> 3113*,</w:t>
      </w:r>
      <w:r>
        <w:t xml:space="preserve"> 3121, 3139, 3175*, 3198, 3199, 3200, 3201*, 3750, 3751, 3752, 3754, 3755, 3759, 3760, 3761, 3770*, 3777, 3803, 3804*, 3805, 3806, 3807, 3808, 3809, 3810, 3812, 3813, 3814, 3815, 3816, 3818, 3820,</w:t>
      </w:r>
      <w:r w:rsidR="00E3765A">
        <w:t xml:space="preserve"> 3821,</w:t>
      </w:r>
      <w:r>
        <w:t xml:space="preserve"> 3822, 3823, 3824, 3825, 3840, 3842, 3844, 3847, 3850, 3851, 3852, 3860, 3910, 3911, 3912, 3913, 3915, 3916, 3918, 3919, 3920, 3921, 3926, 3927, 3928, 3929, 3930, 3931, 3933, 3934, 3936, 3937, 3938, 3939, 3940, 3941, 3942, 3943, 3944, 3975, 3976, 3977, 3978, 3980, 3981, 3984, 3987 </w:t>
      </w:r>
    </w:p>
    <w:p w:rsidR="008340EE" w:rsidRDefault="002C4C73">
      <w:pPr>
        <w:ind w:left="709" w:right="1418"/>
        <w:rPr>
          <w:b/>
        </w:rPr>
      </w:pPr>
      <w:r>
        <w:rPr>
          <w:b/>
        </w:rPr>
        <w:t>Murray</w:t>
      </w:r>
    </w:p>
    <w:p w:rsidR="00D0699A" w:rsidRDefault="002C4C73" w:rsidP="00D0699A">
      <w:pPr>
        <w:spacing w:after="360"/>
        <w:ind w:left="709" w:right="1417"/>
      </w:pPr>
      <w:r>
        <w:t xml:space="preserve">3636, 3638, </w:t>
      </w:r>
      <w:r w:rsidR="00E3765A">
        <w:t xml:space="preserve">3640, </w:t>
      </w:r>
      <w:r>
        <w:t xml:space="preserve">3641, 3644, </w:t>
      </w:r>
      <w:r w:rsidR="00993C05">
        <w:t xml:space="preserve">3683, </w:t>
      </w:r>
      <w:r>
        <w:t>3685, 3687,</w:t>
      </w:r>
      <w:r w:rsidR="00E3765A">
        <w:t xml:space="preserve"> </w:t>
      </w:r>
      <w:r>
        <w:t>3730</w:t>
      </w:r>
    </w:p>
    <w:p w:rsidR="00993C05" w:rsidRPr="00D71470" w:rsidRDefault="00993C05" w:rsidP="00D71470">
      <w:pPr>
        <w:ind w:left="709" w:right="1418"/>
        <w:rPr>
          <w:b/>
        </w:rPr>
      </w:pPr>
      <w:r>
        <w:rPr>
          <w:b/>
        </w:rPr>
        <w:t>Bairnsdale</w:t>
      </w:r>
    </w:p>
    <w:p w:rsidR="00993C05" w:rsidRPr="00993C05" w:rsidRDefault="00993C05" w:rsidP="00D0699A">
      <w:pPr>
        <w:spacing w:after="360"/>
        <w:ind w:left="709" w:right="1417"/>
        <w:rPr>
          <w:szCs w:val="23"/>
        </w:rPr>
      </w:pPr>
      <w:r>
        <w:rPr>
          <w:szCs w:val="23"/>
        </w:rPr>
        <w:t>3862, 3875, 3878, 3880</w:t>
      </w:r>
    </w:p>
    <w:p w:rsidR="00D0699A" w:rsidRPr="00D71470" w:rsidRDefault="002C4C73" w:rsidP="00EC097F">
      <w:pPr>
        <w:ind w:left="709" w:hanging="709"/>
      </w:pPr>
      <w:r w:rsidRPr="00EC097F">
        <w:t>*</w:t>
      </w:r>
      <w:r w:rsidRPr="00EC097F">
        <w:tab/>
      </w:r>
      <w:r w:rsidR="00D034F1">
        <w:t xml:space="preserve">Postcode 3000 is shared between the </w:t>
      </w:r>
      <w:r w:rsidR="00D034F1">
        <w:rPr>
          <w:b/>
          <w:i/>
        </w:rPr>
        <w:t>Licensee</w:t>
      </w:r>
      <w:r w:rsidR="00D034F1">
        <w:t xml:space="preserve"> and Multinet Gas Distribution Partnership ACN 634 214 009. As at the date of this licence, the distribution supply points of Multinet Gas Distribution Partnership ACN 634 214 009 are located on Spencer Street Bridge terminating in Batman Park and within an area bounded by the Princes Street Bridge, the railway line from Flinders Street Station to Richmond Station, Hoddle Street/Punt Road, and the Yarra River.</w:t>
      </w:r>
    </w:p>
    <w:p w:rsidR="00E81B49" w:rsidRDefault="002C4C73">
      <w:pPr>
        <w:ind w:left="709" w:hanging="709"/>
        <w:rPr>
          <w:szCs w:val="23"/>
        </w:rPr>
      </w:pPr>
      <w:r w:rsidRPr="00C72544">
        <w:rPr>
          <w:szCs w:val="23"/>
        </w:rPr>
        <w:t>*</w:t>
      </w:r>
      <w:r w:rsidRPr="00C72544">
        <w:rPr>
          <w:szCs w:val="23"/>
        </w:rPr>
        <w:tab/>
      </w:r>
      <w:r w:rsidR="00E81B49" w:rsidRPr="00D71470">
        <w:rPr>
          <w:szCs w:val="23"/>
        </w:rPr>
        <w:t xml:space="preserve">Postcode 3008 is shared between the </w:t>
      </w:r>
      <w:r w:rsidR="00E81B49" w:rsidRPr="00D71470">
        <w:rPr>
          <w:b/>
          <w:i/>
          <w:szCs w:val="23"/>
        </w:rPr>
        <w:t>Licensee</w:t>
      </w:r>
      <w:r w:rsidR="00E81B49" w:rsidRPr="00D71470">
        <w:rPr>
          <w:szCs w:val="23"/>
        </w:rPr>
        <w:t xml:space="preserve">, AusNet Gas Services Pty Ltd ACN 086 015 036, and Multinet Gas Distribution Partnership ACN 634 214 009. As at the date of this Licence the </w:t>
      </w:r>
      <w:r w:rsidR="00E81B49" w:rsidRPr="00D71470">
        <w:rPr>
          <w:b/>
          <w:i/>
          <w:szCs w:val="23"/>
        </w:rPr>
        <w:t>Licensee’s distribution supply points</w:t>
      </w:r>
      <w:r w:rsidR="00E81B49" w:rsidRPr="00D71470">
        <w:rPr>
          <w:szCs w:val="23"/>
        </w:rPr>
        <w:t xml:space="preserve"> are located in Waterfront Way, </w:t>
      </w:r>
      <w:r w:rsidR="00E81B49" w:rsidRPr="00D71470">
        <w:rPr>
          <w:szCs w:val="23"/>
        </w:rPr>
        <w:lastRenderedPageBreak/>
        <w:t>Wattle Road, Pearl River Road, Docklands Drive, Little Docklands Drive, Leven Avenue, Augusta Avenue, Doepel Way, Caravel Lane, the south side of Footscray Road, the west side of Harbour Esplanade, Wurundjeri Way, Digital Drive, Central Pier, Bourke Street, Enterprize Way, Merchant Street, Hubbuck Lane, Cumberland Street, Waterside Place, North Wharf Road, Corporation Road, Seafarer Lane, Import Lane, Keera Way, Geographe Street, Navigation Drive, Batmans Hill Drive, Waterview Walk, Village Street, Fishplate Lane, McCrae Street, Georgiana Street, Bretani Way, Aurora Lane, Mayfield Place, Dudley Street, Adderley Street, La Trobe Street, Spencer Street, Siddeley Street, Flinders Street, Tom Thumb Lane, Little Dock Lane, Collins Street, Bauldin Lane, Sail Maker Lane, Victoria Harbour Promenade, and Encounter Lane.</w:t>
      </w:r>
    </w:p>
    <w:p w:rsidR="00882FD4" w:rsidRPr="00C72544" w:rsidRDefault="00E81B49">
      <w:pPr>
        <w:ind w:left="709" w:hanging="709"/>
        <w:rPr>
          <w:szCs w:val="23"/>
        </w:rPr>
      </w:pPr>
      <w:r>
        <w:rPr>
          <w:szCs w:val="23"/>
        </w:rPr>
        <w:t>*</w:t>
      </w:r>
      <w:r>
        <w:rPr>
          <w:szCs w:val="23"/>
        </w:rPr>
        <w:tab/>
      </w:r>
      <w:r>
        <w:rPr>
          <w:szCs w:val="23"/>
        </w:rPr>
        <w:tab/>
      </w:r>
      <w:r w:rsidR="002C4C73" w:rsidRPr="00C72544">
        <w:rPr>
          <w:szCs w:val="23"/>
        </w:rPr>
        <w:t xml:space="preserve">Postcode 3055 is shared between the </w:t>
      </w:r>
      <w:r w:rsidR="002C4C73" w:rsidRPr="00C72544">
        <w:rPr>
          <w:b/>
          <w:i/>
          <w:szCs w:val="23"/>
        </w:rPr>
        <w:t xml:space="preserve">Licensee </w:t>
      </w:r>
      <w:r w:rsidR="002C4C73" w:rsidRPr="00C72544">
        <w:rPr>
          <w:szCs w:val="23"/>
        </w:rPr>
        <w:t xml:space="preserve">and </w:t>
      </w:r>
      <w:r w:rsidR="00993C05">
        <w:rPr>
          <w:szCs w:val="23"/>
        </w:rPr>
        <w:t>AusNet Gas Services</w:t>
      </w:r>
      <w:r w:rsidR="00993C05" w:rsidRPr="00C72544">
        <w:rPr>
          <w:szCs w:val="23"/>
        </w:rPr>
        <w:t xml:space="preserve"> </w:t>
      </w:r>
      <w:r w:rsidR="002C4C73" w:rsidRPr="00C72544">
        <w:rPr>
          <w:szCs w:val="23"/>
        </w:rPr>
        <w:t xml:space="preserve">Pty Ltd ACN 086 015 036. The </w:t>
      </w:r>
      <w:r w:rsidR="002C4C73" w:rsidRPr="00C72544">
        <w:rPr>
          <w:b/>
          <w:i/>
          <w:szCs w:val="23"/>
        </w:rPr>
        <w:t xml:space="preserve">distribution supply points </w:t>
      </w:r>
      <w:r w:rsidR="002C4C73" w:rsidRPr="00C72544">
        <w:rPr>
          <w:szCs w:val="23"/>
        </w:rPr>
        <w:t xml:space="preserve">of </w:t>
      </w:r>
      <w:r w:rsidR="00993C05">
        <w:rPr>
          <w:szCs w:val="23"/>
        </w:rPr>
        <w:t>AusNet Gas Services</w:t>
      </w:r>
      <w:r w:rsidR="002C4C73" w:rsidRPr="00C72544">
        <w:rPr>
          <w:szCs w:val="23"/>
        </w:rPr>
        <w:t xml:space="preserve"> Pty Ltd ACN 086 015 036 are connected in Galtes Crescent, Southam Street, Morrow Street, Hopetoun Avenue, Moreland Road, Hodgins Court and Flannery Court.</w:t>
      </w:r>
    </w:p>
    <w:p w:rsidR="00E3765A" w:rsidRDefault="002C4C73">
      <w:pPr>
        <w:ind w:left="709" w:hanging="709"/>
      </w:pPr>
      <w:r w:rsidRPr="00EC097F">
        <w:t>*</w:t>
      </w:r>
      <w:r w:rsidRPr="00EC097F">
        <w:tab/>
      </w:r>
      <w:r w:rsidR="00E3765A" w:rsidRPr="00D71470">
        <w:rPr>
          <w:szCs w:val="23"/>
        </w:rPr>
        <w:t xml:space="preserve">Postcode 3064 is shared between the </w:t>
      </w:r>
      <w:r w:rsidR="00E3765A" w:rsidRPr="00D71470">
        <w:rPr>
          <w:b/>
          <w:i/>
          <w:szCs w:val="23"/>
        </w:rPr>
        <w:t>Licensee</w:t>
      </w:r>
      <w:r w:rsidR="00E3765A" w:rsidRPr="00D71470">
        <w:rPr>
          <w:szCs w:val="23"/>
        </w:rPr>
        <w:t xml:space="preserve"> and AusNet Gas Services Pty Ltd ACN 086 015 036. As at the date of this Licence the </w:t>
      </w:r>
      <w:r w:rsidR="00E3765A" w:rsidRPr="00D71470">
        <w:rPr>
          <w:b/>
          <w:i/>
          <w:szCs w:val="23"/>
        </w:rPr>
        <w:t>Licensee’s distribution supply points</w:t>
      </w:r>
      <w:r w:rsidR="00E3765A" w:rsidRPr="00D71470">
        <w:rPr>
          <w:szCs w:val="23"/>
        </w:rPr>
        <w:t xml:space="preserve"> are located in Kalkallo, Donnybrook and Mickleham north of the Transmission Electricity Power Line located approximately 1.5km south of Donnybrook Rd.</w:t>
      </w:r>
    </w:p>
    <w:p w:rsidR="008340EE" w:rsidRPr="00EC097F" w:rsidRDefault="00E3765A">
      <w:pPr>
        <w:ind w:left="709" w:hanging="709"/>
      </w:pPr>
      <w:r>
        <w:t>*</w:t>
      </w:r>
      <w:r>
        <w:tab/>
      </w:r>
      <w:r w:rsidR="002C4C73" w:rsidRPr="00EC097F">
        <w:t xml:space="preserve">Postcode 3073 is shared between </w:t>
      </w:r>
      <w:r w:rsidR="00EC097F">
        <w:t xml:space="preserve">the </w:t>
      </w:r>
      <w:r w:rsidR="00EC097F">
        <w:rPr>
          <w:b/>
          <w:i/>
        </w:rPr>
        <w:t>Licensee</w:t>
      </w:r>
      <w:r w:rsidR="002C4C73" w:rsidRPr="00EC097F">
        <w:t xml:space="preserve"> and </w:t>
      </w:r>
      <w:r w:rsidR="00993C05">
        <w:rPr>
          <w:szCs w:val="23"/>
        </w:rPr>
        <w:t>AusNet Gas Services</w:t>
      </w:r>
      <w:r w:rsidR="002C4C73" w:rsidRPr="00EC097F">
        <w:t xml:space="preserve"> to the extent that a</w:t>
      </w:r>
      <w:r w:rsidR="00993C05">
        <w:t>n</w:t>
      </w:r>
      <w:r w:rsidR="002C4C73" w:rsidRPr="00EC097F">
        <w:t xml:space="preserve"> </w:t>
      </w:r>
      <w:r w:rsidR="00993C05">
        <w:rPr>
          <w:szCs w:val="23"/>
        </w:rPr>
        <w:t>AusNet Gas Services</w:t>
      </w:r>
      <w:r w:rsidR="002C4C73" w:rsidRPr="00EC097F">
        <w:t xml:space="preserve"> distribution injection point is located at Phillip Street (no </w:t>
      </w:r>
      <w:r w:rsidR="00993C05">
        <w:rPr>
          <w:szCs w:val="23"/>
        </w:rPr>
        <w:t>AusNet Gas Services</w:t>
      </w:r>
      <w:r w:rsidR="002C4C73" w:rsidRPr="00EC097F">
        <w:t xml:space="preserve"> </w:t>
      </w:r>
      <w:r w:rsidR="002C4C73" w:rsidRPr="00EC097F">
        <w:rPr>
          <w:b/>
          <w:i/>
        </w:rPr>
        <w:t xml:space="preserve">distribution supply points </w:t>
      </w:r>
      <w:r w:rsidR="002C4C73" w:rsidRPr="00EC097F">
        <w:t>are connected in postcode 3073).</w:t>
      </w:r>
    </w:p>
    <w:p w:rsidR="00E81B49" w:rsidRDefault="002C4C73">
      <w:pPr>
        <w:ind w:left="709" w:hanging="709"/>
        <w:rPr>
          <w:szCs w:val="23"/>
        </w:rPr>
      </w:pPr>
      <w:r w:rsidRPr="00DF67AD">
        <w:rPr>
          <w:szCs w:val="23"/>
        </w:rPr>
        <w:t>*</w:t>
      </w:r>
      <w:r w:rsidRPr="00DF67AD">
        <w:rPr>
          <w:szCs w:val="23"/>
        </w:rPr>
        <w:tab/>
      </w:r>
      <w:r w:rsidR="00E81B49" w:rsidRPr="00D71470">
        <w:rPr>
          <w:szCs w:val="23"/>
        </w:rPr>
        <w:t xml:space="preserve">Postcode 3113 is shared between the </w:t>
      </w:r>
      <w:r w:rsidR="00E81B49" w:rsidRPr="00D71470">
        <w:rPr>
          <w:b/>
          <w:i/>
          <w:szCs w:val="23"/>
        </w:rPr>
        <w:t>Licensee</w:t>
      </w:r>
      <w:r w:rsidR="00E81B49" w:rsidRPr="00D71470">
        <w:rPr>
          <w:szCs w:val="23"/>
        </w:rPr>
        <w:t xml:space="preserve"> and Multinet Gas Distribution Partnership ACN 634 214 009. As at the date of this licence the </w:t>
      </w:r>
      <w:r w:rsidR="00E81B49" w:rsidRPr="00D71470">
        <w:rPr>
          <w:b/>
          <w:i/>
          <w:szCs w:val="23"/>
        </w:rPr>
        <w:t>Licensee’s distribution supply points</w:t>
      </w:r>
      <w:r w:rsidR="00E81B49" w:rsidRPr="00D71470">
        <w:rPr>
          <w:szCs w:val="23"/>
        </w:rPr>
        <w:t xml:space="preserve"> are located in Research Warrandyte Rd in the section of the road from San Angelo Road to the border of the postcode in the north.</w:t>
      </w:r>
    </w:p>
    <w:p w:rsidR="00882FD4" w:rsidRPr="00DF67AD" w:rsidRDefault="00E81B49">
      <w:pPr>
        <w:ind w:left="709" w:hanging="709"/>
        <w:rPr>
          <w:szCs w:val="23"/>
        </w:rPr>
      </w:pPr>
      <w:r>
        <w:rPr>
          <w:szCs w:val="23"/>
        </w:rPr>
        <w:t>*</w:t>
      </w:r>
      <w:r>
        <w:rPr>
          <w:szCs w:val="23"/>
        </w:rPr>
        <w:tab/>
      </w:r>
      <w:r w:rsidR="002C4C73" w:rsidRPr="00DF67AD">
        <w:rPr>
          <w:szCs w:val="23"/>
        </w:rPr>
        <w:t xml:space="preserve">Postcode 3175 is shared between Energy Partnership (DB No. 1) Pty Ltd ACN 086 026 986 and Energy Partnership (DB No. 2) Pty Ltd ACN 086 230 122 (trading as “Multinet Partnership”) and the </w:t>
      </w:r>
      <w:r w:rsidR="002C4C73" w:rsidRPr="00DF67AD">
        <w:rPr>
          <w:b/>
          <w:i/>
          <w:szCs w:val="23"/>
        </w:rPr>
        <w:t>Licensee</w:t>
      </w:r>
      <w:r w:rsidR="002C4C73" w:rsidRPr="00DF67AD">
        <w:rPr>
          <w:szCs w:val="23"/>
        </w:rPr>
        <w:t>.  As at the date of this licence, th</w:t>
      </w:r>
      <w:r w:rsidR="002C4C73" w:rsidRPr="00EC1A91">
        <w:rPr>
          <w:szCs w:val="23"/>
        </w:rPr>
        <w:t xml:space="preserve">e </w:t>
      </w:r>
      <w:r w:rsidR="002C4C73" w:rsidRPr="00EC1A91">
        <w:rPr>
          <w:b/>
          <w:i/>
          <w:szCs w:val="23"/>
        </w:rPr>
        <w:t xml:space="preserve">Licensee’s distribution supply points </w:t>
      </w:r>
      <w:r w:rsidR="002C4C73" w:rsidRPr="00EC1A91">
        <w:rPr>
          <w:szCs w:val="23"/>
        </w:rPr>
        <w:t>are connected in Abbotts Road (east of Taylors Road) and Thompsons Road.</w:t>
      </w:r>
    </w:p>
    <w:p w:rsidR="008340EE" w:rsidRPr="001F6630" w:rsidRDefault="002C4C73">
      <w:pPr>
        <w:ind w:left="709" w:hanging="709"/>
        <w:rPr>
          <w:szCs w:val="23"/>
        </w:rPr>
      </w:pPr>
      <w:r w:rsidRPr="00DF67AD">
        <w:rPr>
          <w:szCs w:val="23"/>
        </w:rPr>
        <w:t>*</w:t>
      </w:r>
      <w:r w:rsidRPr="00DF67AD">
        <w:rPr>
          <w:szCs w:val="23"/>
        </w:rPr>
        <w:tab/>
        <w:t xml:space="preserve">Postcode 3770 is shared between Energy Partnership (DB No. 1) Pty Ltd ACN 086 026 986 and Energy Partnership (DB No. 2) Pty Ltd ACN 086 230 122 (trading as “Multinet Partnership”) and the </w:t>
      </w:r>
      <w:r w:rsidRPr="00DF67AD">
        <w:rPr>
          <w:b/>
          <w:i/>
          <w:szCs w:val="23"/>
        </w:rPr>
        <w:t>Licensee</w:t>
      </w:r>
      <w:r w:rsidRPr="00DF67AD">
        <w:rPr>
          <w:szCs w:val="23"/>
        </w:rPr>
        <w:t xml:space="preserve">.  As at the date of this licence, the </w:t>
      </w:r>
      <w:r w:rsidRPr="00EC1A91">
        <w:rPr>
          <w:b/>
          <w:i/>
          <w:szCs w:val="23"/>
        </w:rPr>
        <w:t xml:space="preserve">Licensee’s distribution supply points </w:t>
      </w:r>
      <w:r w:rsidRPr="00EC1A91">
        <w:rPr>
          <w:szCs w:val="23"/>
        </w:rPr>
        <w:t>are connected in Maddens Lane and the Maroondah Highway (east of Maddens Lane).</w:t>
      </w:r>
    </w:p>
    <w:p w:rsidR="008340EE" w:rsidRPr="00EC1A91" w:rsidRDefault="002C4C73">
      <w:pPr>
        <w:ind w:left="709" w:hanging="709"/>
        <w:rPr>
          <w:szCs w:val="23"/>
        </w:rPr>
      </w:pPr>
      <w:r w:rsidRPr="001F6630">
        <w:rPr>
          <w:szCs w:val="23"/>
        </w:rPr>
        <w:t>*</w:t>
      </w:r>
      <w:r w:rsidRPr="001F6630">
        <w:rPr>
          <w:szCs w:val="23"/>
        </w:rPr>
        <w:tab/>
        <w:t xml:space="preserve">Postcode 3097 is shared between the </w:t>
      </w:r>
      <w:r w:rsidRPr="001F6630">
        <w:rPr>
          <w:b/>
          <w:i/>
          <w:szCs w:val="23"/>
        </w:rPr>
        <w:t xml:space="preserve">Licensee </w:t>
      </w:r>
      <w:r w:rsidRPr="001F6630">
        <w:rPr>
          <w:szCs w:val="23"/>
        </w:rPr>
        <w:t xml:space="preserve">and </w:t>
      </w:r>
      <w:r w:rsidRPr="00DF67AD">
        <w:rPr>
          <w:szCs w:val="23"/>
        </w:rPr>
        <w:t xml:space="preserve">Energy Partnership (DB No. 1) Pty Ltd ACN 086 026 986 and Energy Partnership (DB No. 2) Pty Ltd ACN 086 230 122 (trading as “Multinet Partnership”).  As at the date of this licence, the </w:t>
      </w:r>
      <w:r w:rsidRPr="00DF67AD">
        <w:rPr>
          <w:b/>
          <w:i/>
          <w:szCs w:val="23"/>
        </w:rPr>
        <w:t xml:space="preserve">distribution supply points </w:t>
      </w:r>
      <w:r w:rsidRPr="00DF67AD">
        <w:rPr>
          <w:szCs w:val="23"/>
        </w:rPr>
        <w:t xml:space="preserve">of Energy Partnership (DB No. 1) Pty Ltd ACN 086 026 986 and Energy </w:t>
      </w:r>
      <w:r w:rsidRPr="00DF67AD">
        <w:rPr>
          <w:szCs w:val="23"/>
        </w:rPr>
        <w:lastRenderedPageBreak/>
        <w:t>Partnership (DB No. 2) Pty Ltd ACN 086 230 122 (trading as “Multinet Partnership”) are connected in Menzies Road.</w:t>
      </w:r>
    </w:p>
    <w:p w:rsidR="00EB3EB4" w:rsidRPr="00EC1A91" w:rsidRDefault="002C4C73">
      <w:pPr>
        <w:ind w:left="709" w:hanging="709"/>
        <w:rPr>
          <w:szCs w:val="23"/>
        </w:rPr>
      </w:pPr>
      <w:r w:rsidRPr="00EC1A91">
        <w:rPr>
          <w:szCs w:val="23"/>
        </w:rPr>
        <w:t>*</w:t>
      </w:r>
      <w:r w:rsidRPr="00EC1A91">
        <w:rPr>
          <w:szCs w:val="23"/>
        </w:rPr>
        <w:tab/>
        <w:t xml:space="preserve">Postcode 3201 is shared between the </w:t>
      </w:r>
      <w:r w:rsidRPr="00EC1A91">
        <w:rPr>
          <w:b/>
          <w:i/>
          <w:szCs w:val="23"/>
        </w:rPr>
        <w:t xml:space="preserve">Licensee </w:t>
      </w:r>
      <w:r w:rsidRPr="00DF67AD">
        <w:rPr>
          <w:szCs w:val="23"/>
        </w:rPr>
        <w:t xml:space="preserve">Energy Partnership (DB No. 1) Pty Ltd ACN 086 026 986 and Energy Partnership (DB No. 2) Pty Ltd ACN 086 230 122 (trading as “Multinet Partnership”).  As at the date of this licence, the </w:t>
      </w:r>
      <w:r w:rsidRPr="00EC1A91">
        <w:rPr>
          <w:b/>
          <w:i/>
          <w:szCs w:val="23"/>
        </w:rPr>
        <w:t xml:space="preserve">distribution supply points </w:t>
      </w:r>
      <w:r w:rsidRPr="00EC1A91">
        <w:rPr>
          <w:szCs w:val="23"/>
        </w:rPr>
        <w:t>of</w:t>
      </w:r>
      <w:r w:rsidRPr="00AB48D3">
        <w:rPr>
          <w:b/>
          <w:i/>
          <w:szCs w:val="23"/>
        </w:rPr>
        <w:t xml:space="preserve"> </w:t>
      </w:r>
      <w:r w:rsidRPr="00B21882">
        <w:rPr>
          <w:szCs w:val="23"/>
        </w:rPr>
        <w:t xml:space="preserve">Energy Partnership (DB No. 1) Pty Ltd ACN 086 026 986 and </w:t>
      </w:r>
      <w:r w:rsidRPr="00DF67AD">
        <w:rPr>
          <w:szCs w:val="23"/>
        </w:rPr>
        <w:t>Energy Partnership (DB No. 2) Pty Ltd ACN 086 230 122 (trading as “Multinet Partnership”) are connected in Wadsley Road.</w:t>
      </w:r>
    </w:p>
    <w:p w:rsidR="008340EE" w:rsidRPr="001F6630" w:rsidRDefault="002C4C73">
      <w:pPr>
        <w:ind w:left="709" w:hanging="709"/>
        <w:rPr>
          <w:szCs w:val="23"/>
        </w:rPr>
      </w:pPr>
      <w:r w:rsidRPr="00EC1A91">
        <w:rPr>
          <w:szCs w:val="23"/>
        </w:rPr>
        <w:t>*</w:t>
      </w:r>
      <w:r w:rsidRPr="00EC1A91">
        <w:rPr>
          <w:szCs w:val="23"/>
        </w:rPr>
        <w:tab/>
        <w:t xml:space="preserve">Postcode 3804 is shared between the </w:t>
      </w:r>
      <w:r w:rsidRPr="00AB48D3">
        <w:rPr>
          <w:b/>
          <w:i/>
          <w:szCs w:val="23"/>
        </w:rPr>
        <w:t xml:space="preserve">Licensee </w:t>
      </w:r>
      <w:r w:rsidRPr="00B21882">
        <w:rPr>
          <w:szCs w:val="23"/>
        </w:rPr>
        <w:t xml:space="preserve">and </w:t>
      </w:r>
      <w:r w:rsidRPr="00DF67AD">
        <w:rPr>
          <w:szCs w:val="23"/>
        </w:rPr>
        <w:t xml:space="preserve">Energy Partnership (DB No. 1) Pty Ltd ACN 086 026 986 and Energy Partnership (DB No. 2) Pty Ltd ACN 086 230 122 (trading as “Multinet Partnership”). As at the date of this licence, the </w:t>
      </w:r>
      <w:r w:rsidRPr="00EC1A91">
        <w:rPr>
          <w:b/>
          <w:i/>
          <w:szCs w:val="23"/>
        </w:rPr>
        <w:t xml:space="preserve">distribution supply points </w:t>
      </w:r>
      <w:r w:rsidRPr="00AB48D3">
        <w:rPr>
          <w:szCs w:val="23"/>
        </w:rPr>
        <w:t xml:space="preserve">of Energy Partnership (DB No. 1) Pty Ltd ACN 086 026 986 and </w:t>
      </w:r>
      <w:r w:rsidRPr="00DF67AD">
        <w:rPr>
          <w:szCs w:val="23"/>
        </w:rPr>
        <w:t>Energy Partnership (DB No. 2) Pty Ltd ACN 086 230 122 (trading as “Multinet Partnership”) are connected in Caithwell</w:t>
      </w:r>
      <w:r w:rsidRPr="00EC1A91">
        <w:rPr>
          <w:szCs w:val="23"/>
        </w:rPr>
        <w:t xml:space="preserve"> Court, Ebeli Cl, Delview Cl, Lyala Court and Waterfore Cl.</w:t>
      </w:r>
    </w:p>
    <w:p w:rsidR="008340EE" w:rsidRPr="00146527" w:rsidRDefault="008340EE">
      <w:pPr>
        <w:rPr>
          <w:szCs w:val="23"/>
        </w:rPr>
      </w:pPr>
    </w:p>
    <w:p w:rsidR="008340EE" w:rsidRPr="00D14EC2" w:rsidRDefault="008340EE">
      <w:pPr>
        <w:rPr>
          <w:szCs w:val="23"/>
        </w:rPr>
      </w:pPr>
    </w:p>
    <w:p w:rsidR="008340EE" w:rsidRDefault="002C4C73">
      <w:r>
        <w:br w:type="page"/>
      </w:r>
    </w:p>
    <w:p w:rsidR="008340EE" w:rsidRDefault="002C4C73">
      <w:pPr>
        <w:rPr>
          <w:rStyle w:val="Heading"/>
        </w:rPr>
      </w:pPr>
      <w:r>
        <w:rPr>
          <w:rStyle w:val="Heading"/>
        </w:rPr>
        <w:t>schedule 3: variations</w:t>
      </w:r>
    </w:p>
    <w:p w:rsidR="008340EE" w:rsidRDefault="008340EE"/>
    <w:p w:rsidR="008340EE" w:rsidRDefault="002C4C73">
      <w:pPr>
        <w:jc w:val="left"/>
      </w:pPr>
      <w:r>
        <w:t xml:space="preserve">This licence, which was originally issued on 11 December 1997, has been varied by the following: </w:t>
      </w:r>
    </w:p>
    <w:p w:rsidR="008340EE" w:rsidRDefault="008340EE"/>
    <w:tbl>
      <w:tblPr>
        <w:tblW w:w="0" w:type="auto"/>
        <w:tblLook w:val="0000" w:firstRow="0" w:lastRow="0" w:firstColumn="0" w:lastColumn="0" w:noHBand="0" w:noVBand="0"/>
      </w:tblPr>
      <w:tblGrid>
        <w:gridCol w:w="2932"/>
        <w:gridCol w:w="2421"/>
        <w:gridCol w:w="3169"/>
      </w:tblGrid>
      <w:tr w:rsidR="008340EE">
        <w:tc>
          <w:tcPr>
            <w:tcW w:w="2932" w:type="dxa"/>
          </w:tcPr>
          <w:p w:rsidR="008340EE" w:rsidRDefault="002C4C73">
            <w:pPr>
              <w:rPr>
                <w:sz w:val="22"/>
              </w:rPr>
            </w:pPr>
            <w:r>
              <w:rPr>
                <w:sz w:val="22"/>
              </w:rPr>
              <w:t xml:space="preserve">The </w:t>
            </w:r>
            <w:r>
              <w:rPr>
                <w:b/>
                <w:i/>
                <w:sz w:val="22"/>
              </w:rPr>
              <w:t>Treasurer</w:t>
            </w:r>
          </w:p>
        </w:tc>
        <w:tc>
          <w:tcPr>
            <w:tcW w:w="2421" w:type="dxa"/>
          </w:tcPr>
          <w:p w:rsidR="008340EE" w:rsidRDefault="002C4C73">
            <w:pPr>
              <w:rPr>
                <w:sz w:val="22"/>
              </w:rPr>
            </w:pPr>
            <w:r>
              <w:rPr>
                <w:sz w:val="22"/>
              </w:rPr>
              <w:t>1 September 1998</w:t>
            </w:r>
          </w:p>
        </w:tc>
        <w:tc>
          <w:tcPr>
            <w:tcW w:w="3169" w:type="dxa"/>
          </w:tcPr>
          <w:p w:rsidR="008340EE" w:rsidRDefault="008340EE">
            <w:pPr>
              <w:rPr>
                <w:sz w:val="22"/>
              </w:rPr>
            </w:pPr>
          </w:p>
        </w:tc>
      </w:tr>
      <w:tr w:rsidR="008340EE">
        <w:tc>
          <w:tcPr>
            <w:tcW w:w="2932" w:type="dxa"/>
          </w:tcPr>
          <w:p w:rsidR="008340EE" w:rsidRDefault="002C4C73">
            <w:pPr>
              <w:rPr>
                <w:sz w:val="22"/>
              </w:rPr>
            </w:pPr>
            <w:r>
              <w:rPr>
                <w:sz w:val="22"/>
              </w:rPr>
              <w:t xml:space="preserve">The </w:t>
            </w:r>
            <w:r>
              <w:rPr>
                <w:b/>
                <w:i/>
                <w:sz w:val="22"/>
              </w:rPr>
              <w:t>Treasurer</w:t>
            </w:r>
            <w:r>
              <w:rPr>
                <w:i/>
                <w:sz w:val="22"/>
              </w:rPr>
              <w:tab/>
            </w:r>
          </w:p>
        </w:tc>
        <w:tc>
          <w:tcPr>
            <w:tcW w:w="2421" w:type="dxa"/>
          </w:tcPr>
          <w:p w:rsidR="008340EE" w:rsidRDefault="002C4C73">
            <w:pPr>
              <w:rPr>
                <w:sz w:val="22"/>
              </w:rPr>
            </w:pPr>
            <w:r>
              <w:rPr>
                <w:sz w:val="22"/>
              </w:rPr>
              <w:t>30 March 1999</w:t>
            </w:r>
          </w:p>
        </w:tc>
        <w:tc>
          <w:tcPr>
            <w:tcW w:w="3169" w:type="dxa"/>
          </w:tcPr>
          <w:p w:rsidR="008340EE" w:rsidRDefault="008340EE">
            <w:pPr>
              <w:rPr>
                <w:sz w:val="22"/>
              </w:rPr>
            </w:pPr>
          </w:p>
        </w:tc>
      </w:tr>
      <w:tr w:rsidR="008340EE">
        <w:tc>
          <w:tcPr>
            <w:tcW w:w="2932" w:type="dxa"/>
          </w:tcPr>
          <w:p w:rsidR="008340EE" w:rsidRDefault="002C4C73">
            <w:pPr>
              <w:rPr>
                <w:sz w:val="22"/>
              </w:rPr>
            </w:pPr>
            <w:r>
              <w:rPr>
                <w:sz w:val="22"/>
              </w:rPr>
              <w:t xml:space="preserve">The </w:t>
            </w:r>
            <w:r>
              <w:rPr>
                <w:b/>
                <w:i/>
                <w:sz w:val="22"/>
              </w:rPr>
              <w:t>Office of the Regulator General</w:t>
            </w:r>
          </w:p>
        </w:tc>
        <w:tc>
          <w:tcPr>
            <w:tcW w:w="2421" w:type="dxa"/>
          </w:tcPr>
          <w:p w:rsidR="008340EE" w:rsidRDefault="002C4C73">
            <w:pPr>
              <w:rPr>
                <w:sz w:val="22"/>
              </w:rPr>
            </w:pPr>
            <w:r>
              <w:rPr>
                <w:sz w:val="22"/>
              </w:rPr>
              <w:t>12 April 2000</w:t>
            </w:r>
          </w:p>
        </w:tc>
        <w:tc>
          <w:tcPr>
            <w:tcW w:w="3169" w:type="dxa"/>
          </w:tcPr>
          <w:p w:rsidR="008340EE" w:rsidRDefault="008340EE">
            <w:pPr>
              <w:rPr>
                <w:sz w:val="22"/>
              </w:rPr>
            </w:pPr>
          </w:p>
        </w:tc>
      </w:tr>
      <w:tr w:rsidR="008340EE">
        <w:tc>
          <w:tcPr>
            <w:tcW w:w="2932" w:type="dxa"/>
          </w:tcPr>
          <w:p w:rsidR="008340EE" w:rsidRDefault="002C4C73">
            <w:pPr>
              <w:rPr>
                <w:sz w:val="22"/>
              </w:rPr>
            </w:pPr>
            <w:r>
              <w:rPr>
                <w:sz w:val="22"/>
              </w:rPr>
              <w:t xml:space="preserve">The </w:t>
            </w:r>
            <w:r>
              <w:rPr>
                <w:b/>
                <w:i/>
                <w:sz w:val="22"/>
              </w:rPr>
              <w:t>Office of the Regulator General</w:t>
            </w:r>
          </w:p>
        </w:tc>
        <w:tc>
          <w:tcPr>
            <w:tcW w:w="2421" w:type="dxa"/>
          </w:tcPr>
          <w:p w:rsidR="008340EE" w:rsidRDefault="002C4C73">
            <w:pPr>
              <w:rPr>
                <w:sz w:val="22"/>
              </w:rPr>
            </w:pPr>
            <w:r>
              <w:rPr>
                <w:sz w:val="22"/>
              </w:rPr>
              <w:t>17 April 2001</w:t>
            </w:r>
          </w:p>
        </w:tc>
        <w:tc>
          <w:tcPr>
            <w:tcW w:w="3169" w:type="dxa"/>
          </w:tcPr>
          <w:p w:rsidR="008340EE" w:rsidRDefault="002C4C73">
            <w:pPr>
              <w:rPr>
                <w:sz w:val="22"/>
              </w:rPr>
            </w:pPr>
            <w:r>
              <w:rPr>
                <w:sz w:val="22"/>
              </w:rPr>
              <w:t>(To establish the Energy and Water Ombudsman)</w:t>
            </w:r>
          </w:p>
        </w:tc>
      </w:tr>
      <w:tr w:rsidR="008340EE">
        <w:tc>
          <w:tcPr>
            <w:tcW w:w="2932" w:type="dxa"/>
          </w:tcPr>
          <w:p w:rsidR="008340EE" w:rsidRDefault="002C4C73">
            <w:pPr>
              <w:rPr>
                <w:sz w:val="22"/>
              </w:rPr>
            </w:pPr>
            <w:r>
              <w:rPr>
                <w:sz w:val="22"/>
              </w:rPr>
              <w:t xml:space="preserve">The </w:t>
            </w:r>
            <w:r>
              <w:rPr>
                <w:b/>
                <w:bCs/>
                <w:i/>
                <w:iCs/>
                <w:sz w:val="22"/>
              </w:rPr>
              <w:t>Commission</w:t>
            </w:r>
          </w:p>
        </w:tc>
        <w:tc>
          <w:tcPr>
            <w:tcW w:w="2421" w:type="dxa"/>
          </w:tcPr>
          <w:p w:rsidR="008340EE" w:rsidRDefault="002C4C73">
            <w:pPr>
              <w:rPr>
                <w:sz w:val="22"/>
              </w:rPr>
            </w:pPr>
            <w:r>
              <w:rPr>
                <w:sz w:val="22"/>
              </w:rPr>
              <w:t>15 May 2002</w:t>
            </w:r>
          </w:p>
        </w:tc>
        <w:tc>
          <w:tcPr>
            <w:tcW w:w="3169" w:type="dxa"/>
          </w:tcPr>
          <w:p w:rsidR="008340EE" w:rsidRDefault="002C4C73">
            <w:pPr>
              <w:rPr>
                <w:sz w:val="22"/>
              </w:rPr>
            </w:pPr>
            <w:r>
              <w:rPr>
                <w:sz w:val="22"/>
              </w:rPr>
              <w:t>(To require licensees to comply with a schedule of FRC readiness requirements)</w:t>
            </w:r>
          </w:p>
        </w:tc>
      </w:tr>
      <w:tr w:rsidR="008340EE">
        <w:tc>
          <w:tcPr>
            <w:tcW w:w="2932" w:type="dxa"/>
          </w:tcPr>
          <w:p w:rsidR="008340EE" w:rsidRDefault="002C4C73">
            <w:pPr>
              <w:rPr>
                <w:sz w:val="22"/>
              </w:rPr>
            </w:pPr>
            <w:r>
              <w:rPr>
                <w:sz w:val="22"/>
              </w:rPr>
              <w:t xml:space="preserve">The </w:t>
            </w:r>
            <w:r>
              <w:rPr>
                <w:b/>
                <w:bCs/>
                <w:i/>
                <w:iCs/>
                <w:sz w:val="22"/>
              </w:rPr>
              <w:t>Commission</w:t>
            </w:r>
          </w:p>
        </w:tc>
        <w:tc>
          <w:tcPr>
            <w:tcW w:w="2421" w:type="dxa"/>
          </w:tcPr>
          <w:p w:rsidR="008340EE" w:rsidRDefault="002C4C73">
            <w:pPr>
              <w:rPr>
                <w:sz w:val="22"/>
              </w:rPr>
            </w:pPr>
            <w:r>
              <w:rPr>
                <w:sz w:val="22"/>
              </w:rPr>
              <w:t>18 December 2002</w:t>
            </w:r>
          </w:p>
        </w:tc>
        <w:tc>
          <w:tcPr>
            <w:tcW w:w="3169" w:type="dxa"/>
          </w:tcPr>
          <w:p w:rsidR="008340EE" w:rsidRDefault="002C4C73">
            <w:pPr>
              <w:rPr>
                <w:sz w:val="22"/>
              </w:rPr>
            </w:pPr>
            <w:r>
              <w:rPr>
                <w:sz w:val="22"/>
              </w:rPr>
              <w:t>(Effective 1 January 2003, to streamline the operation of the Gas Distribution Licence</w:t>
            </w:r>
            <w:r>
              <w:rPr>
                <w:snapToGrid w:val="0"/>
                <w:sz w:val="22"/>
              </w:rPr>
              <w:t xml:space="preserve"> and adopt various consequential amendments in light of the cessation of the Tariff Order, and the commencement of the </w:t>
            </w:r>
            <w:r>
              <w:rPr>
                <w:i/>
                <w:iCs/>
                <w:snapToGrid w:val="0"/>
                <w:sz w:val="22"/>
              </w:rPr>
              <w:t>Gas Industry Act 2001</w:t>
            </w:r>
            <w:r>
              <w:rPr>
                <w:snapToGrid w:val="0"/>
                <w:sz w:val="22"/>
              </w:rPr>
              <w:t xml:space="preserve"> and the </w:t>
            </w:r>
            <w:r>
              <w:rPr>
                <w:i/>
                <w:iCs/>
                <w:snapToGrid w:val="0"/>
                <w:sz w:val="22"/>
              </w:rPr>
              <w:t>Essential Services Commission Act 2001</w:t>
            </w:r>
            <w:r>
              <w:rPr>
                <w:sz w:val="22"/>
              </w:rPr>
              <w:t>)</w:t>
            </w:r>
          </w:p>
        </w:tc>
      </w:tr>
      <w:tr w:rsidR="00C13004" w:rsidTr="00D71470">
        <w:tc>
          <w:tcPr>
            <w:tcW w:w="2932" w:type="dxa"/>
            <w:shd w:val="clear" w:color="auto" w:fill="auto"/>
          </w:tcPr>
          <w:p w:rsidR="00C13004" w:rsidRPr="00D71470" w:rsidRDefault="00C13004" w:rsidP="00D71470">
            <w:pPr>
              <w:rPr>
                <w:b/>
                <w:i/>
                <w:sz w:val="22"/>
              </w:rPr>
            </w:pPr>
            <w:r>
              <w:rPr>
                <w:sz w:val="22"/>
              </w:rPr>
              <w:t xml:space="preserve">The </w:t>
            </w:r>
            <w:r>
              <w:rPr>
                <w:b/>
                <w:i/>
                <w:sz w:val="22"/>
              </w:rPr>
              <w:t>Commission</w:t>
            </w:r>
          </w:p>
        </w:tc>
        <w:tc>
          <w:tcPr>
            <w:tcW w:w="2421" w:type="dxa"/>
            <w:shd w:val="clear" w:color="auto" w:fill="auto"/>
          </w:tcPr>
          <w:p w:rsidR="00C13004" w:rsidRDefault="0032326E" w:rsidP="00D71470">
            <w:pPr>
              <w:rPr>
                <w:sz w:val="22"/>
              </w:rPr>
            </w:pPr>
            <w:r>
              <w:rPr>
                <w:sz w:val="22"/>
              </w:rPr>
              <w:t>30</w:t>
            </w:r>
            <w:r w:rsidR="00AA1393">
              <w:rPr>
                <w:sz w:val="22"/>
              </w:rPr>
              <w:t xml:space="preserve"> August</w:t>
            </w:r>
            <w:r w:rsidR="00C13004">
              <w:rPr>
                <w:sz w:val="22"/>
              </w:rPr>
              <w:t xml:space="preserve"> 2017</w:t>
            </w:r>
          </w:p>
        </w:tc>
        <w:tc>
          <w:tcPr>
            <w:tcW w:w="3169" w:type="dxa"/>
            <w:shd w:val="clear" w:color="auto" w:fill="auto"/>
          </w:tcPr>
          <w:p w:rsidR="00C13004" w:rsidRDefault="00C13004" w:rsidP="00D71470">
            <w:pPr>
              <w:rPr>
                <w:sz w:val="22"/>
              </w:rPr>
            </w:pPr>
            <w:r>
              <w:rPr>
                <w:sz w:val="22"/>
              </w:rPr>
              <w:t xml:space="preserve">(To amend </w:t>
            </w:r>
            <w:r w:rsidR="00AB102C">
              <w:rPr>
                <w:sz w:val="22"/>
              </w:rPr>
              <w:t>the</w:t>
            </w:r>
            <w:r>
              <w:rPr>
                <w:sz w:val="22"/>
              </w:rPr>
              <w:t xml:space="preserve"> Licensee</w:t>
            </w:r>
            <w:r w:rsidR="00AB102C">
              <w:rPr>
                <w:sz w:val="22"/>
              </w:rPr>
              <w:t>’s name</w:t>
            </w:r>
            <w:r>
              <w:rPr>
                <w:sz w:val="22"/>
              </w:rPr>
              <w:t xml:space="preserve"> from </w:t>
            </w:r>
            <w:r w:rsidR="00AB102C">
              <w:rPr>
                <w:sz w:val="22"/>
              </w:rPr>
              <w:t>‘</w:t>
            </w:r>
            <w:r>
              <w:rPr>
                <w:sz w:val="22"/>
              </w:rPr>
              <w:t>Vic Gas Distribution Pty Ltd</w:t>
            </w:r>
            <w:r w:rsidR="00AB102C">
              <w:rPr>
                <w:sz w:val="22"/>
              </w:rPr>
              <w:t>’</w:t>
            </w:r>
            <w:r>
              <w:rPr>
                <w:sz w:val="22"/>
              </w:rPr>
              <w:t xml:space="preserve"> to </w:t>
            </w:r>
            <w:r w:rsidR="00AB102C">
              <w:rPr>
                <w:sz w:val="22"/>
              </w:rPr>
              <w:t>‘</w:t>
            </w:r>
            <w:r>
              <w:rPr>
                <w:sz w:val="22"/>
              </w:rPr>
              <w:t>Australian Gas Networks (Vic) Pty Ltd</w:t>
            </w:r>
            <w:r w:rsidR="00AB102C">
              <w:rPr>
                <w:sz w:val="22"/>
              </w:rPr>
              <w:t>’</w:t>
            </w:r>
            <w:r>
              <w:rPr>
                <w:sz w:val="22"/>
              </w:rPr>
              <w:t xml:space="preserve">, to </w:t>
            </w:r>
            <w:r w:rsidR="00A176B9">
              <w:rPr>
                <w:sz w:val="22"/>
              </w:rPr>
              <w:t xml:space="preserve">amend Schedule 2 to </w:t>
            </w:r>
            <w:r>
              <w:rPr>
                <w:sz w:val="22"/>
              </w:rPr>
              <w:t>incorporate postcodes</w:t>
            </w:r>
            <w:r w:rsidR="00A176B9">
              <w:rPr>
                <w:sz w:val="22"/>
              </w:rPr>
              <w:t xml:space="preserve"> 3008, 3064, </w:t>
            </w:r>
            <w:r w:rsidR="008421DF">
              <w:rPr>
                <w:sz w:val="22"/>
              </w:rPr>
              <w:t>3113,</w:t>
            </w:r>
            <w:r w:rsidR="00A176B9">
              <w:rPr>
                <w:sz w:val="22"/>
              </w:rPr>
              <w:t xml:space="preserve"> 3640, 3678, 3758, 3821, 3862, 3875, 3878, and 3880, to incorporate notes </w:t>
            </w:r>
            <w:r w:rsidR="00AB102C">
              <w:rPr>
                <w:sz w:val="22"/>
              </w:rPr>
              <w:t xml:space="preserve">in Schedule 2 </w:t>
            </w:r>
            <w:r w:rsidR="00A176B9">
              <w:rPr>
                <w:sz w:val="22"/>
              </w:rPr>
              <w:t>confirming that postcodes 3000</w:t>
            </w:r>
            <w:r w:rsidR="00AB102C">
              <w:rPr>
                <w:sz w:val="22"/>
              </w:rPr>
              <w:t>, 3008, 3064, and 3113 are shared distribution zones</w:t>
            </w:r>
            <w:r w:rsidR="008421DF">
              <w:rPr>
                <w:sz w:val="22"/>
              </w:rPr>
              <w:t>, and to insert clause 6(c)</w:t>
            </w:r>
            <w:r w:rsidR="00AB102C">
              <w:rPr>
                <w:sz w:val="22"/>
              </w:rPr>
              <w:t>.</w:t>
            </w:r>
            <w:r w:rsidR="00A176B9">
              <w:rPr>
                <w:sz w:val="22"/>
              </w:rPr>
              <w:t>)</w:t>
            </w:r>
          </w:p>
        </w:tc>
      </w:tr>
    </w:tbl>
    <w:p w:rsidR="008340EE" w:rsidRDefault="008340EE"/>
    <w:p w:rsidR="008340EE" w:rsidRPr="00EC097F" w:rsidRDefault="002C4C73" w:rsidP="00AB102C">
      <w:pPr>
        <w:rPr>
          <w:rStyle w:val="Heading"/>
        </w:rPr>
      </w:pPr>
      <w:r w:rsidRPr="00F34267">
        <w:t xml:space="preserve">This is the licence as varied on </w:t>
      </w:r>
      <w:r w:rsidR="0032326E">
        <w:t>30</w:t>
      </w:r>
      <w:r w:rsidR="00AA1393">
        <w:t xml:space="preserve"> August</w:t>
      </w:r>
      <w:r w:rsidR="00A04A7A">
        <w:t xml:space="preserve"> </w:t>
      </w:r>
      <w:r w:rsidR="00AB102C">
        <w:t>2017</w:t>
      </w:r>
      <w:r w:rsidR="008421DF">
        <w:t>.</w:t>
      </w:r>
    </w:p>
    <w:sectPr w:rsidR="008340EE" w:rsidRPr="00EC097F">
      <w:headerReference w:type="default" r:id="rId11"/>
      <w:footerReference w:type="default" r:id="rId12"/>
      <w:pgSz w:w="11906" w:h="16838"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EB" w:rsidRDefault="004B10EB">
      <w:pPr>
        <w:spacing w:line="240" w:lineRule="auto"/>
      </w:pPr>
      <w:r>
        <w:separator/>
      </w:r>
    </w:p>
  </w:endnote>
  <w:endnote w:type="continuationSeparator" w:id="0">
    <w:p w:rsidR="004B10EB" w:rsidRDefault="004B1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EB" w:rsidRDefault="004B10EB">
    <w:pPr>
      <w:pStyle w:val="Footer"/>
      <w:tabs>
        <w:tab w:val="right" w:pos="893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EB" w:rsidRDefault="004B10EB">
    <w:pPr>
      <w:pStyle w:val="Footer"/>
      <w:tabs>
        <w:tab w:val="right" w:pos="8931"/>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EB" w:rsidRDefault="004B10EB">
    <w:pPr>
      <w:pStyle w:val="Footer"/>
      <w:tabs>
        <w:tab w:val="right" w:pos="8931"/>
      </w:tabs>
    </w:pPr>
    <w:r>
      <w:tab/>
      <w:t xml:space="preserve">Page </w:t>
    </w:r>
    <w:r>
      <w:fldChar w:fldCharType="begin"/>
    </w:r>
    <w:r>
      <w:instrText xml:space="preserve"> PAGE  \* MERGEFORMAT </w:instrText>
    </w:r>
    <w:r>
      <w:fldChar w:fldCharType="separate"/>
    </w:r>
    <w:r w:rsidR="00D71470">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EB" w:rsidRDefault="004B10EB">
      <w:pPr>
        <w:spacing w:line="240" w:lineRule="auto"/>
      </w:pPr>
      <w:r>
        <w:separator/>
      </w:r>
    </w:p>
  </w:footnote>
  <w:footnote w:type="continuationSeparator" w:id="0">
    <w:p w:rsidR="004B10EB" w:rsidRDefault="004B10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EB" w:rsidRDefault="004B1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C6E8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33A2B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72EEDE4"/>
    <w:lvl w:ilvl="0">
      <w:start w:val="1"/>
      <w:numFmt w:val="decimal"/>
      <w:pStyle w:val="ListNumber3"/>
      <w:lvlText w:val="%1."/>
      <w:lvlJc w:val="left"/>
      <w:pPr>
        <w:tabs>
          <w:tab w:val="num" w:pos="926"/>
        </w:tabs>
        <w:ind w:left="926" w:hanging="360"/>
      </w:pPr>
    </w:lvl>
  </w:abstractNum>
  <w:abstractNum w:abstractNumId="3">
    <w:nsid w:val="FFFFFF80"/>
    <w:multiLevelType w:val="singleLevel"/>
    <w:tmpl w:val="44168A9E"/>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114CF1D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DACFB7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8"/>
    <w:multiLevelType w:val="singleLevel"/>
    <w:tmpl w:val="F4C4C5F2"/>
    <w:lvl w:ilvl="0">
      <w:start w:val="1"/>
      <w:numFmt w:val="decimal"/>
      <w:pStyle w:val="ListNumber"/>
      <w:lvlText w:val="%1."/>
      <w:lvlJc w:val="left"/>
      <w:pPr>
        <w:tabs>
          <w:tab w:val="num" w:pos="720"/>
        </w:tabs>
        <w:ind w:left="720" w:hanging="720"/>
      </w:pPr>
    </w:lvl>
  </w:abstractNum>
  <w:abstractNum w:abstractNumId="7">
    <w:nsid w:val="FFFFFF89"/>
    <w:multiLevelType w:val="singleLevel"/>
    <w:tmpl w:val="110A04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013A81"/>
    <w:multiLevelType w:val="multilevel"/>
    <w:tmpl w:val="99DAD746"/>
    <w:lvl w:ilvl="0">
      <w:start w:val="1"/>
      <w:numFmt w:val="decimal"/>
      <w:pStyle w:val="Parties"/>
      <w:lvlText w:val="%1."/>
      <w:lvlJc w:val="left"/>
      <w:pPr>
        <w:tabs>
          <w:tab w:val="num" w:pos="720"/>
        </w:tabs>
        <w:ind w:left="720" w:hanging="720"/>
      </w:pPr>
      <w:rPr>
        <w:rFonts w:ascii="Arial" w:hAnsi="Arial" w:hint="default"/>
        <w:b/>
        <w:i w:val="0"/>
        <w:sz w:val="19"/>
      </w:rPr>
    </w:lvl>
    <w:lvl w:ilvl="1">
      <w:start w:val="1"/>
      <w:numFmt w:val="decimal"/>
      <w:lvlText w:val="%2.%1"/>
      <w:lvlJc w:val="left"/>
      <w:pPr>
        <w:tabs>
          <w:tab w:val="num" w:pos="720"/>
        </w:tabs>
        <w:ind w:left="720" w:hanging="720"/>
      </w:pPr>
      <w:rPr>
        <w:rFonts w:ascii="Arial" w:hAnsi="Arial" w:hint="default"/>
        <w:b/>
        <w:i w:val="0"/>
        <w:sz w:val="19"/>
      </w:rPr>
    </w:lvl>
    <w:lvl w:ilvl="2">
      <w:start w:val="1"/>
      <w:numFmt w:val="decimal"/>
      <w:lvlText w:val="%3.%1.%2"/>
      <w:lvlJc w:val="left"/>
      <w:pPr>
        <w:tabs>
          <w:tab w:val="num" w:pos="720"/>
        </w:tabs>
        <w:ind w:left="720" w:hanging="720"/>
      </w:pPr>
      <w:rPr>
        <w:rFonts w:ascii="Arial" w:hAnsi="Arial" w:hint="default"/>
        <w:b/>
        <w:i w:val="0"/>
        <w:sz w:val="19"/>
      </w:rPr>
    </w:lvl>
    <w:lvl w:ilvl="3">
      <w:start w:val="1"/>
      <w:numFmt w:val="lowerLetter"/>
      <w:lvlText w:val="(%4)"/>
      <w:lvlJc w:val="left"/>
      <w:pPr>
        <w:tabs>
          <w:tab w:val="num" w:pos="720"/>
        </w:tabs>
        <w:ind w:left="720" w:hanging="720"/>
      </w:pPr>
    </w:lvl>
    <w:lvl w:ilvl="4">
      <w:start w:val="1"/>
      <w:numFmt w:val="lowerRoman"/>
      <w:lvlText w:val="(%5)"/>
      <w:lvlJc w:val="left"/>
      <w:pPr>
        <w:tabs>
          <w:tab w:val="num" w:pos="1440"/>
        </w:tabs>
        <w:ind w:left="1440" w:hanging="720"/>
      </w:pPr>
    </w:lvl>
    <w:lvl w:ilvl="5">
      <w:start w:val="1"/>
      <w:numFmt w:val="upperLetter"/>
      <w:lvlText w:val="%6."/>
      <w:lvlJc w:val="left"/>
      <w:pPr>
        <w:tabs>
          <w:tab w:val="num" w:pos="2160"/>
        </w:tabs>
        <w:ind w:left="2160" w:hanging="720"/>
      </w:pPr>
    </w:lvl>
    <w:lvl w:ilvl="6">
      <w:start w:val="1"/>
      <w:numFmt w:val="upperRoman"/>
      <w:lvlText w:val="%7."/>
      <w:lvlJc w:val="left"/>
      <w:pPr>
        <w:tabs>
          <w:tab w:val="num" w:pos="2880"/>
        </w:tabs>
        <w:ind w:left="2880" w:hanging="720"/>
      </w:pPr>
    </w:lvl>
    <w:lvl w:ilvl="7">
      <w:start w:val="1"/>
      <w:numFmt w:val="decimal"/>
      <w:lvlText w:val="(%8)"/>
      <w:lvlJc w:val="left"/>
      <w:pPr>
        <w:tabs>
          <w:tab w:val="num" w:pos="3600"/>
        </w:tabs>
        <w:ind w:left="3600" w:hanging="720"/>
      </w:pPr>
    </w:lvl>
    <w:lvl w:ilvl="8">
      <w:start w:val="1"/>
      <w:numFmt w:val="decimal"/>
      <w:lvlText w:val="%9."/>
      <w:lvlJc w:val="left"/>
      <w:pPr>
        <w:tabs>
          <w:tab w:val="num" w:pos="4321"/>
        </w:tabs>
        <w:ind w:left="4321" w:hanging="721"/>
      </w:pPr>
    </w:lvl>
  </w:abstractNum>
  <w:abstractNum w:abstractNumId="9">
    <w:nsid w:val="0EEE7602"/>
    <w:multiLevelType w:val="multilevel"/>
    <w:tmpl w:val="71706E0E"/>
    <w:lvl w:ilvl="0">
      <w:start w:val="1"/>
      <w:numFmt w:val="decimal"/>
      <w:pStyle w:val="ListNumber2"/>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lowerRoman"/>
      <w:lvlText w:val="(%5)"/>
      <w:lvlJc w:val="left"/>
      <w:pPr>
        <w:tabs>
          <w:tab w:val="num" w:pos="1440"/>
        </w:tabs>
        <w:ind w:left="1440" w:hanging="720"/>
      </w:pPr>
    </w:lvl>
    <w:lvl w:ilvl="5">
      <w:start w:val="1"/>
      <w:numFmt w:val="upperLetter"/>
      <w:lvlText w:val="%6."/>
      <w:lvlJc w:val="left"/>
      <w:pPr>
        <w:tabs>
          <w:tab w:val="num" w:pos="2160"/>
        </w:tabs>
        <w:ind w:left="2160" w:hanging="720"/>
      </w:pPr>
    </w:lvl>
    <w:lvl w:ilvl="6">
      <w:start w:val="1"/>
      <w:numFmt w:val="upperRoman"/>
      <w:lvlText w:val="%7."/>
      <w:lvlJc w:val="left"/>
      <w:pPr>
        <w:tabs>
          <w:tab w:val="num" w:pos="2880"/>
        </w:tabs>
        <w:ind w:left="2880" w:hanging="720"/>
      </w:pPr>
    </w:lvl>
    <w:lvl w:ilvl="7">
      <w:start w:val="1"/>
      <w:numFmt w:val="decimal"/>
      <w:lvlText w:val="(%8)"/>
      <w:lvlJc w:val="left"/>
      <w:pPr>
        <w:tabs>
          <w:tab w:val="num" w:pos="3600"/>
        </w:tabs>
        <w:ind w:left="3600" w:hanging="720"/>
      </w:pPr>
    </w:lvl>
    <w:lvl w:ilvl="8">
      <w:start w:val="1"/>
      <w:numFmt w:val="decimal"/>
      <w:lvlText w:val="%9."/>
      <w:lvlJc w:val="left"/>
      <w:pPr>
        <w:tabs>
          <w:tab w:val="num" w:pos="4321"/>
        </w:tabs>
        <w:ind w:left="4321" w:hanging="721"/>
      </w:pPr>
    </w:lvl>
  </w:abstractNum>
  <w:abstractNum w:abstractNumId="10">
    <w:nsid w:val="134F6BD9"/>
    <w:multiLevelType w:val="singleLevel"/>
    <w:tmpl w:val="2D36F39C"/>
    <w:lvl w:ilvl="0">
      <w:start w:val="1"/>
      <w:numFmt w:val="bullet"/>
      <w:pStyle w:val="Instructions"/>
      <w:lvlText w:val=""/>
      <w:lvlJc w:val="left"/>
      <w:pPr>
        <w:tabs>
          <w:tab w:val="num" w:pos="720"/>
        </w:tabs>
        <w:ind w:left="720" w:hanging="720"/>
      </w:pPr>
      <w:rPr>
        <w:rFonts w:ascii="Wingdings" w:hAnsi="Wingdings" w:hint="default"/>
        <w:sz w:val="72"/>
      </w:rPr>
    </w:lvl>
  </w:abstractNum>
  <w:abstractNum w:abstractNumId="11">
    <w:nsid w:val="25206B7E"/>
    <w:multiLevelType w:val="multilevel"/>
    <w:tmpl w:val="3A983C5C"/>
    <w:lvl w:ilvl="0">
      <w:start w:val="1"/>
      <w:numFmt w:val="decimal"/>
      <w:pStyle w:val="Heading1"/>
      <w:lvlText w:val="%1."/>
      <w:lvlJc w:val="left"/>
      <w:pPr>
        <w:tabs>
          <w:tab w:val="num" w:pos="720"/>
        </w:tabs>
        <w:ind w:left="720" w:hanging="720"/>
      </w:pPr>
      <w:rPr>
        <w:rFonts w:ascii="Arial" w:hAnsi="Arial" w:hint="default"/>
        <w:b/>
        <w:i w:val="0"/>
        <w:sz w:val="19"/>
      </w:rPr>
    </w:lvl>
    <w:lvl w:ilvl="1">
      <w:start w:val="1"/>
      <w:numFmt w:val="decimal"/>
      <w:pStyle w:val="Heading2"/>
      <w:lvlText w:val="%1.%2"/>
      <w:lvlJc w:val="left"/>
      <w:pPr>
        <w:tabs>
          <w:tab w:val="num" w:pos="720"/>
        </w:tabs>
        <w:ind w:left="720" w:hanging="720"/>
      </w:pPr>
      <w:rPr>
        <w:rFonts w:ascii="Arial" w:hAnsi="Arial" w:hint="default"/>
        <w:b/>
        <w:i w:val="0"/>
        <w:sz w:val="19"/>
      </w:rPr>
    </w:lvl>
    <w:lvl w:ilvl="2">
      <w:start w:val="1"/>
      <w:numFmt w:val="decimal"/>
      <w:pStyle w:val="Heading3"/>
      <w:lvlText w:val="%1.%2.%3"/>
      <w:lvlJc w:val="left"/>
      <w:pPr>
        <w:tabs>
          <w:tab w:val="num" w:pos="720"/>
        </w:tabs>
        <w:ind w:left="720" w:hanging="720"/>
      </w:pPr>
      <w:rPr>
        <w:rFonts w:ascii="Arial" w:hAnsi="Arial" w:hint="default"/>
        <w:b/>
        <w:i w:val="0"/>
        <w:sz w:val="19"/>
      </w:r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1440"/>
        </w:tabs>
        <w:ind w:left="1440" w:hanging="720"/>
      </w:pPr>
    </w:lvl>
    <w:lvl w:ilvl="5">
      <w:start w:val="1"/>
      <w:numFmt w:val="upperLetter"/>
      <w:pStyle w:val="Heading6"/>
      <w:lvlText w:val="%6."/>
      <w:lvlJc w:val="left"/>
      <w:pPr>
        <w:tabs>
          <w:tab w:val="num" w:pos="2160"/>
        </w:tabs>
        <w:ind w:left="2160" w:hanging="720"/>
      </w:pPr>
    </w:lvl>
    <w:lvl w:ilvl="6">
      <w:start w:val="1"/>
      <w:numFmt w:val="upperRoman"/>
      <w:pStyle w:val="Heading7"/>
      <w:lvlText w:val="%7."/>
      <w:lvlJc w:val="left"/>
      <w:pPr>
        <w:tabs>
          <w:tab w:val="num" w:pos="2880"/>
        </w:tabs>
        <w:ind w:left="2880" w:hanging="720"/>
      </w:pPr>
    </w:lvl>
    <w:lvl w:ilvl="7">
      <w:start w:val="1"/>
      <w:numFmt w:val="decimal"/>
      <w:pStyle w:val="Heading8"/>
      <w:lvlText w:val="(%8)"/>
      <w:lvlJc w:val="left"/>
      <w:pPr>
        <w:tabs>
          <w:tab w:val="num" w:pos="3600"/>
        </w:tabs>
        <w:ind w:left="3600" w:hanging="720"/>
      </w:pPr>
    </w:lvl>
    <w:lvl w:ilvl="8">
      <w:start w:val="1"/>
      <w:numFmt w:val="decimal"/>
      <w:pStyle w:val="Heading9"/>
      <w:lvlText w:val="%9."/>
      <w:lvlJc w:val="left"/>
      <w:pPr>
        <w:tabs>
          <w:tab w:val="num" w:pos="4321"/>
        </w:tabs>
        <w:ind w:left="4321" w:hanging="721"/>
      </w:pPr>
    </w:lvl>
  </w:abstractNum>
  <w:abstractNum w:abstractNumId="12">
    <w:nsid w:val="5B84304D"/>
    <w:multiLevelType w:val="multilevel"/>
    <w:tmpl w:val="90C2E5A0"/>
    <w:lvl w:ilvl="0">
      <w:start w:val="1"/>
      <w:numFmt w:val="upperLetter"/>
      <w:pStyle w:val="Background"/>
      <w:lvlText w:val="%1."/>
      <w:lvlJc w:val="left"/>
      <w:pPr>
        <w:tabs>
          <w:tab w:val="num" w:pos="720"/>
        </w:tabs>
        <w:ind w:left="720" w:hanging="720"/>
      </w:pPr>
      <w:rPr>
        <w:rFonts w:ascii="Arial" w:hAnsi="Arial" w:hint="default"/>
        <w:b/>
        <w:i w:val="0"/>
        <w:sz w:val="19"/>
      </w:rPr>
    </w:lvl>
    <w:lvl w:ilvl="1">
      <w:start w:val="1"/>
      <w:numFmt w:val="lowerRoman"/>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upperRoman"/>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1"/>
        </w:tabs>
        <w:ind w:left="4321" w:hanging="721"/>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72B61148"/>
    <w:multiLevelType w:val="multilevel"/>
    <w:tmpl w:val="F3FEF92C"/>
    <w:lvl w:ilvl="0">
      <w:start w:val="1"/>
      <w:numFmt w:val="bullet"/>
      <w:pStyle w:val="ListBullet2"/>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Symbol" w:hAnsi="Symbol" w:hint="default"/>
      </w:rPr>
    </w:lvl>
    <w:lvl w:ilvl="2">
      <w:start w:val="1"/>
      <w:numFmt w:val="bullet"/>
      <w:lvlText w:val=""/>
      <w:lvlJc w:val="left"/>
      <w:pPr>
        <w:tabs>
          <w:tab w:val="num" w:pos="2880"/>
        </w:tabs>
        <w:ind w:left="2880" w:hanging="720"/>
      </w:pPr>
      <w:rPr>
        <w:rFonts w:ascii="Symbol" w:hAnsi="Symbol" w:hint="default"/>
      </w:rPr>
    </w:lvl>
    <w:lvl w:ilvl="3">
      <w:start w:val="1"/>
      <w:numFmt w:val="bullet"/>
      <w:lvlText w:val=""/>
      <w:lvlJc w:val="left"/>
      <w:pPr>
        <w:tabs>
          <w:tab w:val="num" w:pos="3600"/>
        </w:tabs>
        <w:ind w:left="3600" w:hanging="720"/>
      </w:pPr>
      <w:rPr>
        <w:rFonts w:ascii="Symbol" w:hAnsi="Symbol" w:hint="default"/>
      </w:rPr>
    </w:lvl>
    <w:lvl w:ilvl="4">
      <w:start w:val="1"/>
      <w:numFmt w:val="bullet"/>
      <w:lvlText w:val=""/>
      <w:lvlJc w:val="left"/>
      <w:pPr>
        <w:tabs>
          <w:tab w:val="num" w:pos="4888"/>
        </w:tabs>
        <w:ind w:left="4888" w:hanging="1288"/>
      </w:pPr>
      <w:rPr>
        <w:rFonts w:ascii="Symbol" w:hAnsi="Symbol" w:hint="default"/>
      </w:rPr>
    </w:lvl>
    <w:lvl w:ilvl="5">
      <w:start w:val="1"/>
      <w:numFmt w:val="bullet"/>
      <w:lvlText w:val="-"/>
      <w:lvlJc w:val="left"/>
      <w:pPr>
        <w:tabs>
          <w:tab w:val="num" w:pos="4888"/>
        </w:tabs>
        <w:ind w:left="4888" w:hanging="1288"/>
      </w:pPr>
      <w:rPr>
        <w:rFonts w:ascii="Times New Roman" w:hAnsi="Times New Roman" w:hint="default"/>
      </w:rPr>
    </w:lvl>
    <w:lvl w:ilvl="6">
      <w:start w:val="1"/>
      <w:numFmt w:val="bullet"/>
      <w:lvlText w:val=""/>
      <w:lvlJc w:val="left"/>
      <w:pPr>
        <w:tabs>
          <w:tab w:val="num" w:pos="5608"/>
        </w:tabs>
        <w:ind w:left="5608" w:hanging="720"/>
      </w:pPr>
      <w:rPr>
        <w:rFonts w:ascii="Wingdings" w:hAnsi="Wingdings" w:hint="default"/>
      </w:rPr>
    </w:lvl>
    <w:lvl w:ilvl="7">
      <w:start w:val="1"/>
      <w:numFmt w:val="bullet"/>
      <w:lvlText w:val=""/>
      <w:lvlJc w:val="left"/>
      <w:pPr>
        <w:tabs>
          <w:tab w:val="num" w:pos="6328"/>
        </w:tabs>
        <w:ind w:left="6328" w:hanging="720"/>
      </w:pPr>
      <w:rPr>
        <w:rFonts w:ascii="Symbol" w:hAnsi="Symbol" w:hint="default"/>
      </w:rPr>
    </w:lvl>
    <w:lvl w:ilvl="8">
      <w:start w:val="1"/>
      <w:numFmt w:val="bullet"/>
      <w:lvlText w:val=""/>
      <w:lvlJc w:val="left"/>
      <w:pPr>
        <w:tabs>
          <w:tab w:val="num" w:pos="7048"/>
        </w:tabs>
        <w:ind w:left="7048" w:hanging="720"/>
      </w:pPr>
      <w:rPr>
        <w:rFonts w:ascii="Symbol" w:hAnsi="Symbol" w:hint="default"/>
      </w:rPr>
    </w:lvl>
  </w:abstractNum>
  <w:num w:numId="1">
    <w:abstractNumId w:val="6"/>
  </w:num>
  <w:num w:numId="2">
    <w:abstractNumId w:val="9"/>
  </w:num>
  <w:num w:numId="3">
    <w:abstractNumId w:val="13"/>
  </w:num>
  <w:num w:numId="4">
    <w:abstractNumId w:val="10"/>
  </w:num>
  <w:num w:numId="5">
    <w:abstractNumId w:val="7"/>
  </w:num>
  <w:num w:numId="6">
    <w:abstractNumId w:val="11"/>
  </w:num>
  <w:num w:numId="7">
    <w:abstractNumId w:val="8"/>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revisionView w:markup="0"/>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C3"/>
    <w:rsid w:val="000058F1"/>
    <w:rsid w:val="00007868"/>
    <w:rsid w:val="000B02DA"/>
    <w:rsid w:val="000D07AE"/>
    <w:rsid w:val="00133509"/>
    <w:rsid w:val="00146527"/>
    <w:rsid w:val="001753F5"/>
    <w:rsid w:val="001B6B96"/>
    <w:rsid w:val="001F6630"/>
    <w:rsid w:val="002359C0"/>
    <w:rsid w:val="002875A3"/>
    <w:rsid w:val="00287AA6"/>
    <w:rsid w:val="00291EE4"/>
    <w:rsid w:val="002B697C"/>
    <w:rsid w:val="002C02F2"/>
    <w:rsid w:val="002C4C73"/>
    <w:rsid w:val="00317563"/>
    <w:rsid w:val="003205C4"/>
    <w:rsid w:val="0032326E"/>
    <w:rsid w:val="00347C1C"/>
    <w:rsid w:val="003614D8"/>
    <w:rsid w:val="00393545"/>
    <w:rsid w:val="003F2BB9"/>
    <w:rsid w:val="00403D66"/>
    <w:rsid w:val="004A5C96"/>
    <w:rsid w:val="004B10EB"/>
    <w:rsid w:val="004B5EA7"/>
    <w:rsid w:val="004B7438"/>
    <w:rsid w:val="004D068E"/>
    <w:rsid w:val="005252AA"/>
    <w:rsid w:val="00541B05"/>
    <w:rsid w:val="005545AD"/>
    <w:rsid w:val="00621F9C"/>
    <w:rsid w:val="006741F9"/>
    <w:rsid w:val="006A31CB"/>
    <w:rsid w:val="006B18C6"/>
    <w:rsid w:val="006E2E76"/>
    <w:rsid w:val="007569F4"/>
    <w:rsid w:val="00766CC3"/>
    <w:rsid w:val="008340EE"/>
    <w:rsid w:val="008421DF"/>
    <w:rsid w:val="00857193"/>
    <w:rsid w:val="00882FD4"/>
    <w:rsid w:val="008F07B7"/>
    <w:rsid w:val="00940081"/>
    <w:rsid w:val="00993C05"/>
    <w:rsid w:val="00A04A7A"/>
    <w:rsid w:val="00A176B9"/>
    <w:rsid w:val="00A37D75"/>
    <w:rsid w:val="00A91E6D"/>
    <w:rsid w:val="00AA1393"/>
    <w:rsid w:val="00AB102C"/>
    <w:rsid w:val="00AB48D3"/>
    <w:rsid w:val="00B14612"/>
    <w:rsid w:val="00B21882"/>
    <w:rsid w:val="00B64208"/>
    <w:rsid w:val="00B81E9B"/>
    <w:rsid w:val="00BA684B"/>
    <w:rsid w:val="00C13004"/>
    <w:rsid w:val="00C202BD"/>
    <w:rsid w:val="00C72544"/>
    <w:rsid w:val="00C852C9"/>
    <w:rsid w:val="00C90B65"/>
    <w:rsid w:val="00CA24F8"/>
    <w:rsid w:val="00CC33CD"/>
    <w:rsid w:val="00CE08C7"/>
    <w:rsid w:val="00D034F1"/>
    <w:rsid w:val="00D0699A"/>
    <w:rsid w:val="00D14EC2"/>
    <w:rsid w:val="00D6168C"/>
    <w:rsid w:val="00D71470"/>
    <w:rsid w:val="00DA3034"/>
    <w:rsid w:val="00DC6648"/>
    <w:rsid w:val="00DE7DA5"/>
    <w:rsid w:val="00DF67AD"/>
    <w:rsid w:val="00E241D7"/>
    <w:rsid w:val="00E3765A"/>
    <w:rsid w:val="00E4617F"/>
    <w:rsid w:val="00E81B49"/>
    <w:rsid w:val="00EB3EB4"/>
    <w:rsid w:val="00EC097F"/>
    <w:rsid w:val="00EC1A91"/>
    <w:rsid w:val="00F152AB"/>
    <w:rsid w:val="00F34267"/>
    <w:rsid w:val="00F5348B"/>
    <w:rsid w:val="00F72CFB"/>
    <w:rsid w:val="00FA15A8"/>
    <w:rsid w:val="00FD0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40" w:lineRule="exact"/>
      <w:jc w:val="both"/>
    </w:pPr>
    <w:rPr>
      <w:sz w:val="23"/>
      <w:lang w:eastAsia="en-US"/>
    </w:rPr>
  </w:style>
  <w:style w:type="paragraph" w:styleId="Heading1">
    <w:name w:val="heading 1"/>
    <w:basedOn w:val="Normal"/>
    <w:next w:val="Normal"/>
    <w:qFormat/>
    <w:pPr>
      <w:keepNext/>
      <w:numPr>
        <w:numId w:val="6"/>
      </w:numPr>
      <w:spacing w:after="340"/>
      <w:outlineLvl w:val="0"/>
    </w:pPr>
    <w:rPr>
      <w:rFonts w:ascii="Arial" w:hAnsi="Arial"/>
      <w:b/>
      <w:caps/>
      <w:kern w:val="28"/>
      <w:sz w:val="19"/>
    </w:rPr>
  </w:style>
  <w:style w:type="paragraph" w:styleId="Heading2">
    <w:name w:val="heading 2"/>
    <w:basedOn w:val="Normal"/>
    <w:next w:val="Normal"/>
    <w:qFormat/>
    <w:pPr>
      <w:numPr>
        <w:ilvl w:val="1"/>
        <w:numId w:val="6"/>
      </w:numPr>
      <w:spacing w:after="340"/>
      <w:outlineLvl w:val="1"/>
    </w:pPr>
  </w:style>
  <w:style w:type="paragraph" w:styleId="Heading3">
    <w:name w:val="heading 3"/>
    <w:basedOn w:val="Normal"/>
    <w:next w:val="Normal"/>
    <w:qFormat/>
    <w:pPr>
      <w:numPr>
        <w:ilvl w:val="2"/>
        <w:numId w:val="6"/>
      </w:numPr>
      <w:spacing w:after="340"/>
      <w:outlineLvl w:val="2"/>
    </w:pPr>
  </w:style>
  <w:style w:type="paragraph" w:styleId="Heading4">
    <w:name w:val="heading 4"/>
    <w:basedOn w:val="Normal"/>
    <w:next w:val="Normal"/>
    <w:link w:val="Heading4Char"/>
    <w:qFormat/>
    <w:pPr>
      <w:numPr>
        <w:ilvl w:val="3"/>
        <w:numId w:val="6"/>
      </w:numPr>
      <w:spacing w:after="340"/>
      <w:outlineLvl w:val="3"/>
    </w:pPr>
  </w:style>
  <w:style w:type="paragraph" w:styleId="Heading5">
    <w:name w:val="heading 5"/>
    <w:basedOn w:val="Normal"/>
    <w:next w:val="Normal"/>
    <w:qFormat/>
    <w:pPr>
      <w:numPr>
        <w:ilvl w:val="4"/>
        <w:numId w:val="6"/>
      </w:numPr>
      <w:spacing w:after="340"/>
      <w:outlineLvl w:val="4"/>
    </w:pPr>
  </w:style>
  <w:style w:type="paragraph" w:styleId="Heading6">
    <w:name w:val="heading 6"/>
    <w:basedOn w:val="Normal"/>
    <w:next w:val="Normal"/>
    <w:qFormat/>
    <w:pPr>
      <w:numPr>
        <w:ilvl w:val="5"/>
        <w:numId w:val="6"/>
      </w:numPr>
      <w:spacing w:after="340"/>
      <w:outlineLvl w:val="5"/>
    </w:pPr>
  </w:style>
  <w:style w:type="paragraph" w:styleId="Heading7">
    <w:name w:val="heading 7"/>
    <w:basedOn w:val="Normal"/>
    <w:next w:val="Normal"/>
    <w:qFormat/>
    <w:pPr>
      <w:numPr>
        <w:ilvl w:val="6"/>
        <w:numId w:val="6"/>
      </w:numPr>
      <w:spacing w:after="340"/>
      <w:outlineLvl w:val="6"/>
    </w:pPr>
  </w:style>
  <w:style w:type="paragraph" w:styleId="Heading8">
    <w:name w:val="heading 8"/>
    <w:basedOn w:val="Normal"/>
    <w:next w:val="Normal"/>
    <w:qFormat/>
    <w:pPr>
      <w:numPr>
        <w:ilvl w:val="7"/>
        <w:numId w:val="6"/>
      </w:numPr>
      <w:spacing w:after="340"/>
      <w:outlineLvl w:val="7"/>
    </w:pPr>
  </w:style>
  <w:style w:type="paragraph" w:styleId="Heading9">
    <w:name w:val="heading 9"/>
    <w:basedOn w:val="Normal"/>
    <w:next w:val="Normal"/>
    <w:qFormat/>
    <w:pPr>
      <w:numPr>
        <w:ilvl w:val="8"/>
        <w:numId w:val="6"/>
      </w:numPr>
      <w:spacing w:after="3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340"/>
    </w:pPr>
  </w:style>
  <w:style w:type="paragraph" w:styleId="ListBullet">
    <w:name w:val="List Bullet"/>
    <w:basedOn w:val="Normal"/>
    <w:semiHidden/>
    <w:pPr>
      <w:numPr>
        <w:numId w:val="5"/>
      </w:numPr>
      <w:tabs>
        <w:tab w:val="clear" w:pos="360"/>
        <w:tab w:val="left" w:pos="720"/>
      </w:tabs>
      <w:spacing w:after="340"/>
      <w:ind w:left="720" w:hanging="720"/>
    </w:pPr>
  </w:style>
  <w:style w:type="paragraph" w:styleId="TOC1">
    <w:name w:val="toc 1"/>
    <w:basedOn w:val="Normal"/>
    <w:next w:val="Normal"/>
    <w:semiHidden/>
    <w:pPr>
      <w:tabs>
        <w:tab w:val="right" w:pos="7371"/>
      </w:tabs>
      <w:spacing w:after="240" w:line="240" w:lineRule="exact"/>
      <w:ind w:left="454" w:hanging="454"/>
      <w:jc w:val="left"/>
    </w:pPr>
    <w:rPr>
      <w:rFonts w:ascii="Arial" w:hAnsi="Arial"/>
      <w:b/>
      <w:caps/>
      <w:sz w:val="19"/>
    </w:rPr>
  </w:style>
  <w:style w:type="character" w:customStyle="1" w:styleId="Subhead1">
    <w:name w:val="Subhead1"/>
    <w:basedOn w:val="DefaultParagraphFont"/>
    <w:rPr>
      <w:rFonts w:ascii="Arial" w:hAnsi="Arial"/>
      <w:b/>
      <w:spacing w:val="6"/>
      <w:sz w:val="19"/>
    </w:rPr>
  </w:style>
  <w:style w:type="paragraph" w:styleId="TOC2">
    <w:name w:val="toc 2"/>
    <w:basedOn w:val="Normal"/>
    <w:next w:val="Normal"/>
    <w:semiHidden/>
    <w:pPr>
      <w:tabs>
        <w:tab w:val="right" w:pos="7371"/>
      </w:tabs>
      <w:spacing w:after="240" w:line="240" w:lineRule="exact"/>
      <w:ind w:left="1174" w:hanging="720"/>
      <w:jc w:val="left"/>
    </w:pPr>
    <w:rPr>
      <w:rFonts w:ascii="Arial" w:hAnsi="Arial"/>
      <w:b/>
      <w:sz w:val="19"/>
    </w:rPr>
  </w:style>
  <w:style w:type="character" w:styleId="PageNumber">
    <w:name w:val="page number"/>
    <w:basedOn w:val="DefaultParagraphFont"/>
    <w:semiHidden/>
  </w:style>
  <w:style w:type="paragraph" w:styleId="Header">
    <w:name w:val="header"/>
    <w:basedOn w:val="Normal"/>
    <w:semiHidden/>
    <w:pPr>
      <w:spacing w:line="240" w:lineRule="auto"/>
    </w:pPr>
  </w:style>
  <w:style w:type="paragraph" w:styleId="Footer">
    <w:name w:val="footer"/>
    <w:basedOn w:val="Normal"/>
    <w:semiHidden/>
    <w:pPr>
      <w:spacing w:line="240" w:lineRule="auto"/>
    </w:pPr>
    <w:rPr>
      <w:sz w:val="16"/>
    </w:rPr>
  </w:style>
  <w:style w:type="paragraph" w:styleId="TOC3">
    <w:name w:val="toc 3"/>
    <w:basedOn w:val="Normal"/>
    <w:next w:val="Normal"/>
    <w:semiHidden/>
    <w:pPr>
      <w:tabs>
        <w:tab w:val="right" w:pos="7371"/>
      </w:tabs>
      <w:spacing w:after="240" w:line="240" w:lineRule="exact"/>
      <w:ind w:left="1174" w:hanging="720"/>
      <w:jc w:val="left"/>
    </w:pPr>
    <w:rPr>
      <w:rFonts w:ascii="Arial" w:hAnsi="Arial"/>
      <w:b/>
      <w:sz w:val="19"/>
    </w:rPr>
  </w:style>
  <w:style w:type="character" w:customStyle="1" w:styleId="Heading">
    <w:name w:val="Heading"/>
    <w:basedOn w:val="DefaultParagraphFont"/>
    <w:rPr>
      <w:rFonts w:ascii="Arial" w:hAnsi="Arial"/>
      <w:b/>
      <w:caps/>
      <w:noProof w:val="0"/>
      <w:sz w:val="19"/>
      <w:lang w:val="en-AU"/>
    </w:rPr>
  </w:style>
  <w:style w:type="paragraph" w:styleId="TOC4">
    <w:name w:val="toc 4"/>
    <w:basedOn w:val="Normal"/>
    <w:next w:val="Normal"/>
    <w:semiHidden/>
    <w:pPr>
      <w:tabs>
        <w:tab w:val="right" w:pos="7371"/>
      </w:tabs>
      <w:spacing w:after="240" w:line="240" w:lineRule="exact"/>
      <w:ind w:left="1854" w:hanging="720"/>
      <w:jc w:val="left"/>
    </w:pPr>
    <w:rPr>
      <w:sz w:val="21"/>
    </w:rPr>
  </w:style>
  <w:style w:type="paragraph" w:styleId="TOC5">
    <w:name w:val="toc 5"/>
    <w:basedOn w:val="Normal"/>
    <w:next w:val="Normal"/>
    <w:semiHidden/>
    <w:pPr>
      <w:tabs>
        <w:tab w:val="right" w:pos="7371"/>
      </w:tabs>
      <w:spacing w:after="240" w:line="240" w:lineRule="exact"/>
      <w:ind w:left="2466" w:hanging="720"/>
    </w:pPr>
    <w:rPr>
      <w:sz w:val="21"/>
    </w:rPr>
  </w:style>
  <w:style w:type="paragraph" w:styleId="TOC6">
    <w:name w:val="toc 6"/>
    <w:basedOn w:val="Normal"/>
    <w:next w:val="Normal"/>
    <w:semiHidden/>
    <w:pPr>
      <w:ind w:left="1150"/>
    </w:pPr>
  </w:style>
  <w:style w:type="paragraph" w:styleId="TOC7">
    <w:name w:val="toc 7"/>
    <w:basedOn w:val="Normal"/>
    <w:next w:val="Normal"/>
    <w:semiHidden/>
    <w:pPr>
      <w:ind w:left="1380"/>
    </w:pPr>
  </w:style>
  <w:style w:type="paragraph" w:styleId="TOC8">
    <w:name w:val="toc 8"/>
    <w:basedOn w:val="Normal"/>
    <w:next w:val="Normal"/>
    <w:semiHidden/>
    <w:pPr>
      <w:ind w:left="1610"/>
    </w:pPr>
  </w:style>
  <w:style w:type="paragraph" w:styleId="TOC9">
    <w:name w:val="toc 9"/>
    <w:basedOn w:val="Normal"/>
    <w:next w:val="Normal"/>
    <w:semiHidden/>
    <w:pPr>
      <w:ind w:left="1840"/>
    </w:pPr>
  </w:style>
  <w:style w:type="paragraph" w:customStyle="1" w:styleId="Powerpoint">
    <w:name w:val="Powerpoint"/>
    <w:basedOn w:val="Normal"/>
    <w:pPr>
      <w:spacing w:before="120" w:after="120" w:line="240" w:lineRule="auto"/>
    </w:pPr>
    <w:rPr>
      <w:rFonts w:ascii="Arial" w:hAnsi="Arial"/>
      <w:sz w:val="56"/>
    </w:rPr>
  </w:style>
  <w:style w:type="paragraph" w:customStyle="1" w:styleId="Comment">
    <w:name w:val="Comment"/>
    <w:basedOn w:val="Normal"/>
    <w:pPr>
      <w:pBdr>
        <w:top w:val="single" w:sz="18" w:space="1" w:color="auto"/>
        <w:left w:val="single" w:sz="18" w:space="1" w:color="auto"/>
        <w:bottom w:val="single" w:sz="18" w:space="1" w:color="auto"/>
        <w:right w:val="single" w:sz="18" w:space="1" w:color="auto"/>
      </w:pBdr>
      <w:shd w:val="pct5" w:color="auto" w:fill="auto"/>
      <w:spacing w:after="240" w:line="240" w:lineRule="auto"/>
    </w:pPr>
    <w:rPr>
      <w:rFonts w:ascii="Arial" w:hAnsi="Arial"/>
      <w:vanish/>
      <w:sz w:val="17"/>
    </w:rPr>
  </w:style>
  <w:style w:type="paragraph" w:styleId="ListNumber">
    <w:name w:val="List Number"/>
    <w:basedOn w:val="Normal"/>
    <w:semiHidden/>
    <w:pPr>
      <w:numPr>
        <w:numId w:val="1"/>
      </w:numPr>
      <w:spacing w:after="340"/>
    </w:pPr>
  </w:style>
  <w:style w:type="paragraph" w:styleId="ListNumber2">
    <w:name w:val="List Number 2"/>
    <w:basedOn w:val="Normal"/>
    <w:semiHidden/>
    <w:pPr>
      <w:numPr>
        <w:numId w:val="2"/>
      </w:numPr>
      <w:spacing w:after="340"/>
    </w:pPr>
  </w:style>
  <w:style w:type="paragraph" w:styleId="CommentText">
    <w:name w:val="annotation text"/>
    <w:basedOn w:val="Normal"/>
    <w:semiHidden/>
    <w:pPr>
      <w:pBdr>
        <w:top w:val="single" w:sz="18" w:space="1" w:color="auto"/>
        <w:left w:val="single" w:sz="18" w:space="4" w:color="auto"/>
        <w:bottom w:val="single" w:sz="18" w:space="1" w:color="auto"/>
        <w:right w:val="single" w:sz="18" w:space="4" w:color="auto"/>
      </w:pBdr>
      <w:shd w:val="pct5" w:color="auto" w:fill="auto"/>
    </w:pPr>
    <w:rPr>
      <w:rFonts w:ascii="Arial" w:hAnsi="Arial"/>
      <w:vanish/>
      <w:sz w:val="17"/>
      <w:effect w:val="antsRed"/>
    </w:rPr>
  </w:style>
  <w:style w:type="paragraph" w:styleId="EndnoteText">
    <w:name w:val="endnote text"/>
    <w:basedOn w:val="Normal"/>
    <w:semiHidden/>
    <w:pPr>
      <w:spacing w:line="240" w:lineRule="auto"/>
      <w:ind w:left="720" w:hanging="720"/>
    </w:pPr>
    <w:rPr>
      <w:sz w:val="20"/>
    </w:rPr>
  </w:style>
  <w:style w:type="paragraph" w:styleId="FootnoteText">
    <w:name w:val="footnote text"/>
    <w:basedOn w:val="Normal"/>
    <w:semiHidden/>
    <w:pPr>
      <w:spacing w:line="240" w:lineRule="auto"/>
      <w:ind w:left="720" w:hanging="720"/>
    </w:pPr>
    <w:rPr>
      <w:sz w:val="20"/>
    </w:rPr>
  </w:style>
  <w:style w:type="paragraph" w:styleId="ListBullet2">
    <w:name w:val="List Bullet 2"/>
    <w:basedOn w:val="Normal"/>
    <w:semiHidden/>
    <w:pPr>
      <w:numPr>
        <w:numId w:val="3"/>
      </w:numPr>
      <w:spacing w:after="340"/>
    </w:pPr>
  </w:style>
  <w:style w:type="character" w:customStyle="1" w:styleId="Subheading">
    <w:name w:val="Subheading"/>
    <w:basedOn w:val="DefaultParagraphFont"/>
    <w:rPr>
      <w:rFonts w:ascii="Arial" w:hAnsi="Arial"/>
      <w:b/>
      <w:sz w:val="19"/>
    </w:rPr>
  </w:style>
  <w:style w:type="paragraph" w:styleId="EnvelopeAddress">
    <w:name w:val="envelope address"/>
    <w:basedOn w:val="Normal"/>
    <w:semiHidden/>
    <w:pPr>
      <w:framePr w:w="7920" w:h="1980" w:hRule="exact" w:hSpace="180" w:wrap="auto" w:hAnchor="page" w:xAlign="center" w:yAlign="bottom"/>
      <w:ind w:left="2880"/>
    </w:pPr>
  </w:style>
  <w:style w:type="paragraph" w:styleId="BlockText">
    <w:name w:val="Block Text"/>
    <w:basedOn w:val="Normal"/>
    <w:semiHidden/>
    <w:pPr>
      <w:spacing w:after="340"/>
      <w:ind w:left="1440" w:right="1440"/>
    </w:pPr>
  </w:style>
  <w:style w:type="paragraph" w:styleId="Title">
    <w:name w:val="Title"/>
    <w:basedOn w:val="Normal"/>
    <w:qFormat/>
    <w:pPr>
      <w:spacing w:after="340"/>
      <w:outlineLvl w:val="0"/>
    </w:pPr>
    <w:rPr>
      <w:rFonts w:ascii="Arial" w:hAnsi="Arial"/>
      <w:b/>
      <w:kern w:val="28"/>
      <w:sz w:val="22"/>
    </w:rPr>
  </w:style>
  <w:style w:type="paragraph" w:customStyle="1" w:styleId="Instructions">
    <w:name w:val="Instructions"/>
    <w:basedOn w:val="Normal"/>
    <w:pPr>
      <w:numPr>
        <w:numId w:val="4"/>
      </w:numPr>
      <w:shd w:val="clear" w:color="auto" w:fill="FFFF00"/>
      <w:spacing w:line="240" w:lineRule="auto"/>
    </w:pPr>
    <w:rPr>
      <w:rFonts w:ascii="Arial" w:hAnsi="Arial"/>
      <w:b/>
      <w:sz w:val="17"/>
    </w:rPr>
  </w:style>
  <w:style w:type="character" w:styleId="Hyperlink">
    <w:name w:val="Hyperlink"/>
    <w:basedOn w:val="DefaultParagraphFont"/>
    <w:semiHidden/>
    <w:rPr>
      <w:color w:val="0000FF"/>
      <w:u w:val="single"/>
    </w:rPr>
  </w:style>
  <w:style w:type="paragraph" w:customStyle="1" w:styleId="Background">
    <w:name w:val="Background"/>
    <w:basedOn w:val="Normal"/>
    <w:pPr>
      <w:numPr>
        <w:numId w:val="8"/>
      </w:numPr>
      <w:spacing w:after="340"/>
    </w:pPr>
  </w:style>
  <w:style w:type="paragraph" w:customStyle="1" w:styleId="Parties">
    <w:name w:val="Parties"/>
    <w:pPr>
      <w:numPr>
        <w:numId w:val="7"/>
      </w:numPr>
      <w:spacing w:after="340" w:line="340" w:lineRule="exact"/>
    </w:pPr>
    <w:rPr>
      <w:sz w:val="23"/>
      <w:lang w:eastAsia="en-US"/>
    </w:rPr>
  </w:style>
  <w:style w:type="paragraph" w:customStyle="1" w:styleId="MajorHeading">
    <w:name w:val="MajorHeading"/>
    <w:basedOn w:val="Normal"/>
    <w:next w:val="Normal"/>
    <w:pPr>
      <w:spacing w:after="340"/>
    </w:pPr>
    <w:rPr>
      <w:rFonts w:ascii="Arial" w:hAnsi="Arial"/>
      <w:b/>
      <w:caps/>
      <w:sz w:val="22"/>
    </w:rPr>
  </w:style>
  <w:style w:type="paragraph" w:styleId="Caption">
    <w:name w:val="caption"/>
    <w:basedOn w:val="Normal"/>
    <w:next w:val="Normal"/>
    <w:qFormat/>
    <w:pPr>
      <w:spacing w:after="340"/>
    </w:pPr>
    <w:rPr>
      <w:rFonts w:ascii="Arial" w:hAnsi="Arial"/>
      <w:b/>
      <w:sz w:val="19"/>
    </w:rPr>
  </w:style>
  <w:style w:type="character" w:styleId="Emphasis">
    <w:name w:val="Emphasis"/>
    <w:basedOn w:val="DefaultParagraphFont"/>
    <w:qFormat/>
    <w:rPr>
      <w:i/>
    </w:rPr>
  </w:style>
  <w:style w:type="paragraph" w:customStyle="1" w:styleId="coverTitle">
    <w:name w:val="coverTitle"/>
    <w:basedOn w:val="Normal"/>
    <w:pPr>
      <w:spacing w:after="360" w:line="360" w:lineRule="exact"/>
      <w:jc w:val="center"/>
    </w:pPr>
    <w:rPr>
      <w:rFonts w:ascii="Arial" w:hAnsi="Arial"/>
      <w:b/>
      <w:sz w:val="32"/>
      <w:lang w:val="en-US"/>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velopeReturn">
    <w:name w:val="envelope return"/>
    <w:basedOn w:val="Normal"/>
    <w:semiHidden/>
    <w:rPr>
      <w:rFonts w:ascii="Arial" w:hAnsi="Arial" w:cs="Arial"/>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3">
    <w:name w:val="List Bullet 3"/>
    <w:basedOn w:val="Normal"/>
    <w:autoRedefine/>
    <w:semiHidden/>
    <w:pPr>
      <w:numPr>
        <w:numId w:val="11"/>
      </w:numPr>
    </w:pPr>
  </w:style>
  <w:style w:type="paragraph" w:styleId="ListBullet4">
    <w:name w:val="List Bullet 4"/>
    <w:basedOn w:val="Normal"/>
    <w:autoRedefine/>
    <w:semiHidden/>
    <w:pPr>
      <w:numPr>
        <w:numId w:val="12"/>
      </w:numPr>
    </w:pPr>
  </w:style>
  <w:style w:type="paragraph" w:styleId="ListBullet5">
    <w:name w:val="List Bullet 5"/>
    <w:basedOn w:val="Normal"/>
    <w:autoRedefine/>
    <w:semiHidden/>
    <w:pPr>
      <w:numPr>
        <w:numId w:val="1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340" w:lineRule="exact"/>
      <w:jc w:val="both"/>
    </w:pPr>
    <w:rPr>
      <w:rFonts w:ascii="Courier New" w:hAnsi="Courier New" w:cs="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30" w:hanging="230"/>
    </w:pPr>
  </w:style>
  <w:style w:type="paragraph" w:styleId="TableofFigures">
    <w:name w:val="table of figures"/>
    <w:basedOn w:val="Normal"/>
    <w:next w:val="Normal"/>
    <w:semiHidden/>
    <w:pPr>
      <w:ind w:left="460" w:hanging="460"/>
    </w:p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link w:val="BalloonTextChar"/>
    <w:uiPriority w:val="99"/>
    <w:semiHidden/>
    <w:unhideWhenUsed/>
    <w:rsid w:val="006741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1F9"/>
    <w:rPr>
      <w:rFonts w:ascii="Tahoma" w:hAnsi="Tahoma" w:cs="Tahoma"/>
      <w:sz w:val="16"/>
      <w:szCs w:val="16"/>
      <w:lang w:eastAsia="en-US"/>
    </w:rPr>
  </w:style>
  <w:style w:type="character" w:customStyle="1" w:styleId="Heading4Char">
    <w:name w:val="Heading 4 Char"/>
    <w:link w:val="Heading4"/>
    <w:rsid w:val="002359C0"/>
    <w:rPr>
      <w:sz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40" w:lineRule="exact"/>
      <w:jc w:val="both"/>
    </w:pPr>
    <w:rPr>
      <w:sz w:val="23"/>
      <w:lang w:eastAsia="en-US"/>
    </w:rPr>
  </w:style>
  <w:style w:type="paragraph" w:styleId="Heading1">
    <w:name w:val="heading 1"/>
    <w:basedOn w:val="Normal"/>
    <w:next w:val="Normal"/>
    <w:qFormat/>
    <w:pPr>
      <w:keepNext/>
      <w:numPr>
        <w:numId w:val="6"/>
      </w:numPr>
      <w:spacing w:after="340"/>
      <w:outlineLvl w:val="0"/>
    </w:pPr>
    <w:rPr>
      <w:rFonts w:ascii="Arial" w:hAnsi="Arial"/>
      <w:b/>
      <w:caps/>
      <w:kern w:val="28"/>
      <w:sz w:val="19"/>
    </w:rPr>
  </w:style>
  <w:style w:type="paragraph" w:styleId="Heading2">
    <w:name w:val="heading 2"/>
    <w:basedOn w:val="Normal"/>
    <w:next w:val="Normal"/>
    <w:qFormat/>
    <w:pPr>
      <w:numPr>
        <w:ilvl w:val="1"/>
        <w:numId w:val="6"/>
      </w:numPr>
      <w:spacing w:after="340"/>
      <w:outlineLvl w:val="1"/>
    </w:pPr>
  </w:style>
  <w:style w:type="paragraph" w:styleId="Heading3">
    <w:name w:val="heading 3"/>
    <w:basedOn w:val="Normal"/>
    <w:next w:val="Normal"/>
    <w:qFormat/>
    <w:pPr>
      <w:numPr>
        <w:ilvl w:val="2"/>
        <w:numId w:val="6"/>
      </w:numPr>
      <w:spacing w:after="340"/>
      <w:outlineLvl w:val="2"/>
    </w:pPr>
  </w:style>
  <w:style w:type="paragraph" w:styleId="Heading4">
    <w:name w:val="heading 4"/>
    <w:basedOn w:val="Normal"/>
    <w:next w:val="Normal"/>
    <w:link w:val="Heading4Char"/>
    <w:qFormat/>
    <w:pPr>
      <w:numPr>
        <w:ilvl w:val="3"/>
        <w:numId w:val="6"/>
      </w:numPr>
      <w:spacing w:after="340"/>
      <w:outlineLvl w:val="3"/>
    </w:pPr>
  </w:style>
  <w:style w:type="paragraph" w:styleId="Heading5">
    <w:name w:val="heading 5"/>
    <w:basedOn w:val="Normal"/>
    <w:next w:val="Normal"/>
    <w:qFormat/>
    <w:pPr>
      <w:numPr>
        <w:ilvl w:val="4"/>
        <w:numId w:val="6"/>
      </w:numPr>
      <w:spacing w:after="340"/>
      <w:outlineLvl w:val="4"/>
    </w:pPr>
  </w:style>
  <w:style w:type="paragraph" w:styleId="Heading6">
    <w:name w:val="heading 6"/>
    <w:basedOn w:val="Normal"/>
    <w:next w:val="Normal"/>
    <w:qFormat/>
    <w:pPr>
      <w:numPr>
        <w:ilvl w:val="5"/>
        <w:numId w:val="6"/>
      </w:numPr>
      <w:spacing w:after="340"/>
      <w:outlineLvl w:val="5"/>
    </w:pPr>
  </w:style>
  <w:style w:type="paragraph" w:styleId="Heading7">
    <w:name w:val="heading 7"/>
    <w:basedOn w:val="Normal"/>
    <w:next w:val="Normal"/>
    <w:qFormat/>
    <w:pPr>
      <w:numPr>
        <w:ilvl w:val="6"/>
        <w:numId w:val="6"/>
      </w:numPr>
      <w:spacing w:after="340"/>
      <w:outlineLvl w:val="6"/>
    </w:pPr>
  </w:style>
  <w:style w:type="paragraph" w:styleId="Heading8">
    <w:name w:val="heading 8"/>
    <w:basedOn w:val="Normal"/>
    <w:next w:val="Normal"/>
    <w:qFormat/>
    <w:pPr>
      <w:numPr>
        <w:ilvl w:val="7"/>
        <w:numId w:val="6"/>
      </w:numPr>
      <w:spacing w:after="340"/>
      <w:outlineLvl w:val="7"/>
    </w:pPr>
  </w:style>
  <w:style w:type="paragraph" w:styleId="Heading9">
    <w:name w:val="heading 9"/>
    <w:basedOn w:val="Normal"/>
    <w:next w:val="Normal"/>
    <w:qFormat/>
    <w:pPr>
      <w:numPr>
        <w:ilvl w:val="8"/>
        <w:numId w:val="6"/>
      </w:numPr>
      <w:spacing w:after="3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340"/>
    </w:pPr>
  </w:style>
  <w:style w:type="paragraph" w:styleId="ListBullet">
    <w:name w:val="List Bullet"/>
    <w:basedOn w:val="Normal"/>
    <w:semiHidden/>
    <w:pPr>
      <w:numPr>
        <w:numId w:val="5"/>
      </w:numPr>
      <w:tabs>
        <w:tab w:val="clear" w:pos="360"/>
        <w:tab w:val="left" w:pos="720"/>
      </w:tabs>
      <w:spacing w:after="340"/>
      <w:ind w:left="720" w:hanging="720"/>
    </w:pPr>
  </w:style>
  <w:style w:type="paragraph" w:styleId="TOC1">
    <w:name w:val="toc 1"/>
    <w:basedOn w:val="Normal"/>
    <w:next w:val="Normal"/>
    <w:semiHidden/>
    <w:pPr>
      <w:tabs>
        <w:tab w:val="right" w:pos="7371"/>
      </w:tabs>
      <w:spacing w:after="240" w:line="240" w:lineRule="exact"/>
      <w:ind w:left="454" w:hanging="454"/>
      <w:jc w:val="left"/>
    </w:pPr>
    <w:rPr>
      <w:rFonts w:ascii="Arial" w:hAnsi="Arial"/>
      <w:b/>
      <w:caps/>
      <w:sz w:val="19"/>
    </w:rPr>
  </w:style>
  <w:style w:type="character" w:customStyle="1" w:styleId="Subhead1">
    <w:name w:val="Subhead1"/>
    <w:basedOn w:val="DefaultParagraphFont"/>
    <w:rPr>
      <w:rFonts w:ascii="Arial" w:hAnsi="Arial"/>
      <w:b/>
      <w:spacing w:val="6"/>
      <w:sz w:val="19"/>
    </w:rPr>
  </w:style>
  <w:style w:type="paragraph" w:styleId="TOC2">
    <w:name w:val="toc 2"/>
    <w:basedOn w:val="Normal"/>
    <w:next w:val="Normal"/>
    <w:semiHidden/>
    <w:pPr>
      <w:tabs>
        <w:tab w:val="right" w:pos="7371"/>
      </w:tabs>
      <w:spacing w:after="240" w:line="240" w:lineRule="exact"/>
      <w:ind w:left="1174" w:hanging="720"/>
      <w:jc w:val="left"/>
    </w:pPr>
    <w:rPr>
      <w:rFonts w:ascii="Arial" w:hAnsi="Arial"/>
      <w:b/>
      <w:sz w:val="19"/>
    </w:rPr>
  </w:style>
  <w:style w:type="character" w:styleId="PageNumber">
    <w:name w:val="page number"/>
    <w:basedOn w:val="DefaultParagraphFont"/>
    <w:semiHidden/>
  </w:style>
  <w:style w:type="paragraph" w:styleId="Header">
    <w:name w:val="header"/>
    <w:basedOn w:val="Normal"/>
    <w:semiHidden/>
    <w:pPr>
      <w:spacing w:line="240" w:lineRule="auto"/>
    </w:pPr>
  </w:style>
  <w:style w:type="paragraph" w:styleId="Footer">
    <w:name w:val="footer"/>
    <w:basedOn w:val="Normal"/>
    <w:semiHidden/>
    <w:pPr>
      <w:spacing w:line="240" w:lineRule="auto"/>
    </w:pPr>
    <w:rPr>
      <w:sz w:val="16"/>
    </w:rPr>
  </w:style>
  <w:style w:type="paragraph" w:styleId="TOC3">
    <w:name w:val="toc 3"/>
    <w:basedOn w:val="Normal"/>
    <w:next w:val="Normal"/>
    <w:semiHidden/>
    <w:pPr>
      <w:tabs>
        <w:tab w:val="right" w:pos="7371"/>
      </w:tabs>
      <w:spacing w:after="240" w:line="240" w:lineRule="exact"/>
      <w:ind w:left="1174" w:hanging="720"/>
      <w:jc w:val="left"/>
    </w:pPr>
    <w:rPr>
      <w:rFonts w:ascii="Arial" w:hAnsi="Arial"/>
      <w:b/>
      <w:sz w:val="19"/>
    </w:rPr>
  </w:style>
  <w:style w:type="character" w:customStyle="1" w:styleId="Heading">
    <w:name w:val="Heading"/>
    <w:basedOn w:val="DefaultParagraphFont"/>
    <w:rPr>
      <w:rFonts w:ascii="Arial" w:hAnsi="Arial"/>
      <w:b/>
      <w:caps/>
      <w:noProof w:val="0"/>
      <w:sz w:val="19"/>
      <w:lang w:val="en-AU"/>
    </w:rPr>
  </w:style>
  <w:style w:type="paragraph" w:styleId="TOC4">
    <w:name w:val="toc 4"/>
    <w:basedOn w:val="Normal"/>
    <w:next w:val="Normal"/>
    <w:semiHidden/>
    <w:pPr>
      <w:tabs>
        <w:tab w:val="right" w:pos="7371"/>
      </w:tabs>
      <w:spacing w:after="240" w:line="240" w:lineRule="exact"/>
      <w:ind w:left="1854" w:hanging="720"/>
      <w:jc w:val="left"/>
    </w:pPr>
    <w:rPr>
      <w:sz w:val="21"/>
    </w:rPr>
  </w:style>
  <w:style w:type="paragraph" w:styleId="TOC5">
    <w:name w:val="toc 5"/>
    <w:basedOn w:val="Normal"/>
    <w:next w:val="Normal"/>
    <w:semiHidden/>
    <w:pPr>
      <w:tabs>
        <w:tab w:val="right" w:pos="7371"/>
      </w:tabs>
      <w:spacing w:after="240" w:line="240" w:lineRule="exact"/>
      <w:ind w:left="2466" w:hanging="720"/>
    </w:pPr>
    <w:rPr>
      <w:sz w:val="21"/>
    </w:rPr>
  </w:style>
  <w:style w:type="paragraph" w:styleId="TOC6">
    <w:name w:val="toc 6"/>
    <w:basedOn w:val="Normal"/>
    <w:next w:val="Normal"/>
    <w:semiHidden/>
    <w:pPr>
      <w:ind w:left="1150"/>
    </w:pPr>
  </w:style>
  <w:style w:type="paragraph" w:styleId="TOC7">
    <w:name w:val="toc 7"/>
    <w:basedOn w:val="Normal"/>
    <w:next w:val="Normal"/>
    <w:semiHidden/>
    <w:pPr>
      <w:ind w:left="1380"/>
    </w:pPr>
  </w:style>
  <w:style w:type="paragraph" w:styleId="TOC8">
    <w:name w:val="toc 8"/>
    <w:basedOn w:val="Normal"/>
    <w:next w:val="Normal"/>
    <w:semiHidden/>
    <w:pPr>
      <w:ind w:left="1610"/>
    </w:pPr>
  </w:style>
  <w:style w:type="paragraph" w:styleId="TOC9">
    <w:name w:val="toc 9"/>
    <w:basedOn w:val="Normal"/>
    <w:next w:val="Normal"/>
    <w:semiHidden/>
    <w:pPr>
      <w:ind w:left="1840"/>
    </w:pPr>
  </w:style>
  <w:style w:type="paragraph" w:customStyle="1" w:styleId="Powerpoint">
    <w:name w:val="Powerpoint"/>
    <w:basedOn w:val="Normal"/>
    <w:pPr>
      <w:spacing w:before="120" w:after="120" w:line="240" w:lineRule="auto"/>
    </w:pPr>
    <w:rPr>
      <w:rFonts w:ascii="Arial" w:hAnsi="Arial"/>
      <w:sz w:val="56"/>
    </w:rPr>
  </w:style>
  <w:style w:type="paragraph" w:customStyle="1" w:styleId="Comment">
    <w:name w:val="Comment"/>
    <w:basedOn w:val="Normal"/>
    <w:pPr>
      <w:pBdr>
        <w:top w:val="single" w:sz="18" w:space="1" w:color="auto"/>
        <w:left w:val="single" w:sz="18" w:space="1" w:color="auto"/>
        <w:bottom w:val="single" w:sz="18" w:space="1" w:color="auto"/>
        <w:right w:val="single" w:sz="18" w:space="1" w:color="auto"/>
      </w:pBdr>
      <w:shd w:val="pct5" w:color="auto" w:fill="auto"/>
      <w:spacing w:after="240" w:line="240" w:lineRule="auto"/>
    </w:pPr>
    <w:rPr>
      <w:rFonts w:ascii="Arial" w:hAnsi="Arial"/>
      <w:vanish/>
      <w:sz w:val="17"/>
    </w:rPr>
  </w:style>
  <w:style w:type="paragraph" w:styleId="ListNumber">
    <w:name w:val="List Number"/>
    <w:basedOn w:val="Normal"/>
    <w:semiHidden/>
    <w:pPr>
      <w:numPr>
        <w:numId w:val="1"/>
      </w:numPr>
      <w:spacing w:after="340"/>
    </w:pPr>
  </w:style>
  <w:style w:type="paragraph" w:styleId="ListNumber2">
    <w:name w:val="List Number 2"/>
    <w:basedOn w:val="Normal"/>
    <w:semiHidden/>
    <w:pPr>
      <w:numPr>
        <w:numId w:val="2"/>
      </w:numPr>
      <w:spacing w:after="340"/>
    </w:pPr>
  </w:style>
  <w:style w:type="paragraph" w:styleId="CommentText">
    <w:name w:val="annotation text"/>
    <w:basedOn w:val="Normal"/>
    <w:semiHidden/>
    <w:pPr>
      <w:pBdr>
        <w:top w:val="single" w:sz="18" w:space="1" w:color="auto"/>
        <w:left w:val="single" w:sz="18" w:space="4" w:color="auto"/>
        <w:bottom w:val="single" w:sz="18" w:space="1" w:color="auto"/>
        <w:right w:val="single" w:sz="18" w:space="4" w:color="auto"/>
      </w:pBdr>
      <w:shd w:val="pct5" w:color="auto" w:fill="auto"/>
    </w:pPr>
    <w:rPr>
      <w:rFonts w:ascii="Arial" w:hAnsi="Arial"/>
      <w:vanish/>
      <w:sz w:val="17"/>
      <w:effect w:val="antsRed"/>
    </w:rPr>
  </w:style>
  <w:style w:type="paragraph" w:styleId="EndnoteText">
    <w:name w:val="endnote text"/>
    <w:basedOn w:val="Normal"/>
    <w:semiHidden/>
    <w:pPr>
      <w:spacing w:line="240" w:lineRule="auto"/>
      <w:ind w:left="720" w:hanging="720"/>
    </w:pPr>
    <w:rPr>
      <w:sz w:val="20"/>
    </w:rPr>
  </w:style>
  <w:style w:type="paragraph" w:styleId="FootnoteText">
    <w:name w:val="footnote text"/>
    <w:basedOn w:val="Normal"/>
    <w:semiHidden/>
    <w:pPr>
      <w:spacing w:line="240" w:lineRule="auto"/>
      <w:ind w:left="720" w:hanging="720"/>
    </w:pPr>
    <w:rPr>
      <w:sz w:val="20"/>
    </w:rPr>
  </w:style>
  <w:style w:type="paragraph" w:styleId="ListBullet2">
    <w:name w:val="List Bullet 2"/>
    <w:basedOn w:val="Normal"/>
    <w:semiHidden/>
    <w:pPr>
      <w:numPr>
        <w:numId w:val="3"/>
      </w:numPr>
      <w:spacing w:after="340"/>
    </w:pPr>
  </w:style>
  <w:style w:type="character" w:customStyle="1" w:styleId="Subheading">
    <w:name w:val="Subheading"/>
    <w:basedOn w:val="DefaultParagraphFont"/>
    <w:rPr>
      <w:rFonts w:ascii="Arial" w:hAnsi="Arial"/>
      <w:b/>
      <w:sz w:val="19"/>
    </w:rPr>
  </w:style>
  <w:style w:type="paragraph" w:styleId="EnvelopeAddress">
    <w:name w:val="envelope address"/>
    <w:basedOn w:val="Normal"/>
    <w:semiHidden/>
    <w:pPr>
      <w:framePr w:w="7920" w:h="1980" w:hRule="exact" w:hSpace="180" w:wrap="auto" w:hAnchor="page" w:xAlign="center" w:yAlign="bottom"/>
      <w:ind w:left="2880"/>
    </w:pPr>
  </w:style>
  <w:style w:type="paragraph" w:styleId="BlockText">
    <w:name w:val="Block Text"/>
    <w:basedOn w:val="Normal"/>
    <w:semiHidden/>
    <w:pPr>
      <w:spacing w:after="340"/>
      <w:ind w:left="1440" w:right="1440"/>
    </w:pPr>
  </w:style>
  <w:style w:type="paragraph" w:styleId="Title">
    <w:name w:val="Title"/>
    <w:basedOn w:val="Normal"/>
    <w:qFormat/>
    <w:pPr>
      <w:spacing w:after="340"/>
      <w:outlineLvl w:val="0"/>
    </w:pPr>
    <w:rPr>
      <w:rFonts w:ascii="Arial" w:hAnsi="Arial"/>
      <w:b/>
      <w:kern w:val="28"/>
      <w:sz w:val="22"/>
    </w:rPr>
  </w:style>
  <w:style w:type="paragraph" w:customStyle="1" w:styleId="Instructions">
    <w:name w:val="Instructions"/>
    <w:basedOn w:val="Normal"/>
    <w:pPr>
      <w:numPr>
        <w:numId w:val="4"/>
      </w:numPr>
      <w:shd w:val="clear" w:color="auto" w:fill="FFFF00"/>
      <w:spacing w:line="240" w:lineRule="auto"/>
    </w:pPr>
    <w:rPr>
      <w:rFonts w:ascii="Arial" w:hAnsi="Arial"/>
      <w:b/>
      <w:sz w:val="17"/>
    </w:rPr>
  </w:style>
  <w:style w:type="character" w:styleId="Hyperlink">
    <w:name w:val="Hyperlink"/>
    <w:basedOn w:val="DefaultParagraphFont"/>
    <w:semiHidden/>
    <w:rPr>
      <w:color w:val="0000FF"/>
      <w:u w:val="single"/>
    </w:rPr>
  </w:style>
  <w:style w:type="paragraph" w:customStyle="1" w:styleId="Background">
    <w:name w:val="Background"/>
    <w:basedOn w:val="Normal"/>
    <w:pPr>
      <w:numPr>
        <w:numId w:val="8"/>
      </w:numPr>
      <w:spacing w:after="340"/>
    </w:pPr>
  </w:style>
  <w:style w:type="paragraph" w:customStyle="1" w:styleId="Parties">
    <w:name w:val="Parties"/>
    <w:pPr>
      <w:numPr>
        <w:numId w:val="7"/>
      </w:numPr>
      <w:spacing w:after="340" w:line="340" w:lineRule="exact"/>
    </w:pPr>
    <w:rPr>
      <w:sz w:val="23"/>
      <w:lang w:eastAsia="en-US"/>
    </w:rPr>
  </w:style>
  <w:style w:type="paragraph" w:customStyle="1" w:styleId="MajorHeading">
    <w:name w:val="MajorHeading"/>
    <w:basedOn w:val="Normal"/>
    <w:next w:val="Normal"/>
    <w:pPr>
      <w:spacing w:after="340"/>
    </w:pPr>
    <w:rPr>
      <w:rFonts w:ascii="Arial" w:hAnsi="Arial"/>
      <w:b/>
      <w:caps/>
      <w:sz w:val="22"/>
    </w:rPr>
  </w:style>
  <w:style w:type="paragraph" w:styleId="Caption">
    <w:name w:val="caption"/>
    <w:basedOn w:val="Normal"/>
    <w:next w:val="Normal"/>
    <w:qFormat/>
    <w:pPr>
      <w:spacing w:after="340"/>
    </w:pPr>
    <w:rPr>
      <w:rFonts w:ascii="Arial" w:hAnsi="Arial"/>
      <w:b/>
      <w:sz w:val="19"/>
    </w:rPr>
  </w:style>
  <w:style w:type="character" w:styleId="Emphasis">
    <w:name w:val="Emphasis"/>
    <w:basedOn w:val="DefaultParagraphFont"/>
    <w:qFormat/>
    <w:rPr>
      <w:i/>
    </w:rPr>
  </w:style>
  <w:style w:type="paragraph" w:customStyle="1" w:styleId="coverTitle">
    <w:name w:val="coverTitle"/>
    <w:basedOn w:val="Normal"/>
    <w:pPr>
      <w:spacing w:after="360" w:line="360" w:lineRule="exact"/>
      <w:jc w:val="center"/>
    </w:pPr>
    <w:rPr>
      <w:rFonts w:ascii="Arial" w:hAnsi="Arial"/>
      <w:b/>
      <w:sz w:val="32"/>
      <w:lang w:val="en-US"/>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velopeReturn">
    <w:name w:val="envelope return"/>
    <w:basedOn w:val="Normal"/>
    <w:semiHidden/>
    <w:rPr>
      <w:rFonts w:ascii="Arial" w:hAnsi="Arial" w:cs="Arial"/>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3">
    <w:name w:val="List Bullet 3"/>
    <w:basedOn w:val="Normal"/>
    <w:autoRedefine/>
    <w:semiHidden/>
    <w:pPr>
      <w:numPr>
        <w:numId w:val="11"/>
      </w:numPr>
    </w:pPr>
  </w:style>
  <w:style w:type="paragraph" w:styleId="ListBullet4">
    <w:name w:val="List Bullet 4"/>
    <w:basedOn w:val="Normal"/>
    <w:autoRedefine/>
    <w:semiHidden/>
    <w:pPr>
      <w:numPr>
        <w:numId w:val="12"/>
      </w:numPr>
    </w:pPr>
  </w:style>
  <w:style w:type="paragraph" w:styleId="ListBullet5">
    <w:name w:val="List Bullet 5"/>
    <w:basedOn w:val="Normal"/>
    <w:autoRedefine/>
    <w:semiHidden/>
    <w:pPr>
      <w:numPr>
        <w:numId w:val="1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340" w:lineRule="exact"/>
      <w:jc w:val="both"/>
    </w:pPr>
    <w:rPr>
      <w:rFonts w:ascii="Courier New" w:hAnsi="Courier New" w:cs="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30" w:hanging="230"/>
    </w:pPr>
  </w:style>
  <w:style w:type="paragraph" w:styleId="TableofFigures">
    <w:name w:val="table of figures"/>
    <w:basedOn w:val="Normal"/>
    <w:next w:val="Normal"/>
    <w:semiHidden/>
    <w:pPr>
      <w:ind w:left="460" w:hanging="460"/>
    </w:p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link w:val="BalloonTextChar"/>
    <w:uiPriority w:val="99"/>
    <w:semiHidden/>
    <w:unhideWhenUsed/>
    <w:rsid w:val="006741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1F9"/>
    <w:rPr>
      <w:rFonts w:ascii="Tahoma" w:hAnsi="Tahoma" w:cs="Tahoma"/>
      <w:sz w:val="16"/>
      <w:szCs w:val="16"/>
      <w:lang w:eastAsia="en-US"/>
    </w:rPr>
  </w:style>
  <w:style w:type="character" w:customStyle="1" w:styleId="Heading4Char">
    <w:name w:val="Heading 4 Char"/>
    <w:link w:val="Heading4"/>
    <w:rsid w:val="002359C0"/>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manage%20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17</Pages>
  <Words>3987</Words>
  <Characters>20775</Characters>
  <Application>Microsoft Office Word</Application>
  <DocSecurity>4</DocSecurity>
  <Lines>483</Lines>
  <Paragraphs>250</Paragraphs>
  <ScaleCrop>false</ScaleCrop>
  <HeadingPairs>
    <vt:vector size="2" baseType="variant">
      <vt:variant>
        <vt:lpstr>Title</vt:lpstr>
      </vt:variant>
      <vt:variant>
        <vt:i4>1</vt:i4>
      </vt:variant>
    </vt:vector>
  </HeadingPairs>
  <TitlesOfParts>
    <vt:vector size="1" baseType="lpstr">
      <vt:lpstr>test</vt:lpstr>
    </vt:vector>
  </TitlesOfParts>
  <Manager>[Lawyer's name]</Manager>
  <Company>Gilbert &amp; Tobin</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GT User</dc:creator>
  <cp:keywords>[matter no.] [client name(s)]</cp:keywords>
  <cp:lastModifiedBy>Anna Panarina</cp:lastModifiedBy>
  <cp:revision>2</cp:revision>
  <cp:lastPrinted>2017-08-24T07:15:00Z</cp:lastPrinted>
  <dcterms:created xsi:type="dcterms:W3CDTF">2017-08-31T04:40:00Z</dcterms:created>
  <dcterms:modified xsi:type="dcterms:W3CDTF">2017-08-31T04:40:00Z</dcterms:modified>
</cp:coreProperties>
</file>