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76E93" w14:textId="40E658ED" w:rsidR="00102472" w:rsidRDefault="00102472" w:rsidP="00102472">
      <w:pPr>
        <w:pStyle w:val="Pull-out"/>
        <w:pBdr>
          <w:top w:val="single" w:sz="48" w:space="0" w:color="B2CFDC" w:themeColor="text2" w:themeTint="66"/>
          <w:bottom w:val="single" w:sz="48" w:space="0" w:color="B2CFDC" w:themeColor="text2" w:themeTint="66"/>
        </w:pBdr>
      </w:pPr>
      <w:r>
        <w:t xml:space="preserve">Victoria’s water businesses </w:t>
      </w:r>
      <w:r w:rsidRPr="00522301">
        <w:t>send us submissions on proposed prices and key outcomes</w:t>
      </w:r>
      <w:r>
        <w:t xml:space="preserve"> for their customers. We assess the submissions and make price determinations on the maximum price they can charge for their services. New prices need to be in place by 1 July 20</w:t>
      </w:r>
      <w:r w:rsidR="00CF1EC6">
        <w:t>20</w:t>
      </w:r>
      <w:r>
        <w:t xml:space="preserve">. </w:t>
      </w:r>
    </w:p>
    <w:p w14:paraId="0849C9AF" w14:textId="3C8587B6" w:rsidR="007037C0" w:rsidRPr="00C47364" w:rsidRDefault="007037C0" w:rsidP="007037C0">
      <w:pPr>
        <w:pStyle w:val="Heading2"/>
      </w:pPr>
      <w:r>
        <w:t>Snapshot</w:t>
      </w:r>
      <w:r w:rsidR="00904E0F">
        <w:t xml:space="preserve"> of what Western Water is proposing</w:t>
      </w:r>
    </w:p>
    <w:tbl>
      <w:tblPr>
        <w:tblStyle w:val="TableGrid"/>
        <w:tblW w:w="0" w:type="auto"/>
        <w:tblLook w:val="0480" w:firstRow="0" w:lastRow="0" w:firstColumn="1" w:lastColumn="0" w:noHBand="0" w:noVBand="1"/>
      </w:tblPr>
      <w:tblGrid>
        <w:gridCol w:w="3251"/>
        <w:gridCol w:w="3436"/>
        <w:gridCol w:w="3093"/>
      </w:tblGrid>
      <w:tr w:rsidR="00C45410" w14:paraId="413EB487" w14:textId="77777777" w:rsidTr="00904E0F">
        <w:trPr>
          <w:cnfStyle w:val="000000100000" w:firstRow="0" w:lastRow="0" w:firstColumn="0" w:lastColumn="0" w:oddVBand="0" w:evenVBand="0" w:oddHBand="1" w:evenHBand="0" w:firstRowFirstColumn="0" w:firstRowLastColumn="0" w:lastRowFirstColumn="0" w:lastRowLastColumn="0"/>
          <w:trHeight w:val="470"/>
        </w:trPr>
        <w:tc>
          <w:tcPr>
            <w:tcW w:w="3231" w:type="dxa"/>
          </w:tcPr>
          <w:p w14:paraId="11CAEE9B" w14:textId="77777777" w:rsidR="00102472" w:rsidRPr="00102472" w:rsidRDefault="00102472" w:rsidP="00E84671">
            <w:pPr>
              <w:jc w:val="center"/>
              <w:rPr>
                <w:b/>
                <w:noProof/>
                <w:lang w:eastAsia="en-AU"/>
              </w:rPr>
            </w:pPr>
            <w:r w:rsidRPr="00102472">
              <w:rPr>
                <w:b/>
                <w:noProof/>
                <w:lang w:eastAsia="en-AU"/>
              </w:rPr>
              <w:t>Bills</w:t>
            </w:r>
          </w:p>
        </w:tc>
        <w:tc>
          <w:tcPr>
            <w:tcW w:w="3517" w:type="dxa"/>
          </w:tcPr>
          <w:p w14:paraId="31307458" w14:textId="77777777" w:rsidR="00102472" w:rsidRPr="00102472" w:rsidRDefault="00102472" w:rsidP="00E84671">
            <w:pPr>
              <w:jc w:val="center"/>
              <w:rPr>
                <w:b/>
                <w:noProof/>
                <w:lang w:eastAsia="en-AU"/>
              </w:rPr>
            </w:pPr>
            <w:r w:rsidRPr="00102472">
              <w:rPr>
                <w:b/>
                <w:noProof/>
                <w:lang w:eastAsia="en-AU"/>
              </w:rPr>
              <w:t>Tariffs</w:t>
            </w:r>
          </w:p>
        </w:tc>
        <w:tc>
          <w:tcPr>
            <w:tcW w:w="3032" w:type="dxa"/>
          </w:tcPr>
          <w:p w14:paraId="2AEC2B1D" w14:textId="77777777" w:rsidR="00102472" w:rsidRPr="00102472" w:rsidRDefault="00102472" w:rsidP="00E84671">
            <w:pPr>
              <w:jc w:val="center"/>
              <w:rPr>
                <w:b/>
                <w:noProof/>
                <w:lang w:eastAsia="en-AU"/>
              </w:rPr>
            </w:pPr>
            <w:r w:rsidRPr="00102472">
              <w:rPr>
                <w:b/>
                <w:noProof/>
                <w:lang w:eastAsia="en-AU"/>
              </w:rPr>
              <w:t>Outcomes</w:t>
            </w:r>
          </w:p>
        </w:tc>
      </w:tr>
      <w:tr w:rsidR="00C45410" w14:paraId="0EF6F903" w14:textId="77777777" w:rsidTr="00904E0F">
        <w:trPr>
          <w:cnfStyle w:val="000000010000" w:firstRow="0" w:lastRow="0" w:firstColumn="0" w:lastColumn="0" w:oddVBand="0" w:evenVBand="0" w:oddHBand="0" w:evenHBand="1" w:firstRowFirstColumn="0" w:firstRowLastColumn="0" w:lastRowFirstColumn="0" w:lastRowLastColumn="0"/>
        </w:trPr>
        <w:tc>
          <w:tcPr>
            <w:tcW w:w="3231" w:type="dxa"/>
          </w:tcPr>
          <w:p w14:paraId="1DA07357" w14:textId="77777777" w:rsidR="00B91DF0" w:rsidRDefault="00B91DF0" w:rsidP="00E84671">
            <w:pPr>
              <w:jc w:val="center"/>
            </w:pPr>
            <w:r>
              <w:rPr>
                <w:noProof/>
                <w:lang w:eastAsia="en-AU"/>
              </w:rPr>
              <w:drawing>
                <wp:inline distT="0" distB="0" distL="0" distR="0" wp14:anchorId="4B033F73" wp14:editId="56A60487">
                  <wp:extent cx="743374" cy="7433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un_996175_cc.pn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43374" cy="743374"/>
                          </a:xfrm>
                          <a:prstGeom prst="rect">
                            <a:avLst/>
                          </a:prstGeom>
                          <a:ln>
                            <a:noFill/>
                          </a:ln>
                          <a:extLst>
                            <a:ext uri="{53640926-AAD7-44D8-BBD7-CCE9431645EC}">
                              <a14:shadowObscured xmlns:a14="http://schemas.microsoft.com/office/drawing/2010/main"/>
                            </a:ext>
                          </a:extLst>
                        </pic:spPr>
                      </pic:pic>
                    </a:graphicData>
                  </a:graphic>
                </wp:inline>
              </w:drawing>
            </w:r>
          </w:p>
        </w:tc>
        <w:tc>
          <w:tcPr>
            <w:tcW w:w="3517" w:type="dxa"/>
          </w:tcPr>
          <w:p w14:paraId="2F759158" w14:textId="77777777" w:rsidR="00B91DF0" w:rsidRDefault="00B91DF0" w:rsidP="00E84671">
            <w:pPr>
              <w:jc w:val="center"/>
            </w:pPr>
            <w:r>
              <w:rPr>
                <w:noProof/>
                <w:lang w:eastAsia="en-AU"/>
              </w:rPr>
              <w:drawing>
                <wp:inline distT="0" distB="0" distL="0" distR="0" wp14:anchorId="3A08A282" wp14:editId="784F2B8A">
                  <wp:extent cx="749620" cy="7496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un_1043557_cc.pn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49620" cy="749620"/>
                          </a:xfrm>
                          <a:prstGeom prst="rect">
                            <a:avLst/>
                          </a:prstGeom>
                          <a:ln>
                            <a:noFill/>
                          </a:ln>
                          <a:extLst>
                            <a:ext uri="{53640926-AAD7-44D8-BBD7-CCE9431645EC}">
                              <a14:shadowObscured xmlns:a14="http://schemas.microsoft.com/office/drawing/2010/main"/>
                            </a:ext>
                          </a:extLst>
                        </pic:spPr>
                      </pic:pic>
                    </a:graphicData>
                  </a:graphic>
                </wp:inline>
              </w:drawing>
            </w:r>
          </w:p>
        </w:tc>
        <w:tc>
          <w:tcPr>
            <w:tcW w:w="3032" w:type="dxa"/>
          </w:tcPr>
          <w:p w14:paraId="4C55B469" w14:textId="77777777" w:rsidR="00B91DF0" w:rsidRDefault="00B91DF0" w:rsidP="00E84671">
            <w:pPr>
              <w:jc w:val="center"/>
            </w:pPr>
            <w:r>
              <w:rPr>
                <w:noProof/>
                <w:lang w:eastAsia="en-AU"/>
              </w:rPr>
              <w:drawing>
                <wp:inline distT="0" distB="0" distL="0" distR="0" wp14:anchorId="104656EE" wp14:editId="75819D6F">
                  <wp:extent cx="700443" cy="700443"/>
                  <wp:effectExtent l="0" t="0" r="444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un_1189098_cc.png"/>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00443" cy="700443"/>
                          </a:xfrm>
                          <a:prstGeom prst="rect">
                            <a:avLst/>
                          </a:prstGeom>
                          <a:ln>
                            <a:noFill/>
                          </a:ln>
                          <a:extLst>
                            <a:ext uri="{53640926-AAD7-44D8-BBD7-CCE9431645EC}">
                              <a14:shadowObscured xmlns:a14="http://schemas.microsoft.com/office/drawing/2010/main"/>
                            </a:ext>
                          </a:extLst>
                        </pic:spPr>
                      </pic:pic>
                    </a:graphicData>
                  </a:graphic>
                </wp:inline>
              </w:drawing>
            </w:r>
          </w:p>
        </w:tc>
      </w:tr>
      <w:tr w:rsidR="00C45410" w14:paraId="3CEC6FD9" w14:textId="77777777" w:rsidTr="00904E0F">
        <w:trPr>
          <w:cnfStyle w:val="000000100000" w:firstRow="0" w:lastRow="0" w:firstColumn="0" w:lastColumn="0" w:oddVBand="0" w:evenVBand="0" w:oddHBand="1" w:evenHBand="0" w:firstRowFirstColumn="0" w:firstRowLastColumn="0" w:lastRowFirstColumn="0" w:lastRowLastColumn="0"/>
        </w:trPr>
        <w:tc>
          <w:tcPr>
            <w:tcW w:w="3231" w:type="dxa"/>
            <w:tcBorders>
              <w:bottom w:val="single" w:sz="8" w:space="0" w:color="FFFFFF" w:themeColor="background1"/>
            </w:tcBorders>
          </w:tcPr>
          <w:p w14:paraId="1BD457EB" w14:textId="77777777" w:rsidR="00904E0F" w:rsidRDefault="004F2795" w:rsidP="00C45410">
            <w:pPr>
              <w:spacing w:before="0" w:line="400" w:lineRule="atLeast"/>
            </w:pPr>
            <w:r w:rsidRPr="00C45410">
              <w:t>As stated in Western Water</w:t>
            </w:r>
            <w:r w:rsidR="00BD3D30" w:rsidRPr="00C45410">
              <w:t>’s</w:t>
            </w:r>
            <w:r w:rsidRPr="00C45410">
              <w:t xml:space="preserve"> price submission, </w:t>
            </w:r>
            <w:r w:rsidR="00BD3D30" w:rsidRPr="00C45410">
              <w:t xml:space="preserve">the </w:t>
            </w:r>
            <w:r w:rsidRPr="00C45410">
              <w:t>t</w:t>
            </w:r>
            <w:r w:rsidR="004F5F7F" w:rsidRPr="00C45410">
              <w:t xml:space="preserve">ypical annual </w:t>
            </w:r>
            <w:r w:rsidR="00BD3D30" w:rsidRPr="00C45410">
              <w:t>water bill in 2020</w:t>
            </w:r>
            <w:r w:rsidR="00BD3D30" w:rsidRPr="00C45410">
              <w:noBreakHyphen/>
              <w:t xml:space="preserve">21 for a </w:t>
            </w:r>
            <w:r w:rsidR="004F5F7F" w:rsidRPr="00C45410">
              <w:t xml:space="preserve">residential owner occupier will </w:t>
            </w:r>
            <w:r w:rsidR="00523F31" w:rsidRPr="00C45410">
              <w:t>be</w:t>
            </w:r>
            <w:r w:rsidR="004F5F7F" w:rsidRPr="00C45410">
              <w:t xml:space="preserve"> $</w:t>
            </w:r>
            <w:r w:rsidR="00DB0938" w:rsidRPr="00C45410">
              <w:t>1,019</w:t>
            </w:r>
            <w:r w:rsidR="00C85D0D" w:rsidRPr="00C45410">
              <w:t xml:space="preserve"> </w:t>
            </w:r>
            <w:r w:rsidR="004F5F7F" w:rsidRPr="00C45410">
              <w:t>before inflation</w:t>
            </w:r>
            <w:r w:rsidR="00523F31" w:rsidRPr="00C45410">
              <w:t xml:space="preserve">, no change from 2019-20. </w:t>
            </w:r>
          </w:p>
          <w:p w14:paraId="41BE7F28" w14:textId="415959BC" w:rsidR="00F0348A" w:rsidRPr="00C45410" w:rsidRDefault="00523F31" w:rsidP="00C45410">
            <w:pPr>
              <w:spacing w:before="0" w:line="400" w:lineRule="atLeast"/>
            </w:pPr>
            <w:r w:rsidRPr="00C45410">
              <w:t xml:space="preserve">For </w:t>
            </w:r>
            <w:r w:rsidR="00C12D51" w:rsidRPr="00C45410">
              <w:t xml:space="preserve">each year </w:t>
            </w:r>
            <w:r w:rsidRPr="00C45410">
              <w:t xml:space="preserve">until 2022-23 this typical bill will increase </w:t>
            </w:r>
            <w:r w:rsidR="00C73BBB" w:rsidRPr="00C45410">
              <w:t>1</w:t>
            </w:r>
            <w:r w:rsidR="001B5F21" w:rsidRPr="00C45410">
              <w:t> </w:t>
            </w:r>
            <w:r w:rsidR="00C73BBB" w:rsidRPr="00C45410">
              <w:t>per</w:t>
            </w:r>
            <w:r w:rsidR="00C12D51" w:rsidRPr="00C45410">
              <w:t> </w:t>
            </w:r>
            <w:r w:rsidR="00C73BBB" w:rsidRPr="00C45410">
              <w:t>cent</w:t>
            </w:r>
            <w:r w:rsidR="00C12D51" w:rsidRPr="00C45410">
              <w:t xml:space="preserve"> (before inflation).</w:t>
            </w:r>
          </w:p>
        </w:tc>
        <w:tc>
          <w:tcPr>
            <w:tcW w:w="3517" w:type="dxa"/>
            <w:tcBorders>
              <w:bottom w:val="single" w:sz="8" w:space="0" w:color="FFFFFF" w:themeColor="background1"/>
            </w:tcBorders>
          </w:tcPr>
          <w:p w14:paraId="4420EAE3" w14:textId="0A964E64" w:rsidR="00D80A40" w:rsidRPr="00C45410" w:rsidRDefault="004F5F7F" w:rsidP="00904E0F">
            <w:pPr>
              <w:spacing w:before="0" w:line="400" w:lineRule="atLeast"/>
            </w:pPr>
            <w:r w:rsidRPr="00C45410">
              <w:t>For residential customers</w:t>
            </w:r>
            <w:r w:rsidR="001B5F21" w:rsidRPr="00C45410">
              <w:t xml:space="preserve">, the fixed water and sewer service charges will initially decrease </w:t>
            </w:r>
            <w:r w:rsidR="00C12D51" w:rsidRPr="00C45410">
              <w:t xml:space="preserve">as it embeds a government rebate into prices. In future years, the price will </w:t>
            </w:r>
            <w:r w:rsidR="001B5F21" w:rsidRPr="00C45410">
              <w:t>increase 1.5</w:t>
            </w:r>
            <w:r w:rsidR="00172CA6">
              <w:t> </w:t>
            </w:r>
            <w:r w:rsidR="001B5F21" w:rsidRPr="00C45410">
              <w:t>per</w:t>
            </w:r>
            <w:r w:rsidR="00723A9B" w:rsidRPr="00C45410">
              <w:t xml:space="preserve"> </w:t>
            </w:r>
            <w:r w:rsidR="001B5F21" w:rsidRPr="00C45410">
              <w:t xml:space="preserve">cent </w:t>
            </w:r>
            <w:r w:rsidR="00723A9B" w:rsidRPr="00C45410">
              <w:t xml:space="preserve">each </w:t>
            </w:r>
            <w:r w:rsidR="00723A9B" w:rsidRPr="00172CA6">
              <w:t>year</w:t>
            </w:r>
            <w:r w:rsidR="001B5F21" w:rsidRPr="00172CA6">
              <w:t xml:space="preserve">. </w:t>
            </w:r>
            <w:r w:rsidR="00723A9B" w:rsidRPr="00172CA6">
              <w:t>I</w:t>
            </w:r>
            <w:r w:rsidR="00172CA6" w:rsidRPr="00172CA6">
              <w:t>t</w:t>
            </w:r>
            <w:r w:rsidR="00723A9B" w:rsidRPr="00172CA6">
              <w:t xml:space="preserve"> has</w:t>
            </w:r>
            <w:r w:rsidR="00723A9B" w:rsidRPr="00C45410">
              <w:t xml:space="preserve"> also proposed small annual price increases for high water users.</w:t>
            </w:r>
          </w:p>
        </w:tc>
        <w:tc>
          <w:tcPr>
            <w:tcW w:w="3032" w:type="dxa"/>
            <w:tcBorders>
              <w:bottom w:val="single" w:sz="8" w:space="0" w:color="FFFFFF" w:themeColor="background1"/>
            </w:tcBorders>
          </w:tcPr>
          <w:p w14:paraId="7D1C0744" w14:textId="56C08C6C" w:rsidR="004B346F" w:rsidRPr="00C45410" w:rsidRDefault="00CF1EC6" w:rsidP="00B80387">
            <w:pPr>
              <w:autoSpaceDE w:val="0"/>
              <w:autoSpaceDN w:val="0"/>
              <w:adjustRightInd w:val="0"/>
              <w:spacing w:before="0" w:line="400" w:lineRule="atLeast"/>
              <w:rPr>
                <w:rFonts w:ascii="MyriadPro-Regular" w:hAnsi="MyriadPro-Regular" w:cs="MyriadPro-Regular"/>
                <w:color w:val="464648"/>
              </w:rPr>
            </w:pPr>
            <w:r w:rsidRPr="00C45410">
              <w:t>Western</w:t>
            </w:r>
            <w:r w:rsidR="004F5F7F" w:rsidRPr="00C45410">
              <w:t xml:space="preserve"> Water proposes </w:t>
            </w:r>
            <w:r w:rsidR="007B54C8" w:rsidRPr="00C45410">
              <w:t xml:space="preserve">to maintain the existing </w:t>
            </w:r>
            <w:r w:rsidR="00B80387" w:rsidRPr="00C45410">
              <w:t>focus on fair and affordable charges and quality services.</w:t>
            </w:r>
          </w:p>
          <w:p w14:paraId="4FAD0D84" w14:textId="340C59D3" w:rsidR="004F5F7F" w:rsidRPr="00C45410" w:rsidRDefault="00CF4BA8" w:rsidP="00B80387">
            <w:pPr>
              <w:autoSpaceDE w:val="0"/>
              <w:autoSpaceDN w:val="0"/>
              <w:adjustRightInd w:val="0"/>
              <w:spacing w:before="0" w:line="400" w:lineRule="atLeast"/>
            </w:pPr>
            <w:r w:rsidRPr="00C45410">
              <w:t xml:space="preserve">It </w:t>
            </w:r>
            <w:r w:rsidR="00D04DDA" w:rsidRPr="00C45410">
              <w:t>propos</w:t>
            </w:r>
            <w:r w:rsidRPr="00C45410">
              <w:t>es</w:t>
            </w:r>
            <w:r w:rsidR="00D04DDA" w:rsidRPr="00C45410">
              <w:t xml:space="preserve"> a new Guaranteed Service Level</w:t>
            </w:r>
            <w:r w:rsidR="00774BB9" w:rsidRPr="00C45410">
              <w:t xml:space="preserve"> for customers who experience more </w:t>
            </w:r>
            <w:r w:rsidR="00D04DDA" w:rsidRPr="00C45410">
              <w:t>than 5</w:t>
            </w:r>
            <w:r w:rsidRPr="00C45410">
              <w:t> </w:t>
            </w:r>
            <w:r w:rsidR="00D04DDA" w:rsidRPr="00C45410">
              <w:t>water interruptions in a year</w:t>
            </w:r>
            <w:r w:rsidR="00BD3D30" w:rsidRPr="00C45410">
              <w:t>.</w:t>
            </w:r>
          </w:p>
        </w:tc>
      </w:tr>
      <w:tr w:rsidR="00102472" w14:paraId="033E821F" w14:textId="77777777" w:rsidTr="007648AB">
        <w:trPr>
          <w:cnfStyle w:val="000000010000" w:firstRow="0" w:lastRow="0" w:firstColumn="0" w:lastColumn="0" w:oddVBand="0" w:evenVBand="0" w:oddHBand="0" w:evenHBand="1" w:firstRowFirstColumn="0" w:firstRowLastColumn="0" w:lastRowFirstColumn="0" w:lastRowLastColumn="0"/>
        </w:trPr>
        <w:tc>
          <w:tcPr>
            <w:tcW w:w="0" w:type="auto"/>
            <w:gridSpan w:val="3"/>
            <w:tcBorders>
              <w:top w:val="single" w:sz="8" w:space="0" w:color="FFFFFF" w:themeColor="background1"/>
              <w:bottom w:val="nil"/>
            </w:tcBorders>
            <w:shd w:val="clear" w:color="auto" w:fill="D8E7ED" w:themeFill="text2" w:themeFillTint="33"/>
          </w:tcPr>
          <w:p w14:paraId="25CEA28B" w14:textId="0AC48B1E" w:rsidR="00102472" w:rsidRDefault="00102472" w:rsidP="00DB4F57">
            <w:r w:rsidRPr="00E627B7">
              <w:t>Do you want to know the difference between bills and prices? For this and more information about</w:t>
            </w:r>
            <w:r>
              <w:t xml:space="preserve"> our price review process and </w:t>
            </w:r>
            <w:r w:rsidR="00CF1EC6">
              <w:t>Western</w:t>
            </w:r>
            <w:r w:rsidR="00B82932">
              <w:t xml:space="preserve"> </w:t>
            </w:r>
            <w:r>
              <w:t xml:space="preserve">Water’s price submission, go to </w:t>
            </w:r>
            <w:hyperlink r:id="rId11" w:history="1">
              <w:r w:rsidRPr="00411BF8">
                <w:rPr>
                  <w:rStyle w:val="Hyperlink"/>
                </w:rPr>
                <w:t>http://www.esc.vic.gov.au/waterpricereview</w:t>
              </w:r>
            </w:hyperlink>
          </w:p>
        </w:tc>
      </w:tr>
    </w:tbl>
    <w:p w14:paraId="101287A7" w14:textId="40800F84" w:rsidR="004F5F7F" w:rsidRDefault="004F5F7F" w:rsidP="004F5F7F">
      <w:pPr>
        <w:pStyle w:val="Heading2"/>
      </w:pPr>
      <w:r>
        <w:t xml:space="preserve">Send us your feedback on </w:t>
      </w:r>
      <w:r w:rsidR="00172CA6">
        <w:fldChar w:fldCharType="begin"/>
      </w:r>
      <w:r w:rsidR="00172CA6">
        <w:instrText xml:space="preserve"> KEYWORDS   \* MERGEFORMAT </w:instrText>
      </w:r>
      <w:r w:rsidR="00172CA6">
        <w:fldChar w:fldCharType="separate"/>
      </w:r>
      <w:r w:rsidR="00CF1EC6">
        <w:t>Western</w:t>
      </w:r>
      <w:r>
        <w:t xml:space="preserve"> Water</w:t>
      </w:r>
      <w:r w:rsidR="00172CA6">
        <w:fldChar w:fldCharType="end"/>
      </w:r>
      <w:r>
        <w:t>’s proposal</w:t>
      </w:r>
    </w:p>
    <w:p w14:paraId="160D2B75" w14:textId="77F569A5" w:rsidR="004F5F7F" w:rsidRDefault="007037C0" w:rsidP="00CF4BA8">
      <w:r>
        <w:t xml:space="preserve">Submitting your feedback to </w:t>
      </w:r>
      <w:r w:rsidR="00172CA6">
        <w:fldChar w:fldCharType="begin"/>
      </w:r>
      <w:r w:rsidR="00172CA6">
        <w:instrText xml:space="preserve"> KEYWORDS  </w:instrText>
      </w:r>
      <w:r w:rsidR="00172CA6">
        <w:instrText xml:space="preserve"> \* MERGEFORMAT </w:instrText>
      </w:r>
      <w:r w:rsidR="00172CA6">
        <w:fldChar w:fldCharType="separate"/>
      </w:r>
      <w:r w:rsidR="00CF1EC6">
        <w:t>Western</w:t>
      </w:r>
      <w:r w:rsidR="004F5F7F">
        <w:t xml:space="preserve"> Water</w:t>
      </w:r>
      <w:r w:rsidR="00172CA6">
        <w:fldChar w:fldCharType="end"/>
      </w:r>
      <w:r w:rsidR="004F5F7F">
        <w:t>’s</w:t>
      </w:r>
      <w:r w:rsidRPr="007037C0">
        <w:t xml:space="preserve"> </w:t>
      </w:r>
      <w:r>
        <w:t xml:space="preserve">price submission by </w:t>
      </w:r>
      <w:r w:rsidR="00CF1EC6">
        <w:rPr>
          <w:b/>
        </w:rPr>
        <w:t>24</w:t>
      </w:r>
      <w:r w:rsidRPr="00134414">
        <w:rPr>
          <w:b/>
        </w:rPr>
        <w:t xml:space="preserve"> </w:t>
      </w:r>
      <w:r w:rsidR="00CF1EC6">
        <w:rPr>
          <w:b/>
        </w:rPr>
        <w:t xml:space="preserve">January </w:t>
      </w:r>
      <w:r w:rsidRPr="00134414">
        <w:rPr>
          <w:b/>
        </w:rPr>
        <w:t>20</w:t>
      </w:r>
      <w:r w:rsidR="00CF1EC6">
        <w:rPr>
          <w:b/>
        </w:rPr>
        <w:t>20</w:t>
      </w:r>
      <w:r>
        <w:t xml:space="preserve"> will help us prepare for the release of our draft decision.</w:t>
      </w:r>
      <w:r w:rsidR="00CF4BA8">
        <w:t xml:space="preserve"> </w:t>
      </w:r>
      <w:r>
        <w:t xml:space="preserve">Any feedback submitted after this date will still be considered as part of our consultation process. Send your feedback to </w:t>
      </w:r>
      <w:hyperlink r:id="rId12" w:history="1">
        <w:r w:rsidRPr="00E020BD">
          <w:rPr>
            <w:rStyle w:val="Hyperlink"/>
          </w:rPr>
          <w:t>water@esc.vic.gov.au</w:t>
        </w:r>
      </w:hyperlink>
      <w:r>
        <w:t xml:space="preserve"> or call (03) 9032 1300.</w:t>
      </w:r>
    </w:p>
    <w:p w14:paraId="1248DB95" w14:textId="69B434C5" w:rsidR="004F5F7F" w:rsidRPr="00527CB3" w:rsidRDefault="004F5F7F" w:rsidP="004F5F7F">
      <w:pPr>
        <w:pStyle w:val="Heading2"/>
      </w:pPr>
      <w:r>
        <w:lastRenderedPageBreak/>
        <w:t>What are the c</w:t>
      </w:r>
      <w:r w:rsidRPr="00527CB3">
        <w:t>hanges to prices and tariffs</w:t>
      </w:r>
      <w:r w:rsidR="00904E0F">
        <w:t>?</w:t>
      </w:r>
    </w:p>
    <w:p w14:paraId="101C9FD3" w14:textId="4C17C0A6" w:rsidR="004F5F7F" w:rsidRPr="00EC010E" w:rsidRDefault="000B73D7" w:rsidP="009D549C">
      <w:pPr>
        <w:spacing w:line="360" w:lineRule="auto"/>
      </w:pPr>
      <w:fldSimple w:instr=" KEYWORDS   \* MERGEFORMAT ">
        <w:r w:rsidR="00CF1EC6" w:rsidRPr="00EC010E">
          <w:t>Western</w:t>
        </w:r>
        <w:r w:rsidR="004F5F7F" w:rsidRPr="00EC010E">
          <w:t xml:space="preserve"> Water</w:t>
        </w:r>
      </w:fldSimple>
      <w:r w:rsidR="004F5F7F" w:rsidRPr="00EC010E">
        <w:t xml:space="preserve"> has proposed to alter </w:t>
      </w:r>
      <w:r w:rsidR="00B75302" w:rsidRPr="00EC010E">
        <w:t>its</w:t>
      </w:r>
      <w:r w:rsidR="004F5F7F" w:rsidRPr="00EC010E">
        <w:t xml:space="preserve"> tariff structures through a combination of:</w:t>
      </w:r>
    </w:p>
    <w:p w14:paraId="1BE3E2C5" w14:textId="256C88F3" w:rsidR="0013476C" w:rsidRPr="00EC010E" w:rsidRDefault="0013476C" w:rsidP="009D549C">
      <w:pPr>
        <w:pStyle w:val="ListBullet"/>
        <w:spacing w:line="360" w:lineRule="auto"/>
      </w:pPr>
      <w:r w:rsidRPr="00EC010E">
        <w:t xml:space="preserve">embedding </w:t>
      </w:r>
      <w:r w:rsidR="00C12D51" w:rsidRPr="00EC010E">
        <w:t xml:space="preserve">a government </w:t>
      </w:r>
      <w:r w:rsidRPr="00EC010E">
        <w:t>rebate of $103.25 across residential owner occupier fixed water and sewer service availability charges</w:t>
      </w:r>
    </w:p>
    <w:p w14:paraId="78C49DD5" w14:textId="4E47EFD5" w:rsidR="00C45410" w:rsidRPr="00EC010E" w:rsidRDefault="00C45410" w:rsidP="00C45410">
      <w:pPr>
        <w:pStyle w:val="ListBullet"/>
      </w:pPr>
      <w:r w:rsidRPr="00EC010E">
        <w:t>gradually removing the $103.25 rebate from tenant accounts, commencing from 2021-22 (over the followin</w:t>
      </w:r>
      <w:bookmarkStart w:id="1" w:name="_GoBack"/>
      <w:bookmarkEnd w:id="1"/>
      <w:r w:rsidRPr="00EC010E">
        <w:t xml:space="preserve">g 7 years) </w:t>
      </w:r>
    </w:p>
    <w:p w14:paraId="107F531F" w14:textId="03EC08EC" w:rsidR="0013476C" w:rsidRPr="00EC010E" w:rsidRDefault="0013476C" w:rsidP="009D549C">
      <w:pPr>
        <w:pStyle w:val="ListBullet"/>
        <w:spacing w:line="360" w:lineRule="auto"/>
      </w:pPr>
      <w:r w:rsidRPr="00EC010E">
        <w:t>proposing a small increase to fixed water and sewer service charges which equates to approximately 1</w:t>
      </w:r>
      <w:r w:rsidR="00B75302" w:rsidRPr="00EC010E">
        <w:t> </w:t>
      </w:r>
      <w:r w:rsidR="009D549C" w:rsidRPr="00EC010E">
        <w:t>per</w:t>
      </w:r>
      <w:r w:rsidR="00B75302" w:rsidRPr="00EC010E">
        <w:t xml:space="preserve"> </w:t>
      </w:r>
      <w:r w:rsidR="009D549C" w:rsidRPr="00EC010E">
        <w:t>cent</w:t>
      </w:r>
      <w:r w:rsidRPr="00EC010E">
        <w:t xml:space="preserve"> on the typical residential customer bill </w:t>
      </w:r>
    </w:p>
    <w:p w14:paraId="7FA47E89" w14:textId="77777777" w:rsidR="0013476C" w:rsidRPr="00EC010E" w:rsidRDefault="0013476C" w:rsidP="009D549C">
      <w:pPr>
        <w:pStyle w:val="ListBullet"/>
        <w:spacing w:line="360" w:lineRule="auto"/>
      </w:pPr>
      <w:r w:rsidRPr="00EC010E">
        <w:t>a gradual and uniform reduction to fixed water and sewer service charges from year 2 (over the next 7 years) for residential landlords and vacant landholders</w:t>
      </w:r>
    </w:p>
    <w:p w14:paraId="64974966" w14:textId="4A15EFB8" w:rsidR="0013476C" w:rsidRPr="00EC010E" w:rsidRDefault="00B75302" w:rsidP="009D549C">
      <w:pPr>
        <w:pStyle w:val="ListBullet"/>
        <w:spacing w:line="360" w:lineRule="auto"/>
      </w:pPr>
      <w:r w:rsidRPr="00EC010E">
        <w:t>t</w:t>
      </w:r>
      <w:r w:rsidR="0013476C" w:rsidRPr="00EC010E">
        <w:t xml:space="preserve">ier 3 water charges </w:t>
      </w:r>
      <w:r w:rsidR="00C45410" w:rsidRPr="00EC010E">
        <w:t>(for customers with high usage) will</w:t>
      </w:r>
      <w:r w:rsidR="0013476C" w:rsidRPr="00EC010E">
        <w:t xml:space="preserve"> increase by 1.95</w:t>
      </w:r>
      <w:r w:rsidRPr="00EC010E">
        <w:t> per cent</w:t>
      </w:r>
      <w:r w:rsidR="0013476C" w:rsidRPr="00EC010E">
        <w:t xml:space="preserve"> </w:t>
      </w:r>
      <w:r w:rsidR="00C45410" w:rsidRPr="00EC010E">
        <w:t>each</w:t>
      </w:r>
      <w:r w:rsidR="0013476C" w:rsidRPr="00EC010E">
        <w:t xml:space="preserve"> year </w:t>
      </w:r>
    </w:p>
    <w:p w14:paraId="1AE7C32C" w14:textId="2F371348" w:rsidR="0013476C" w:rsidRPr="00EC010E" w:rsidRDefault="0013476C" w:rsidP="009D549C">
      <w:pPr>
        <w:pStyle w:val="ListBullet"/>
        <w:spacing w:line="360" w:lineRule="auto"/>
      </w:pPr>
      <w:r w:rsidRPr="00EC010E">
        <w:t xml:space="preserve">a smoothing of the cost of debt adjustment over the 3 years </w:t>
      </w:r>
    </w:p>
    <w:p w14:paraId="77D0CD91" w14:textId="77777777" w:rsidR="004F5F7F" w:rsidRDefault="004F5F7F" w:rsidP="004F5F7F">
      <w:pPr>
        <w:pStyle w:val="Figure-Table-BoxHeading"/>
        <w:rPr>
          <w:rFonts w:ascii="Tahoma" w:hAnsi="Tahoma"/>
          <w:color w:val="236192" w:themeColor="accent1"/>
          <w:sz w:val="26"/>
          <w:szCs w:val="26"/>
        </w:rPr>
      </w:pPr>
      <w:r w:rsidRPr="000A0E8F">
        <w:rPr>
          <w:rFonts w:ascii="Tahoma" w:hAnsi="Tahoma"/>
          <w:color w:val="236192" w:themeColor="accent1"/>
          <w:sz w:val="26"/>
          <w:szCs w:val="26"/>
        </w:rPr>
        <w:t xml:space="preserve">How will this affect your bill? </w:t>
      </w:r>
    </w:p>
    <w:p w14:paraId="206B1AB4" w14:textId="7F58406D" w:rsidR="004F5F7F" w:rsidRPr="00EC010E" w:rsidRDefault="004F5F7F" w:rsidP="00EC010E">
      <w:r w:rsidRPr="00E61EE7">
        <w:t xml:space="preserve">Prices and tariffs are only part of the bill. Your actual bill depends on factors such as the amount of </w:t>
      </w:r>
      <w:r w:rsidRPr="00EC010E">
        <w:t xml:space="preserve">water and services you use. </w:t>
      </w:r>
      <w:r w:rsidR="00CF1EC6" w:rsidRPr="00EC010E">
        <w:t>Western</w:t>
      </w:r>
      <w:r w:rsidRPr="00EC010E">
        <w:t xml:space="preserve"> Water provided us with </w:t>
      </w:r>
      <w:r w:rsidR="00776C79" w:rsidRPr="00EC010E">
        <w:t xml:space="preserve">typical </w:t>
      </w:r>
      <w:r w:rsidRPr="00EC010E">
        <w:t xml:space="preserve">bills for different water volumes and customer groups. </w:t>
      </w:r>
    </w:p>
    <w:p w14:paraId="47EC3BF0" w14:textId="4BE926F8" w:rsidR="004F5F7F" w:rsidRPr="00EC010E" w:rsidRDefault="004F5F7F" w:rsidP="00EC010E">
      <w:pPr>
        <w:pStyle w:val="Figure-Table-BoxHeading"/>
      </w:pPr>
      <w:r w:rsidRPr="00EC010E">
        <w:t>Typical water and sewerage bills (not including inflation)</w:t>
      </w:r>
      <w:r w:rsidR="00717C19" w:rsidRPr="00EC010E">
        <w:t xml:space="preserve"> proposed by Western Water </w:t>
      </w:r>
    </w:p>
    <w:tbl>
      <w:tblPr>
        <w:tblStyle w:val="TableGrid"/>
        <w:tblW w:w="9724" w:type="dxa"/>
        <w:tblLayout w:type="fixed"/>
        <w:tblLook w:val="04A0" w:firstRow="1" w:lastRow="0" w:firstColumn="1" w:lastColumn="0" w:noHBand="0" w:noVBand="1"/>
      </w:tblPr>
      <w:tblGrid>
        <w:gridCol w:w="3062"/>
        <w:gridCol w:w="1843"/>
        <w:gridCol w:w="1559"/>
        <w:gridCol w:w="1701"/>
        <w:gridCol w:w="1559"/>
      </w:tblGrid>
      <w:tr w:rsidR="004F5F7F" w:rsidRPr="00EC010E" w14:paraId="07BFA802" w14:textId="77777777" w:rsidTr="00707CAC">
        <w:trPr>
          <w:cnfStyle w:val="100000000000" w:firstRow="1" w:lastRow="0" w:firstColumn="0" w:lastColumn="0" w:oddVBand="0" w:evenVBand="0" w:oddHBand="0" w:evenHBand="0" w:firstRowFirstColumn="0" w:firstRowLastColumn="0" w:lastRowFirstColumn="0" w:lastRowLastColumn="0"/>
        </w:trPr>
        <w:tc>
          <w:tcPr>
            <w:tcW w:w="3062" w:type="dxa"/>
          </w:tcPr>
          <w:p w14:paraId="4CC44A24" w14:textId="77777777" w:rsidR="004F5F7F" w:rsidRPr="00EC010E" w:rsidRDefault="004F5F7F" w:rsidP="00EC010E">
            <w:r w:rsidRPr="00EC010E">
              <w:t>Customer group</w:t>
            </w:r>
          </w:p>
        </w:tc>
        <w:tc>
          <w:tcPr>
            <w:tcW w:w="1843" w:type="dxa"/>
          </w:tcPr>
          <w:p w14:paraId="215D2CC2" w14:textId="77777777" w:rsidR="004F5F7F" w:rsidRPr="00EC010E" w:rsidRDefault="004F5F7F" w:rsidP="00EC010E">
            <w:pPr>
              <w:spacing w:before="0"/>
              <w:jc w:val="center"/>
            </w:pPr>
            <w:r w:rsidRPr="00EC010E">
              <w:t xml:space="preserve">Consumption </w:t>
            </w:r>
            <w:r w:rsidRPr="00EC010E">
              <w:br/>
              <w:t>(</w:t>
            </w:r>
            <w:proofErr w:type="spellStart"/>
            <w:r w:rsidRPr="00EC010E">
              <w:t>kL</w:t>
            </w:r>
            <w:proofErr w:type="spellEnd"/>
            <w:r w:rsidRPr="00EC010E">
              <w:t> p.a.)</w:t>
            </w:r>
          </w:p>
        </w:tc>
        <w:tc>
          <w:tcPr>
            <w:tcW w:w="1559" w:type="dxa"/>
          </w:tcPr>
          <w:p w14:paraId="0E8AD49D" w14:textId="31F28500" w:rsidR="004F5F7F" w:rsidRPr="00EC010E" w:rsidRDefault="004F5F7F" w:rsidP="00EC010E">
            <w:pPr>
              <w:jc w:val="center"/>
            </w:pPr>
            <w:r w:rsidRPr="00EC010E">
              <w:t>20</w:t>
            </w:r>
            <w:r w:rsidR="00CF1EC6" w:rsidRPr="00EC010E">
              <w:t>20</w:t>
            </w:r>
            <w:r w:rsidRPr="00EC010E">
              <w:noBreakHyphen/>
            </w:r>
            <w:r w:rsidR="00CF1EC6" w:rsidRPr="00EC010E">
              <w:t>21</w:t>
            </w:r>
            <w:r w:rsidRPr="00EC010E">
              <w:t xml:space="preserve"> annual bill</w:t>
            </w:r>
            <w:r w:rsidR="0013476C" w:rsidRPr="00EC010E">
              <w:t>**</w:t>
            </w:r>
          </w:p>
        </w:tc>
        <w:tc>
          <w:tcPr>
            <w:tcW w:w="1701" w:type="dxa"/>
          </w:tcPr>
          <w:p w14:paraId="7F0B3F1B" w14:textId="3F90E041" w:rsidR="004F5F7F" w:rsidRPr="00EC010E" w:rsidRDefault="004F5F7F" w:rsidP="00EC010E">
            <w:pPr>
              <w:jc w:val="center"/>
            </w:pPr>
            <w:r w:rsidRPr="00EC010E">
              <w:t>20</w:t>
            </w:r>
            <w:r w:rsidR="00CF1EC6" w:rsidRPr="00EC010E">
              <w:t>21</w:t>
            </w:r>
            <w:r w:rsidRPr="00EC010E">
              <w:noBreakHyphen/>
            </w:r>
            <w:r w:rsidR="00CF1EC6" w:rsidRPr="00EC010E">
              <w:t>22</w:t>
            </w:r>
            <w:r w:rsidRPr="00EC010E">
              <w:t xml:space="preserve"> annual bill</w:t>
            </w:r>
            <w:r w:rsidR="0013476C" w:rsidRPr="00EC010E">
              <w:t>***</w:t>
            </w:r>
          </w:p>
        </w:tc>
        <w:tc>
          <w:tcPr>
            <w:tcW w:w="1559" w:type="dxa"/>
          </w:tcPr>
          <w:p w14:paraId="6D80F83A" w14:textId="659BB9CB" w:rsidR="004F5F7F" w:rsidRPr="00EC010E" w:rsidRDefault="004F5F7F" w:rsidP="00EC010E">
            <w:pPr>
              <w:jc w:val="center"/>
            </w:pPr>
            <w:r w:rsidRPr="00EC010E">
              <w:t>2022</w:t>
            </w:r>
            <w:r w:rsidRPr="00EC010E">
              <w:noBreakHyphen/>
              <w:t>23 annual bill</w:t>
            </w:r>
            <w:r w:rsidR="0013476C" w:rsidRPr="00EC010E">
              <w:t>***</w:t>
            </w:r>
          </w:p>
        </w:tc>
      </w:tr>
      <w:tr w:rsidR="008D30C4" w:rsidRPr="00EC010E" w14:paraId="6ADD8E7B" w14:textId="77777777" w:rsidTr="008D30C4">
        <w:trPr>
          <w:cnfStyle w:val="000000100000" w:firstRow="0" w:lastRow="0" w:firstColumn="0" w:lastColumn="0" w:oddVBand="0" w:evenVBand="0" w:oddHBand="1" w:evenHBand="0" w:firstRowFirstColumn="0" w:firstRowLastColumn="0" w:lastRowFirstColumn="0" w:lastRowLastColumn="0"/>
        </w:trPr>
        <w:tc>
          <w:tcPr>
            <w:tcW w:w="3062" w:type="dxa"/>
            <w:vMerge w:val="restart"/>
            <w:vAlign w:val="center"/>
          </w:tcPr>
          <w:p w14:paraId="5E9D0D98" w14:textId="77777777" w:rsidR="008D30C4" w:rsidRPr="00EC010E" w:rsidRDefault="008D30C4" w:rsidP="00EC010E">
            <w:pPr>
              <w:pStyle w:val="TableBody"/>
              <w:jc w:val="center"/>
            </w:pPr>
            <w:r w:rsidRPr="00EC010E">
              <w:t>Residential (Owner occupier)</w:t>
            </w:r>
          </w:p>
        </w:tc>
        <w:tc>
          <w:tcPr>
            <w:tcW w:w="1843" w:type="dxa"/>
          </w:tcPr>
          <w:p w14:paraId="4A1F7B40" w14:textId="7B3F7377" w:rsidR="008D30C4" w:rsidRPr="00EC010E" w:rsidRDefault="008D30C4" w:rsidP="00EC010E">
            <w:pPr>
              <w:pStyle w:val="TableBody"/>
              <w:jc w:val="center"/>
            </w:pPr>
            <w:r w:rsidRPr="00EC010E">
              <w:t>1</w:t>
            </w:r>
            <w:r w:rsidR="00456921" w:rsidRPr="00EC010E">
              <w:t>10</w:t>
            </w:r>
          </w:p>
        </w:tc>
        <w:tc>
          <w:tcPr>
            <w:tcW w:w="1559" w:type="dxa"/>
          </w:tcPr>
          <w:p w14:paraId="34C829D5" w14:textId="1E14DB43" w:rsidR="008D30C4" w:rsidRPr="00EC010E" w:rsidRDefault="008D30C4" w:rsidP="00EC010E">
            <w:pPr>
              <w:pStyle w:val="TableBody"/>
              <w:jc w:val="center"/>
            </w:pPr>
            <w:r w:rsidRPr="00EC010E">
              <w:t>$</w:t>
            </w:r>
            <w:r w:rsidR="00456921" w:rsidRPr="00EC010E">
              <w:t>876</w:t>
            </w:r>
          </w:p>
        </w:tc>
        <w:tc>
          <w:tcPr>
            <w:tcW w:w="1701" w:type="dxa"/>
          </w:tcPr>
          <w:p w14:paraId="7DF99336" w14:textId="2C9C3008" w:rsidR="008D30C4" w:rsidRPr="00EC010E" w:rsidRDefault="008D30C4" w:rsidP="00EC010E">
            <w:pPr>
              <w:pStyle w:val="TableBody"/>
              <w:jc w:val="center"/>
            </w:pPr>
            <w:r w:rsidRPr="00EC010E">
              <w:t>$</w:t>
            </w:r>
            <w:r w:rsidR="00456921" w:rsidRPr="00EC010E">
              <w:t>907</w:t>
            </w:r>
          </w:p>
        </w:tc>
        <w:tc>
          <w:tcPr>
            <w:tcW w:w="1559" w:type="dxa"/>
          </w:tcPr>
          <w:p w14:paraId="6A917FB7" w14:textId="1B1891A9" w:rsidR="008D30C4" w:rsidRPr="00EC010E" w:rsidRDefault="008D30C4" w:rsidP="00EC010E">
            <w:pPr>
              <w:pStyle w:val="TableBody"/>
              <w:jc w:val="center"/>
            </w:pPr>
            <w:r w:rsidRPr="00EC010E">
              <w:t>$</w:t>
            </w:r>
            <w:r w:rsidR="00456921" w:rsidRPr="00EC010E">
              <w:t>918</w:t>
            </w:r>
          </w:p>
        </w:tc>
      </w:tr>
      <w:tr w:rsidR="008D30C4" w:rsidRPr="00EC010E" w14:paraId="1617CC7A" w14:textId="77777777" w:rsidTr="008D30C4">
        <w:trPr>
          <w:cnfStyle w:val="000000010000" w:firstRow="0" w:lastRow="0" w:firstColumn="0" w:lastColumn="0" w:oddVBand="0" w:evenVBand="0" w:oddHBand="0" w:evenHBand="1" w:firstRowFirstColumn="0" w:firstRowLastColumn="0" w:lastRowFirstColumn="0" w:lastRowLastColumn="0"/>
        </w:trPr>
        <w:tc>
          <w:tcPr>
            <w:tcW w:w="3062" w:type="dxa"/>
            <w:vMerge/>
            <w:shd w:val="clear" w:color="auto" w:fill="F2F2F2" w:themeFill="background1" w:themeFillShade="F2"/>
          </w:tcPr>
          <w:p w14:paraId="50B00051" w14:textId="77777777" w:rsidR="008D30C4" w:rsidRPr="00EC010E" w:rsidRDefault="008D30C4" w:rsidP="00EC010E">
            <w:pPr>
              <w:pStyle w:val="TableBody"/>
            </w:pPr>
          </w:p>
        </w:tc>
        <w:tc>
          <w:tcPr>
            <w:tcW w:w="1843" w:type="dxa"/>
            <w:shd w:val="clear" w:color="auto" w:fill="F2F2F2" w:themeFill="background1" w:themeFillShade="F2"/>
          </w:tcPr>
          <w:p w14:paraId="0B08F22E" w14:textId="3E3AABBE" w:rsidR="008D30C4" w:rsidRPr="00EC010E" w:rsidRDefault="00456921" w:rsidP="00EC010E">
            <w:pPr>
              <w:pStyle w:val="TableBody"/>
              <w:jc w:val="center"/>
            </w:pPr>
            <w:r w:rsidRPr="00EC010E">
              <w:t>180*</w:t>
            </w:r>
          </w:p>
        </w:tc>
        <w:tc>
          <w:tcPr>
            <w:tcW w:w="1559" w:type="dxa"/>
            <w:shd w:val="clear" w:color="auto" w:fill="F2F2F2" w:themeFill="background1" w:themeFillShade="F2"/>
          </w:tcPr>
          <w:p w14:paraId="713F7E83" w14:textId="6AE3DB41" w:rsidR="008D30C4" w:rsidRPr="00EC010E" w:rsidRDefault="008D30C4" w:rsidP="00EC010E">
            <w:pPr>
              <w:pStyle w:val="TableBody"/>
              <w:jc w:val="center"/>
            </w:pPr>
            <w:r w:rsidRPr="00EC010E">
              <w:t>$1,</w:t>
            </w:r>
            <w:r w:rsidR="00456921" w:rsidRPr="00EC010E">
              <w:t>019</w:t>
            </w:r>
          </w:p>
        </w:tc>
        <w:tc>
          <w:tcPr>
            <w:tcW w:w="1701" w:type="dxa"/>
            <w:shd w:val="clear" w:color="auto" w:fill="F2F2F2" w:themeFill="background1" w:themeFillShade="F2"/>
          </w:tcPr>
          <w:p w14:paraId="2BE56373" w14:textId="6FABEDA2" w:rsidR="008D30C4" w:rsidRPr="00EC010E" w:rsidRDefault="008D30C4" w:rsidP="00EC010E">
            <w:pPr>
              <w:pStyle w:val="TableBody"/>
              <w:jc w:val="center"/>
            </w:pPr>
            <w:r w:rsidRPr="00EC010E">
              <w:t>$1,</w:t>
            </w:r>
            <w:r w:rsidR="00456921" w:rsidRPr="00EC010E">
              <w:t>049</w:t>
            </w:r>
          </w:p>
        </w:tc>
        <w:tc>
          <w:tcPr>
            <w:tcW w:w="1559" w:type="dxa"/>
            <w:shd w:val="clear" w:color="auto" w:fill="F2F2F2" w:themeFill="background1" w:themeFillShade="F2"/>
          </w:tcPr>
          <w:p w14:paraId="1A24EFFF" w14:textId="5E1A6FD4" w:rsidR="008D30C4" w:rsidRPr="00EC010E" w:rsidRDefault="008D30C4" w:rsidP="00EC010E">
            <w:pPr>
              <w:pStyle w:val="TableBody"/>
              <w:jc w:val="center"/>
            </w:pPr>
            <w:r w:rsidRPr="00EC010E">
              <w:t>$1,</w:t>
            </w:r>
            <w:r w:rsidR="00456921" w:rsidRPr="00EC010E">
              <w:t>060</w:t>
            </w:r>
          </w:p>
        </w:tc>
      </w:tr>
      <w:tr w:rsidR="008D30C4" w:rsidRPr="00EC010E" w14:paraId="097AEFD2" w14:textId="77777777" w:rsidTr="008D30C4">
        <w:trPr>
          <w:cnfStyle w:val="000000100000" w:firstRow="0" w:lastRow="0" w:firstColumn="0" w:lastColumn="0" w:oddVBand="0" w:evenVBand="0" w:oddHBand="1" w:evenHBand="0" w:firstRowFirstColumn="0" w:firstRowLastColumn="0" w:lastRowFirstColumn="0" w:lastRowLastColumn="0"/>
        </w:trPr>
        <w:tc>
          <w:tcPr>
            <w:tcW w:w="3062" w:type="dxa"/>
            <w:vMerge w:val="restart"/>
            <w:shd w:val="clear" w:color="auto" w:fill="E3E3E4" w:themeFill="background2" w:themeFillTint="33"/>
            <w:vAlign w:val="center"/>
          </w:tcPr>
          <w:p w14:paraId="2A0C18B2" w14:textId="77777777" w:rsidR="008D30C4" w:rsidRPr="00EC010E" w:rsidRDefault="008D30C4" w:rsidP="00EC010E">
            <w:pPr>
              <w:pStyle w:val="TableBody"/>
            </w:pPr>
            <w:r w:rsidRPr="00EC010E">
              <w:t>Residential (Tenant)</w:t>
            </w:r>
          </w:p>
        </w:tc>
        <w:tc>
          <w:tcPr>
            <w:tcW w:w="1843" w:type="dxa"/>
            <w:shd w:val="clear" w:color="auto" w:fill="E3E3E4" w:themeFill="background2" w:themeFillTint="33"/>
          </w:tcPr>
          <w:p w14:paraId="2D1C3D3B" w14:textId="49C1D770" w:rsidR="008D30C4" w:rsidRPr="00EC010E" w:rsidRDefault="008D30C4" w:rsidP="00EC010E">
            <w:pPr>
              <w:pStyle w:val="TableBody"/>
              <w:jc w:val="center"/>
            </w:pPr>
            <w:r w:rsidRPr="00EC010E">
              <w:t>11</w:t>
            </w:r>
            <w:r w:rsidR="00456921" w:rsidRPr="00EC010E">
              <w:t>0</w:t>
            </w:r>
          </w:p>
        </w:tc>
        <w:tc>
          <w:tcPr>
            <w:tcW w:w="1559" w:type="dxa"/>
            <w:shd w:val="clear" w:color="auto" w:fill="E3E3E4" w:themeFill="background2" w:themeFillTint="33"/>
          </w:tcPr>
          <w:p w14:paraId="2F65CEBC" w14:textId="4EA028DF" w:rsidR="008D30C4" w:rsidRPr="00EC010E" w:rsidRDefault="008D30C4" w:rsidP="00EC010E">
            <w:pPr>
              <w:pStyle w:val="TableBody"/>
              <w:jc w:val="center"/>
            </w:pPr>
            <w:r w:rsidRPr="00EC010E">
              <w:t>$</w:t>
            </w:r>
            <w:r w:rsidR="00456921" w:rsidRPr="00EC010E">
              <w:t>101</w:t>
            </w:r>
          </w:p>
        </w:tc>
        <w:tc>
          <w:tcPr>
            <w:tcW w:w="1701" w:type="dxa"/>
            <w:shd w:val="clear" w:color="auto" w:fill="E3E3E4" w:themeFill="background2" w:themeFillTint="33"/>
          </w:tcPr>
          <w:p w14:paraId="6FB8D504" w14:textId="4995B754" w:rsidR="008D30C4" w:rsidRPr="00EC010E" w:rsidRDefault="008D30C4" w:rsidP="00EC010E">
            <w:pPr>
              <w:pStyle w:val="TableBody"/>
              <w:jc w:val="center"/>
            </w:pPr>
            <w:r w:rsidRPr="00EC010E">
              <w:t>$</w:t>
            </w:r>
            <w:r w:rsidR="00456921" w:rsidRPr="00EC010E">
              <w:t>116</w:t>
            </w:r>
          </w:p>
        </w:tc>
        <w:tc>
          <w:tcPr>
            <w:tcW w:w="1559" w:type="dxa"/>
            <w:shd w:val="clear" w:color="auto" w:fill="E3E3E4" w:themeFill="background2" w:themeFillTint="33"/>
          </w:tcPr>
          <w:p w14:paraId="20D0E8AD" w14:textId="5E277AAA" w:rsidR="008D30C4" w:rsidRPr="00EC010E" w:rsidRDefault="008D30C4" w:rsidP="00EC010E">
            <w:pPr>
              <w:pStyle w:val="TableBody"/>
              <w:jc w:val="center"/>
            </w:pPr>
            <w:r w:rsidRPr="00EC010E">
              <w:t>$</w:t>
            </w:r>
            <w:r w:rsidR="00456921" w:rsidRPr="00EC010E">
              <w:t>131</w:t>
            </w:r>
          </w:p>
        </w:tc>
      </w:tr>
      <w:tr w:rsidR="008D30C4" w:rsidRPr="00EC010E" w14:paraId="60D137CC" w14:textId="77777777" w:rsidTr="00707CAC">
        <w:trPr>
          <w:cnfStyle w:val="000000010000" w:firstRow="0" w:lastRow="0" w:firstColumn="0" w:lastColumn="0" w:oddVBand="0" w:evenVBand="0" w:oddHBand="0" w:evenHBand="1" w:firstRowFirstColumn="0" w:firstRowLastColumn="0" w:lastRowFirstColumn="0" w:lastRowLastColumn="0"/>
        </w:trPr>
        <w:tc>
          <w:tcPr>
            <w:tcW w:w="3062" w:type="dxa"/>
            <w:vMerge/>
          </w:tcPr>
          <w:p w14:paraId="4C4EFCE4" w14:textId="77777777" w:rsidR="008D30C4" w:rsidRPr="00EC010E" w:rsidRDefault="008D30C4" w:rsidP="00EC010E">
            <w:pPr>
              <w:pStyle w:val="TableBody"/>
            </w:pPr>
          </w:p>
        </w:tc>
        <w:tc>
          <w:tcPr>
            <w:tcW w:w="1843" w:type="dxa"/>
          </w:tcPr>
          <w:p w14:paraId="0D489A1D" w14:textId="4FA62EAC" w:rsidR="008D30C4" w:rsidRPr="00EC010E" w:rsidRDefault="00456921" w:rsidP="00EC010E">
            <w:pPr>
              <w:pStyle w:val="TableBody"/>
              <w:jc w:val="center"/>
            </w:pPr>
            <w:r w:rsidRPr="00EC010E">
              <w:t>180</w:t>
            </w:r>
            <w:r w:rsidR="00CC1A43" w:rsidRPr="00EC010E">
              <w:t>*</w:t>
            </w:r>
          </w:p>
        </w:tc>
        <w:tc>
          <w:tcPr>
            <w:tcW w:w="1559" w:type="dxa"/>
          </w:tcPr>
          <w:p w14:paraId="354CF180" w14:textId="6292949A" w:rsidR="008D30C4" w:rsidRPr="00EC010E" w:rsidRDefault="008D30C4" w:rsidP="00EC010E">
            <w:pPr>
              <w:pStyle w:val="TableBody"/>
              <w:jc w:val="center"/>
            </w:pPr>
            <w:r w:rsidRPr="00EC010E">
              <w:t>$</w:t>
            </w:r>
            <w:r w:rsidR="00456921" w:rsidRPr="00EC010E">
              <w:t>243</w:t>
            </w:r>
          </w:p>
        </w:tc>
        <w:tc>
          <w:tcPr>
            <w:tcW w:w="1701" w:type="dxa"/>
          </w:tcPr>
          <w:p w14:paraId="63D9805B" w14:textId="0278FD45" w:rsidR="008D30C4" w:rsidRPr="00EC010E" w:rsidRDefault="008D30C4" w:rsidP="00EC010E">
            <w:pPr>
              <w:pStyle w:val="TableBody"/>
              <w:jc w:val="center"/>
            </w:pPr>
            <w:r w:rsidRPr="00EC010E">
              <w:t>$</w:t>
            </w:r>
            <w:r w:rsidR="00456921" w:rsidRPr="00EC010E">
              <w:t>258</w:t>
            </w:r>
          </w:p>
        </w:tc>
        <w:tc>
          <w:tcPr>
            <w:tcW w:w="1559" w:type="dxa"/>
          </w:tcPr>
          <w:p w14:paraId="2A1E207D" w14:textId="2D71FBF5" w:rsidR="008D30C4" w:rsidRPr="00EC010E" w:rsidRDefault="008D30C4" w:rsidP="00EC010E">
            <w:pPr>
              <w:pStyle w:val="TableBody"/>
              <w:jc w:val="center"/>
            </w:pPr>
            <w:r w:rsidRPr="00EC010E">
              <w:t>$</w:t>
            </w:r>
            <w:r w:rsidR="00456921" w:rsidRPr="00EC010E">
              <w:t>273</w:t>
            </w:r>
          </w:p>
        </w:tc>
      </w:tr>
      <w:tr w:rsidR="004F5F7F" w:rsidRPr="00EC010E" w14:paraId="7B167466" w14:textId="77777777" w:rsidTr="00707CAC">
        <w:trPr>
          <w:cnfStyle w:val="000000100000" w:firstRow="0" w:lastRow="0" w:firstColumn="0" w:lastColumn="0" w:oddVBand="0" w:evenVBand="0" w:oddHBand="1" w:evenHBand="0" w:firstRowFirstColumn="0" w:firstRowLastColumn="0" w:lastRowFirstColumn="0" w:lastRowLastColumn="0"/>
        </w:trPr>
        <w:tc>
          <w:tcPr>
            <w:tcW w:w="3062" w:type="dxa"/>
          </w:tcPr>
          <w:p w14:paraId="55566586" w14:textId="77777777" w:rsidR="004F5F7F" w:rsidRPr="00EC010E" w:rsidRDefault="004F5F7F" w:rsidP="00EC010E">
            <w:pPr>
              <w:pStyle w:val="TableBody"/>
            </w:pPr>
            <w:r w:rsidRPr="00EC010E">
              <w:t>Non-residential (Small)</w:t>
            </w:r>
          </w:p>
        </w:tc>
        <w:tc>
          <w:tcPr>
            <w:tcW w:w="1843" w:type="dxa"/>
          </w:tcPr>
          <w:p w14:paraId="6E81AC67" w14:textId="47DFB214" w:rsidR="004F5F7F" w:rsidRPr="00EC010E" w:rsidRDefault="004F5F7F" w:rsidP="00EC010E">
            <w:pPr>
              <w:pStyle w:val="TableBody"/>
              <w:jc w:val="center"/>
            </w:pPr>
            <w:r w:rsidRPr="00EC010E">
              <w:t>1</w:t>
            </w:r>
            <w:r w:rsidR="00456921" w:rsidRPr="00EC010E">
              <w:t>50</w:t>
            </w:r>
          </w:p>
        </w:tc>
        <w:tc>
          <w:tcPr>
            <w:tcW w:w="1559" w:type="dxa"/>
          </w:tcPr>
          <w:p w14:paraId="7FBFECBE" w14:textId="41D618B8" w:rsidR="004F5F7F" w:rsidRPr="00EC010E" w:rsidRDefault="004F5F7F" w:rsidP="00EC010E">
            <w:pPr>
              <w:pStyle w:val="TableBody"/>
              <w:jc w:val="center"/>
            </w:pPr>
            <w:r w:rsidRPr="00EC010E">
              <w:t>$</w:t>
            </w:r>
            <w:r w:rsidR="00456921" w:rsidRPr="00EC010E">
              <w:t>1,143</w:t>
            </w:r>
          </w:p>
        </w:tc>
        <w:tc>
          <w:tcPr>
            <w:tcW w:w="1701" w:type="dxa"/>
          </w:tcPr>
          <w:p w14:paraId="00EA22A6" w14:textId="3850F4BC" w:rsidR="004F5F7F" w:rsidRPr="00EC010E" w:rsidRDefault="004F5F7F" w:rsidP="00EC010E">
            <w:pPr>
              <w:pStyle w:val="TableBody"/>
              <w:jc w:val="center"/>
            </w:pPr>
            <w:r w:rsidRPr="00EC010E">
              <w:t>$1,1</w:t>
            </w:r>
            <w:r w:rsidR="00456921" w:rsidRPr="00EC010E">
              <w:t>79</w:t>
            </w:r>
          </w:p>
        </w:tc>
        <w:tc>
          <w:tcPr>
            <w:tcW w:w="1559" w:type="dxa"/>
          </w:tcPr>
          <w:p w14:paraId="313FE3E4" w14:textId="0188A64C" w:rsidR="004F5F7F" w:rsidRPr="00EC010E" w:rsidRDefault="004F5F7F" w:rsidP="00EC010E">
            <w:pPr>
              <w:pStyle w:val="TableBody"/>
              <w:jc w:val="center"/>
            </w:pPr>
            <w:r w:rsidRPr="00EC010E">
              <w:t>$1,</w:t>
            </w:r>
            <w:r w:rsidR="00456921" w:rsidRPr="00EC010E">
              <w:t>191</w:t>
            </w:r>
          </w:p>
        </w:tc>
      </w:tr>
      <w:tr w:rsidR="004F5F7F" w:rsidRPr="00EC010E" w14:paraId="49BC9E28" w14:textId="77777777" w:rsidTr="00707CAC">
        <w:trPr>
          <w:cnfStyle w:val="000000010000" w:firstRow="0" w:lastRow="0" w:firstColumn="0" w:lastColumn="0" w:oddVBand="0" w:evenVBand="0" w:oddHBand="0" w:evenHBand="1" w:firstRowFirstColumn="0" w:firstRowLastColumn="0" w:lastRowFirstColumn="0" w:lastRowLastColumn="0"/>
        </w:trPr>
        <w:tc>
          <w:tcPr>
            <w:tcW w:w="3062" w:type="dxa"/>
          </w:tcPr>
          <w:p w14:paraId="277C58D7" w14:textId="77777777" w:rsidR="004F5F7F" w:rsidRPr="00EC010E" w:rsidRDefault="004F5F7F" w:rsidP="00EC010E">
            <w:pPr>
              <w:pStyle w:val="TableBody"/>
            </w:pPr>
            <w:r w:rsidRPr="00EC010E">
              <w:t>Non-residential (Medium)</w:t>
            </w:r>
          </w:p>
        </w:tc>
        <w:tc>
          <w:tcPr>
            <w:tcW w:w="1843" w:type="dxa"/>
          </w:tcPr>
          <w:p w14:paraId="68690200" w14:textId="1E999E8F" w:rsidR="004F5F7F" w:rsidRPr="00EC010E" w:rsidRDefault="00456921" w:rsidP="00EC010E">
            <w:pPr>
              <w:pStyle w:val="TableBody"/>
              <w:jc w:val="center"/>
            </w:pPr>
            <w:r w:rsidRPr="00EC010E">
              <w:t>250</w:t>
            </w:r>
          </w:p>
        </w:tc>
        <w:tc>
          <w:tcPr>
            <w:tcW w:w="1559" w:type="dxa"/>
          </w:tcPr>
          <w:p w14:paraId="1F7EA84C" w14:textId="20033DB9" w:rsidR="004F5F7F" w:rsidRPr="00EC010E" w:rsidRDefault="004F5F7F" w:rsidP="00EC010E">
            <w:pPr>
              <w:pStyle w:val="TableBody"/>
              <w:jc w:val="center"/>
            </w:pPr>
            <w:r w:rsidRPr="00EC010E">
              <w:t>$1,</w:t>
            </w:r>
            <w:r w:rsidR="00456921" w:rsidRPr="00EC010E">
              <w:t>390</w:t>
            </w:r>
          </w:p>
        </w:tc>
        <w:tc>
          <w:tcPr>
            <w:tcW w:w="1701" w:type="dxa"/>
          </w:tcPr>
          <w:p w14:paraId="590B2D78" w14:textId="0958E10A" w:rsidR="004F5F7F" w:rsidRPr="00EC010E" w:rsidRDefault="004F5F7F" w:rsidP="00EC010E">
            <w:pPr>
              <w:pStyle w:val="TableBody"/>
              <w:jc w:val="center"/>
            </w:pPr>
            <w:r w:rsidRPr="00EC010E">
              <w:t>$1,</w:t>
            </w:r>
            <w:r w:rsidR="00456921" w:rsidRPr="00EC010E">
              <w:t>425</w:t>
            </w:r>
          </w:p>
        </w:tc>
        <w:tc>
          <w:tcPr>
            <w:tcW w:w="1559" w:type="dxa"/>
          </w:tcPr>
          <w:p w14:paraId="1CDC47D6" w14:textId="07EA7E23" w:rsidR="004F5F7F" w:rsidRPr="00EC010E" w:rsidRDefault="004F5F7F" w:rsidP="00EC010E">
            <w:pPr>
              <w:pStyle w:val="TableBody"/>
              <w:jc w:val="center"/>
            </w:pPr>
            <w:r w:rsidRPr="00EC010E">
              <w:t>$1,</w:t>
            </w:r>
            <w:r w:rsidR="00456921" w:rsidRPr="00EC010E">
              <w:t>438</w:t>
            </w:r>
          </w:p>
        </w:tc>
      </w:tr>
      <w:tr w:rsidR="004F5F7F" w:rsidRPr="00EC010E" w14:paraId="0E991A51" w14:textId="77777777" w:rsidTr="00707CAC">
        <w:trPr>
          <w:cnfStyle w:val="000000100000" w:firstRow="0" w:lastRow="0" w:firstColumn="0" w:lastColumn="0" w:oddVBand="0" w:evenVBand="0" w:oddHBand="1" w:evenHBand="0" w:firstRowFirstColumn="0" w:firstRowLastColumn="0" w:lastRowFirstColumn="0" w:lastRowLastColumn="0"/>
        </w:trPr>
        <w:tc>
          <w:tcPr>
            <w:tcW w:w="3062" w:type="dxa"/>
          </w:tcPr>
          <w:p w14:paraId="640C2DF6" w14:textId="77777777" w:rsidR="004F5F7F" w:rsidRPr="00EC010E" w:rsidRDefault="004F5F7F" w:rsidP="00EC010E">
            <w:pPr>
              <w:pStyle w:val="TableBody"/>
            </w:pPr>
            <w:r w:rsidRPr="00EC010E">
              <w:t>Non-residential (Large)</w:t>
            </w:r>
          </w:p>
        </w:tc>
        <w:tc>
          <w:tcPr>
            <w:tcW w:w="1843" w:type="dxa"/>
          </w:tcPr>
          <w:p w14:paraId="424C1082" w14:textId="77777777" w:rsidR="004F5F7F" w:rsidRPr="00EC010E" w:rsidRDefault="004F5F7F" w:rsidP="00EC010E">
            <w:pPr>
              <w:pStyle w:val="TableBody"/>
              <w:jc w:val="center"/>
            </w:pPr>
            <w:r w:rsidRPr="00EC010E">
              <w:t>700</w:t>
            </w:r>
          </w:p>
        </w:tc>
        <w:tc>
          <w:tcPr>
            <w:tcW w:w="1559" w:type="dxa"/>
          </w:tcPr>
          <w:p w14:paraId="7B221268" w14:textId="529CADD0" w:rsidR="004F5F7F" w:rsidRPr="00EC010E" w:rsidRDefault="004F5F7F" w:rsidP="00EC010E">
            <w:pPr>
              <w:pStyle w:val="TableBody"/>
              <w:jc w:val="center"/>
            </w:pPr>
            <w:r w:rsidRPr="00EC010E">
              <w:t>$</w:t>
            </w:r>
            <w:r w:rsidR="00456921" w:rsidRPr="00EC010E">
              <w:t>2,499</w:t>
            </w:r>
          </w:p>
        </w:tc>
        <w:tc>
          <w:tcPr>
            <w:tcW w:w="1701" w:type="dxa"/>
          </w:tcPr>
          <w:p w14:paraId="65290F0C" w14:textId="7CE5D53A" w:rsidR="004F5F7F" w:rsidRPr="00EC010E" w:rsidRDefault="004F5F7F" w:rsidP="00EC010E">
            <w:pPr>
              <w:pStyle w:val="TableBody"/>
              <w:jc w:val="center"/>
            </w:pPr>
            <w:r w:rsidRPr="00EC010E">
              <w:t>$2,</w:t>
            </w:r>
            <w:r w:rsidR="00456921" w:rsidRPr="00EC010E">
              <w:t>535</w:t>
            </w:r>
          </w:p>
        </w:tc>
        <w:tc>
          <w:tcPr>
            <w:tcW w:w="1559" w:type="dxa"/>
          </w:tcPr>
          <w:p w14:paraId="73333585" w14:textId="7951B68C" w:rsidR="004F5F7F" w:rsidRPr="00EC010E" w:rsidRDefault="004F5F7F" w:rsidP="00EC010E">
            <w:pPr>
              <w:pStyle w:val="TableBody"/>
              <w:jc w:val="center"/>
            </w:pPr>
            <w:r w:rsidRPr="00EC010E">
              <w:t>$2,5</w:t>
            </w:r>
            <w:r w:rsidR="00456921" w:rsidRPr="00EC010E">
              <w:t>47</w:t>
            </w:r>
          </w:p>
        </w:tc>
      </w:tr>
    </w:tbl>
    <w:p w14:paraId="2628E920" w14:textId="33797CD5" w:rsidR="004F2795" w:rsidRPr="00EC010E" w:rsidRDefault="00C85D0D" w:rsidP="00EC010E">
      <w:pPr>
        <w:pStyle w:val="Source"/>
        <w:spacing w:line="240" w:lineRule="auto"/>
      </w:pPr>
      <w:r w:rsidRPr="00EC010E">
        <w:t>*1</w:t>
      </w:r>
      <w:r w:rsidR="00456921" w:rsidRPr="00EC010E">
        <w:t>80</w:t>
      </w:r>
      <w:r w:rsidRPr="00EC010E">
        <w:t xml:space="preserve">kL per annum is the average consumption </w:t>
      </w:r>
      <w:r w:rsidR="00545592" w:rsidRPr="00EC010E">
        <w:t>of</w:t>
      </w:r>
      <w:r w:rsidRPr="00EC010E">
        <w:t xml:space="preserve"> </w:t>
      </w:r>
      <w:r w:rsidR="00CF1EC6" w:rsidRPr="00EC010E">
        <w:t>Western</w:t>
      </w:r>
      <w:r w:rsidRPr="00EC010E">
        <w:t xml:space="preserve"> Water’s customers</w:t>
      </w:r>
      <w:r w:rsidR="00CC1A43" w:rsidRPr="00EC010E">
        <w:t>, 110kL per annum represents a typical small customer</w:t>
      </w:r>
    </w:p>
    <w:p w14:paraId="3D2A63D3" w14:textId="027E8E26" w:rsidR="00456921" w:rsidRPr="00EC010E" w:rsidRDefault="00456921" w:rsidP="00EC010E">
      <w:pPr>
        <w:spacing w:line="240" w:lineRule="auto"/>
        <w:rPr>
          <w:iCs/>
          <w:color w:val="4986A0" w:themeColor="text2"/>
          <w:sz w:val="18"/>
          <w:szCs w:val="18"/>
        </w:rPr>
      </w:pPr>
      <w:r w:rsidRPr="00EC010E">
        <w:rPr>
          <w:iCs/>
          <w:color w:val="4986A0" w:themeColor="text2"/>
          <w:sz w:val="18"/>
          <w:szCs w:val="18"/>
        </w:rPr>
        <w:t>*</w:t>
      </w:r>
      <w:r w:rsidR="0013476C" w:rsidRPr="00EC010E">
        <w:rPr>
          <w:iCs/>
          <w:color w:val="4986A0" w:themeColor="text2"/>
          <w:sz w:val="18"/>
          <w:szCs w:val="18"/>
        </w:rPr>
        <w:t>*</w:t>
      </w:r>
      <w:r w:rsidRPr="00EC010E">
        <w:rPr>
          <w:iCs/>
          <w:color w:val="4986A0" w:themeColor="text2"/>
          <w:sz w:val="18"/>
          <w:szCs w:val="18"/>
        </w:rPr>
        <w:t xml:space="preserve">includes </w:t>
      </w:r>
      <w:r w:rsidR="00CC1A43" w:rsidRPr="00EC010E">
        <w:rPr>
          <w:iCs/>
          <w:color w:val="4986A0" w:themeColor="text2"/>
          <w:sz w:val="18"/>
          <w:szCs w:val="18"/>
        </w:rPr>
        <w:t xml:space="preserve">Western Water’s </w:t>
      </w:r>
      <w:r w:rsidRPr="00EC010E">
        <w:rPr>
          <w:iCs/>
          <w:color w:val="4986A0" w:themeColor="text2"/>
          <w:sz w:val="18"/>
          <w:szCs w:val="18"/>
        </w:rPr>
        <w:t>proposed cost of debt adjustment of approximately $20 to fixed service charges</w:t>
      </w:r>
    </w:p>
    <w:p w14:paraId="1E445DBC" w14:textId="7A3B4A81" w:rsidR="00456921" w:rsidRPr="0013476C" w:rsidRDefault="00456921" w:rsidP="00EC010E">
      <w:pPr>
        <w:spacing w:line="240" w:lineRule="auto"/>
        <w:rPr>
          <w:iCs/>
          <w:color w:val="4986A0" w:themeColor="text2"/>
          <w:sz w:val="18"/>
          <w:szCs w:val="18"/>
        </w:rPr>
      </w:pPr>
      <w:r w:rsidRPr="00EC010E">
        <w:rPr>
          <w:iCs/>
          <w:color w:val="4986A0" w:themeColor="text2"/>
          <w:sz w:val="18"/>
          <w:szCs w:val="18"/>
        </w:rPr>
        <w:t>**</w:t>
      </w:r>
      <w:r w:rsidR="0013476C" w:rsidRPr="00EC010E">
        <w:rPr>
          <w:iCs/>
          <w:color w:val="4986A0" w:themeColor="text2"/>
          <w:sz w:val="18"/>
          <w:szCs w:val="18"/>
        </w:rPr>
        <w:t>*</w:t>
      </w:r>
      <w:r w:rsidRPr="00EC010E">
        <w:rPr>
          <w:iCs/>
          <w:color w:val="4986A0" w:themeColor="text2"/>
          <w:sz w:val="18"/>
          <w:szCs w:val="18"/>
        </w:rPr>
        <w:t>no pre-adjustment for cost of debt for 2021</w:t>
      </w:r>
      <w:r w:rsidR="00CC1A43" w:rsidRPr="00EC010E">
        <w:rPr>
          <w:iCs/>
          <w:color w:val="4986A0" w:themeColor="text2"/>
          <w:sz w:val="18"/>
          <w:szCs w:val="18"/>
        </w:rPr>
        <w:t>-</w:t>
      </w:r>
      <w:r w:rsidRPr="00EC010E">
        <w:rPr>
          <w:iCs/>
          <w:color w:val="4986A0" w:themeColor="text2"/>
          <w:sz w:val="18"/>
          <w:szCs w:val="18"/>
        </w:rPr>
        <w:t>22 &amp; 2022</w:t>
      </w:r>
      <w:r w:rsidR="00CC1A43" w:rsidRPr="00EC010E">
        <w:rPr>
          <w:iCs/>
          <w:color w:val="4986A0" w:themeColor="text2"/>
          <w:sz w:val="18"/>
          <w:szCs w:val="18"/>
        </w:rPr>
        <w:t>-</w:t>
      </w:r>
      <w:r w:rsidRPr="00EC010E">
        <w:rPr>
          <w:iCs/>
          <w:color w:val="4986A0" w:themeColor="text2"/>
          <w:sz w:val="18"/>
          <w:szCs w:val="18"/>
        </w:rPr>
        <w:t>23 (actual cost of debt adjustments will apply)</w:t>
      </w:r>
    </w:p>
    <w:p w14:paraId="0993FE3F" w14:textId="77777777" w:rsidR="004F5F7F" w:rsidRPr="00710122" w:rsidRDefault="004F5F7F" w:rsidP="004F5F7F">
      <w:pPr>
        <w:pStyle w:val="Heading2"/>
      </w:pPr>
      <w:r>
        <w:lastRenderedPageBreak/>
        <w:t>What are the o</w:t>
      </w:r>
      <w:r w:rsidRPr="00710122">
        <w:t>utcomes for customers</w:t>
      </w:r>
      <w:r>
        <w:t>?</w:t>
      </w:r>
    </w:p>
    <w:p w14:paraId="32EFBB31" w14:textId="5A566CD7" w:rsidR="004B346F" w:rsidRPr="00EC010E" w:rsidRDefault="004B346F" w:rsidP="004B346F">
      <w:r w:rsidRPr="00EC010E">
        <w:t>When developing its submission, Western Water engaged with customers to identify key outcomes its prices will deliver during 20</w:t>
      </w:r>
      <w:r w:rsidR="00B75302" w:rsidRPr="00EC010E">
        <w:t>20</w:t>
      </w:r>
      <w:r w:rsidRPr="00EC010E">
        <w:t xml:space="preserve"> to 2023. These outcomes include a focus on affordability, reliability of services, use of technology to provide better customer service</w:t>
      </w:r>
      <w:r w:rsidR="00504E37" w:rsidRPr="00EC010E">
        <w:t>,</w:t>
      </w:r>
      <w:r w:rsidRPr="00EC010E">
        <w:t xml:space="preserve"> and the environment.</w:t>
      </w:r>
    </w:p>
    <w:p w14:paraId="31ED1EB1" w14:textId="3816CB0C" w:rsidR="004B346F" w:rsidRPr="00EC010E" w:rsidRDefault="004B346F" w:rsidP="004B346F">
      <w:r w:rsidRPr="00EC010E">
        <w:t xml:space="preserve">In response to customer feedback, it proposed to make a Guaranteed Service Level payment of $100 to a customer who experiences more than five water supply interruptions in 12 months. </w:t>
      </w:r>
    </w:p>
    <w:p w14:paraId="686CA89C" w14:textId="77777777" w:rsidR="004F5F7F" w:rsidRPr="00EC010E" w:rsidRDefault="004F5F7F" w:rsidP="004F5F7F">
      <w:pPr>
        <w:pStyle w:val="Heading2"/>
        <w:spacing w:after="0"/>
      </w:pPr>
      <w:r w:rsidRPr="00EC010E">
        <w:t>What are the major works that will go on around you?</w:t>
      </w:r>
    </w:p>
    <w:p w14:paraId="2B8D5086" w14:textId="77777777" w:rsidR="004F5F7F" w:rsidRPr="00EC010E" w:rsidRDefault="004F5F7F" w:rsidP="004F5F7F">
      <w:pPr>
        <w:pStyle w:val="Heading2"/>
        <w:spacing w:before="0"/>
      </w:pPr>
      <w:r w:rsidRPr="00EC010E">
        <w:rPr>
          <w:rFonts w:asciiTheme="majorHAnsi" w:hAnsiTheme="majorHAnsi"/>
          <w:color w:val="000000" w:themeColor="text1"/>
          <w:sz w:val="22"/>
          <w:szCs w:val="24"/>
        </w:rPr>
        <w:t xml:space="preserve"> ($ million before inflation)</w:t>
      </w:r>
    </w:p>
    <w:tbl>
      <w:tblPr>
        <w:tblStyle w:val="TableGrid"/>
        <w:tblW w:w="9724" w:type="dxa"/>
        <w:tblLook w:val="04A0" w:firstRow="1" w:lastRow="0" w:firstColumn="1" w:lastColumn="0" w:noHBand="0" w:noVBand="1"/>
      </w:tblPr>
      <w:tblGrid>
        <w:gridCol w:w="2070"/>
        <w:gridCol w:w="6804"/>
        <w:gridCol w:w="850"/>
      </w:tblGrid>
      <w:tr w:rsidR="004F5F7F" w:rsidRPr="00EC010E" w14:paraId="35C7A2A6" w14:textId="77777777" w:rsidTr="004F2795">
        <w:trPr>
          <w:cnfStyle w:val="100000000000" w:firstRow="1" w:lastRow="0" w:firstColumn="0" w:lastColumn="0" w:oddVBand="0" w:evenVBand="0" w:oddHBand="0" w:evenHBand="0" w:firstRowFirstColumn="0" w:firstRowLastColumn="0" w:lastRowFirstColumn="0" w:lastRowLastColumn="0"/>
          <w:tblHeader/>
        </w:trPr>
        <w:tc>
          <w:tcPr>
            <w:tcW w:w="2070" w:type="dxa"/>
          </w:tcPr>
          <w:p w14:paraId="6756F513" w14:textId="77777777" w:rsidR="004F5F7F" w:rsidRPr="00EC010E" w:rsidRDefault="004F5F7F" w:rsidP="00707CAC">
            <w:r w:rsidRPr="00EC010E">
              <w:t>Project</w:t>
            </w:r>
          </w:p>
        </w:tc>
        <w:tc>
          <w:tcPr>
            <w:tcW w:w="6804" w:type="dxa"/>
          </w:tcPr>
          <w:p w14:paraId="0E04D649" w14:textId="77777777" w:rsidR="004F5F7F" w:rsidRPr="00EC010E" w:rsidRDefault="004F5F7F" w:rsidP="00707CAC">
            <w:r w:rsidRPr="00EC010E">
              <w:t>Detail</w:t>
            </w:r>
          </w:p>
        </w:tc>
        <w:tc>
          <w:tcPr>
            <w:tcW w:w="850" w:type="dxa"/>
          </w:tcPr>
          <w:p w14:paraId="6A9D7613" w14:textId="77777777" w:rsidR="004F5F7F" w:rsidRPr="00EC010E" w:rsidRDefault="004F5F7F" w:rsidP="00707CAC">
            <w:pPr>
              <w:jc w:val="center"/>
            </w:pPr>
            <w:r w:rsidRPr="00EC010E">
              <w:t>Total</w:t>
            </w:r>
          </w:p>
        </w:tc>
      </w:tr>
      <w:tr w:rsidR="004B1F11" w:rsidRPr="00EC010E" w14:paraId="4A66FD01" w14:textId="77777777" w:rsidTr="004F2795">
        <w:trPr>
          <w:cnfStyle w:val="000000100000" w:firstRow="0" w:lastRow="0" w:firstColumn="0" w:lastColumn="0" w:oddVBand="0" w:evenVBand="0" w:oddHBand="1" w:evenHBand="0" w:firstRowFirstColumn="0" w:firstRowLastColumn="0" w:lastRowFirstColumn="0" w:lastRowLastColumn="0"/>
        </w:trPr>
        <w:tc>
          <w:tcPr>
            <w:tcW w:w="2070" w:type="dxa"/>
            <w:vAlign w:val="center"/>
          </w:tcPr>
          <w:p w14:paraId="46B79BC9" w14:textId="1B265580" w:rsidR="004B1F11" w:rsidRPr="00EC010E" w:rsidRDefault="004B1F11" w:rsidP="004B1F11">
            <w:r w:rsidRPr="00EC010E">
              <w:t>Parwan-Balliang irrigation district network</w:t>
            </w:r>
          </w:p>
        </w:tc>
        <w:tc>
          <w:tcPr>
            <w:tcW w:w="6804" w:type="dxa"/>
          </w:tcPr>
          <w:p w14:paraId="0CE053ED" w14:textId="625278D8" w:rsidR="004B1F11" w:rsidRPr="00EC010E" w:rsidRDefault="004B1F11" w:rsidP="004B1F11">
            <w:r w:rsidRPr="00EC010E">
              <w:t>To meet increased volumes in the Melton, Bacchus Marsh, and Sunbury recycled water plants, Western Water proposes to develop a new irrigation district in the Parwan/Ba</w:t>
            </w:r>
            <w:r w:rsidR="00CF4BA8" w:rsidRPr="00EC010E">
              <w:t>l</w:t>
            </w:r>
            <w:r w:rsidRPr="00EC010E">
              <w:t>liang area.</w:t>
            </w:r>
          </w:p>
        </w:tc>
        <w:tc>
          <w:tcPr>
            <w:tcW w:w="850" w:type="dxa"/>
            <w:vAlign w:val="center"/>
          </w:tcPr>
          <w:p w14:paraId="15005FC6" w14:textId="3116C578" w:rsidR="004B1F11" w:rsidRPr="00EC010E" w:rsidRDefault="004B1F11" w:rsidP="004B1F11">
            <w:pPr>
              <w:pStyle w:val="TableBold"/>
              <w:jc w:val="center"/>
            </w:pPr>
            <w:r w:rsidRPr="00EC010E">
              <w:t>$17.73</w:t>
            </w:r>
          </w:p>
        </w:tc>
      </w:tr>
      <w:tr w:rsidR="004B1F11" w:rsidRPr="00EC010E" w14:paraId="3575A599" w14:textId="77777777" w:rsidTr="004F2795">
        <w:trPr>
          <w:cnfStyle w:val="000000010000" w:firstRow="0" w:lastRow="0" w:firstColumn="0" w:lastColumn="0" w:oddVBand="0" w:evenVBand="0" w:oddHBand="0" w:evenHBand="1" w:firstRowFirstColumn="0" w:firstRowLastColumn="0" w:lastRowFirstColumn="0" w:lastRowLastColumn="0"/>
        </w:trPr>
        <w:tc>
          <w:tcPr>
            <w:tcW w:w="2070" w:type="dxa"/>
            <w:vAlign w:val="center"/>
          </w:tcPr>
          <w:p w14:paraId="6C04F38A" w14:textId="5F3D8D9E" w:rsidR="004B1F11" w:rsidRPr="00EC010E" w:rsidRDefault="004B1F11" w:rsidP="004B1F11">
            <w:r w:rsidRPr="00EC010E">
              <w:t>Melton recycled water plant – increased storage</w:t>
            </w:r>
          </w:p>
        </w:tc>
        <w:tc>
          <w:tcPr>
            <w:tcW w:w="6804" w:type="dxa"/>
          </w:tcPr>
          <w:p w14:paraId="14FFEFB8" w14:textId="27D39BC0" w:rsidR="004B1F11" w:rsidRPr="00EC010E" w:rsidRDefault="004B1F11" w:rsidP="004B1F11">
            <w:r w:rsidRPr="00EC010E">
              <w:t xml:space="preserve">The irrigation and storage system in Melton </w:t>
            </w:r>
            <w:proofErr w:type="gramStart"/>
            <w:r w:rsidRPr="00EC010E">
              <w:t>is</w:t>
            </w:r>
            <w:proofErr w:type="gramEnd"/>
            <w:r w:rsidRPr="00EC010E">
              <w:t xml:space="preserve"> at capacity</w:t>
            </w:r>
            <w:r w:rsidR="00FD1E3D" w:rsidRPr="00EC010E">
              <w:t xml:space="preserve">, and at risk of </w:t>
            </w:r>
            <w:r w:rsidRPr="00EC010E">
              <w:t>breaching the Environmental Protection Act. Construction of a winter storage was identified as the best option to achieve compliance when the current EPA licence expires</w:t>
            </w:r>
            <w:r w:rsidR="00FD1E3D" w:rsidRPr="00EC010E">
              <w:t>.</w:t>
            </w:r>
          </w:p>
        </w:tc>
        <w:tc>
          <w:tcPr>
            <w:tcW w:w="850" w:type="dxa"/>
            <w:vAlign w:val="center"/>
          </w:tcPr>
          <w:p w14:paraId="399C1F9D" w14:textId="586993D0" w:rsidR="004B1F11" w:rsidRPr="00EC010E" w:rsidRDefault="004B1F11" w:rsidP="004B1F11">
            <w:pPr>
              <w:pStyle w:val="TableBold"/>
              <w:jc w:val="center"/>
            </w:pPr>
            <w:r w:rsidRPr="00EC010E">
              <w:t>$15.14</w:t>
            </w:r>
          </w:p>
        </w:tc>
      </w:tr>
      <w:tr w:rsidR="004B1F11" w:rsidRPr="00EC010E" w14:paraId="1EC19210" w14:textId="77777777" w:rsidTr="004F2795">
        <w:trPr>
          <w:cnfStyle w:val="000000100000" w:firstRow="0" w:lastRow="0" w:firstColumn="0" w:lastColumn="0" w:oddVBand="0" w:evenVBand="0" w:oddHBand="1" w:evenHBand="0" w:firstRowFirstColumn="0" w:firstRowLastColumn="0" w:lastRowFirstColumn="0" w:lastRowLastColumn="0"/>
        </w:trPr>
        <w:tc>
          <w:tcPr>
            <w:tcW w:w="2070" w:type="dxa"/>
            <w:vAlign w:val="center"/>
          </w:tcPr>
          <w:p w14:paraId="7D5EB712" w14:textId="46F7B07D" w:rsidR="004B1F11" w:rsidRPr="00EC010E" w:rsidRDefault="004B1F11" w:rsidP="004B1F11">
            <w:r w:rsidRPr="00EC010E">
              <w:t xml:space="preserve">Melton recycled </w:t>
            </w:r>
            <w:r w:rsidR="00FD1E3D" w:rsidRPr="00EC010E">
              <w:t>w</w:t>
            </w:r>
            <w:r w:rsidRPr="00EC010E">
              <w:t>ater plant – Bacchus Marsh interconnection</w:t>
            </w:r>
          </w:p>
        </w:tc>
        <w:tc>
          <w:tcPr>
            <w:tcW w:w="6804" w:type="dxa"/>
          </w:tcPr>
          <w:p w14:paraId="35A21B3C" w14:textId="73371EA4" w:rsidR="004B1F11" w:rsidRPr="00EC010E" w:rsidRDefault="004B1F11" w:rsidP="004B1F11">
            <w:r w:rsidRPr="00EC010E">
              <w:t>Strategic options for reuse of the additional volumes of recycled water becoming available in Bacchus Marsh and Melton rely on an interconnecting pipeline between the two. The pipeline will be two-way, with normal operation to deliver water from Melton in a westerly direction towards Parwan/Balliang.</w:t>
            </w:r>
          </w:p>
        </w:tc>
        <w:tc>
          <w:tcPr>
            <w:tcW w:w="850" w:type="dxa"/>
            <w:vAlign w:val="center"/>
          </w:tcPr>
          <w:p w14:paraId="26FBA3A4" w14:textId="15129F34" w:rsidR="004B1F11" w:rsidRPr="00EC010E" w:rsidRDefault="004B1F11" w:rsidP="004B1F11">
            <w:pPr>
              <w:pStyle w:val="TableBold"/>
              <w:jc w:val="center"/>
            </w:pPr>
            <w:r w:rsidRPr="00EC010E">
              <w:t>$14.43</w:t>
            </w:r>
          </w:p>
        </w:tc>
      </w:tr>
      <w:tr w:rsidR="004B1F11" w:rsidRPr="00EC010E" w14:paraId="188490A8" w14:textId="77777777" w:rsidTr="004F2795">
        <w:trPr>
          <w:cnfStyle w:val="000000010000" w:firstRow="0" w:lastRow="0" w:firstColumn="0" w:lastColumn="0" w:oddVBand="0" w:evenVBand="0" w:oddHBand="0" w:evenHBand="1" w:firstRowFirstColumn="0" w:firstRowLastColumn="0" w:lastRowFirstColumn="0" w:lastRowLastColumn="0"/>
        </w:trPr>
        <w:tc>
          <w:tcPr>
            <w:tcW w:w="2070" w:type="dxa"/>
            <w:vAlign w:val="center"/>
          </w:tcPr>
          <w:p w14:paraId="030D2E3B" w14:textId="307A8B45" w:rsidR="004B1F11" w:rsidRPr="00EC010E" w:rsidRDefault="004B1F11" w:rsidP="004B1F11">
            <w:proofErr w:type="spellStart"/>
            <w:r w:rsidRPr="00EC010E">
              <w:t>Derimut</w:t>
            </w:r>
            <w:proofErr w:type="spellEnd"/>
            <w:r w:rsidRPr="00EC010E">
              <w:t xml:space="preserve"> </w:t>
            </w:r>
            <w:r w:rsidR="00FD1E3D" w:rsidRPr="00EC010E">
              <w:t>d</w:t>
            </w:r>
            <w:r w:rsidRPr="00EC010E">
              <w:t xml:space="preserve">iversion </w:t>
            </w:r>
            <w:r w:rsidR="00FD1E3D" w:rsidRPr="00EC010E">
              <w:t>s</w:t>
            </w:r>
            <w:r w:rsidRPr="00EC010E">
              <w:t xml:space="preserve">ewer </w:t>
            </w:r>
            <w:r w:rsidR="00FD1E3D" w:rsidRPr="00EC010E">
              <w:t>p</w:t>
            </w:r>
            <w:r w:rsidRPr="00EC010E">
              <w:t xml:space="preserve">ump </w:t>
            </w:r>
            <w:r w:rsidR="00FD1E3D" w:rsidRPr="00EC010E">
              <w:t>s</w:t>
            </w:r>
            <w:r w:rsidRPr="00EC010E">
              <w:t>tation/</w:t>
            </w:r>
            <w:r w:rsidR="00FD1E3D" w:rsidRPr="00EC010E">
              <w:t>r</w:t>
            </w:r>
            <w:r w:rsidRPr="00EC010E">
              <w:t xml:space="preserve">ising </w:t>
            </w:r>
            <w:r w:rsidR="00FD1E3D" w:rsidRPr="00EC010E">
              <w:t>m</w:t>
            </w:r>
            <w:r w:rsidRPr="00EC010E">
              <w:t>ain</w:t>
            </w:r>
          </w:p>
        </w:tc>
        <w:tc>
          <w:tcPr>
            <w:tcW w:w="6804" w:type="dxa"/>
          </w:tcPr>
          <w:p w14:paraId="2BB34CAD" w14:textId="38C4D611" w:rsidR="004B1F11" w:rsidRPr="00EC010E" w:rsidRDefault="004B1F11" w:rsidP="004B1F11">
            <w:r w:rsidRPr="00EC010E">
              <w:t xml:space="preserve">Development activity in Plumpton and </w:t>
            </w:r>
            <w:proofErr w:type="spellStart"/>
            <w:r w:rsidRPr="00EC010E">
              <w:t>Kororoit</w:t>
            </w:r>
            <w:proofErr w:type="spellEnd"/>
            <w:r w:rsidRPr="00EC010E">
              <w:t xml:space="preserve"> will exhaust spare capacity in the local sewers by 2023. Western Water will construct and operate a pump station and rising main on Clarke Road to increase capacity.</w:t>
            </w:r>
          </w:p>
        </w:tc>
        <w:tc>
          <w:tcPr>
            <w:tcW w:w="850" w:type="dxa"/>
            <w:vAlign w:val="center"/>
          </w:tcPr>
          <w:p w14:paraId="18914804" w14:textId="48A98FBC" w:rsidR="004B1F11" w:rsidRPr="00EC010E" w:rsidRDefault="004B1F11" w:rsidP="004B1F11">
            <w:pPr>
              <w:pStyle w:val="TableBold"/>
              <w:jc w:val="center"/>
            </w:pPr>
            <w:r w:rsidRPr="00EC010E">
              <w:t>$10.88</w:t>
            </w:r>
          </w:p>
        </w:tc>
      </w:tr>
      <w:tr w:rsidR="004B1F11" w:rsidRPr="00EC010E" w14:paraId="239072B9" w14:textId="77777777" w:rsidTr="004F2795">
        <w:trPr>
          <w:cnfStyle w:val="000000100000" w:firstRow="0" w:lastRow="0" w:firstColumn="0" w:lastColumn="0" w:oddVBand="0" w:evenVBand="0" w:oddHBand="1" w:evenHBand="0" w:firstRowFirstColumn="0" w:firstRowLastColumn="0" w:lastRowFirstColumn="0" w:lastRowLastColumn="0"/>
        </w:trPr>
        <w:tc>
          <w:tcPr>
            <w:tcW w:w="2070" w:type="dxa"/>
            <w:vAlign w:val="center"/>
          </w:tcPr>
          <w:p w14:paraId="5627ABCE" w14:textId="54EF8998" w:rsidR="004B1F11" w:rsidRPr="00EC010E" w:rsidRDefault="004B1F11" w:rsidP="004B1F11">
            <w:r w:rsidRPr="00EC010E">
              <w:t xml:space="preserve">Gisborne </w:t>
            </w:r>
            <w:r w:rsidR="00FD1E3D" w:rsidRPr="00EC010E">
              <w:t>r</w:t>
            </w:r>
            <w:r w:rsidRPr="00EC010E">
              <w:t xml:space="preserve">ecycled </w:t>
            </w:r>
            <w:r w:rsidR="00FD1E3D" w:rsidRPr="00EC010E">
              <w:t>w</w:t>
            </w:r>
            <w:r w:rsidRPr="00EC010E">
              <w:t xml:space="preserve">ater </w:t>
            </w:r>
            <w:r w:rsidR="00FD1E3D" w:rsidRPr="00EC010E">
              <w:t>p</w:t>
            </w:r>
            <w:r w:rsidRPr="00EC010E">
              <w:t xml:space="preserve">lant - Stage 1 </w:t>
            </w:r>
            <w:r w:rsidR="00FD1E3D" w:rsidRPr="00EC010E">
              <w:t>b</w:t>
            </w:r>
            <w:r w:rsidRPr="00EC010E">
              <w:t>ioreactor</w:t>
            </w:r>
          </w:p>
        </w:tc>
        <w:tc>
          <w:tcPr>
            <w:tcW w:w="6804" w:type="dxa"/>
          </w:tcPr>
          <w:p w14:paraId="4AF6F472" w14:textId="7A18A02B" w:rsidR="004B1F11" w:rsidRPr="00EC010E" w:rsidRDefault="00FD1E3D" w:rsidP="004B1F11">
            <w:r w:rsidRPr="00EC010E">
              <w:t>Ongoing g</w:t>
            </w:r>
            <w:r w:rsidR="004B1F11" w:rsidRPr="00EC010E">
              <w:t>rowth in Gisborne is increasing sewage loads on the existing recycled water plant</w:t>
            </w:r>
            <w:r w:rsidRPr="00EC010E">
              <w:t xml:space="preserve">, which </w:t>
            </w:r>
            <w:r w:rsidR="004B1F11" w:rsidRPr="00EC010E">
              <w:t>requires a substantial upgrade. The bioreactor will be the first component of the upgrade.</w:t>
            </w:r>
          </w:p>
        </w:tc>
        <w:tc>
          <w:tcPr>
            <w:tcW w:w="850" w:type="dxa"/>
            <w:vAlign w:val="center"/>
          </w:tcPr>
          <w:p w14:paraId="7F0CA7DB" w14:textId="1EDED8C4" w:rsidR="004B1F11" w:rsidRPr="00EC010E" w:rsidRDefault="004B1F11" w:rsidP="004B1F11">
            <w:pPr>
              <w:pStyle w:val="TableBold"/>
              <w:jc w:val="center"/>
            </w:pPr>
            <w:r w:rsidRPr="00EC010E">
              <w:t>$10.51</w:t>
            </w:r>
          </w:p>
        </w:tc>
      </w:tr>
    </w:tbl>
    <w:p w14:paraId="30AE3049" w14:textId="3065BD3B" w:rsidR="009233EF" w:rsidRPr="00EC010E" w:rsidRDefault="009233EF" w:rsidP="009233EF">
      <w:pPr>
        <w:pStyle w:val="Heading2"/>
      </w:pPr>
      <w:r w:rsidRPr="00EC010E">
        <w:lastRenderedPageBreak/>
        <w:t>How much revenue is required from 20</w:t>
      </w:r>
      <w:r w:rsidR="00DF1240" w:rsidRPr="00EC010E">
        <w:t>20</w:t>
      </w:r>
      <w:r w:rsidRPr="00EC010E">
        <w:t xml:space="preserve"> to 2023?</w:t>
      </w:r>
    </w:p>
    <w:p w14:paraId="257F1D4A" w14:textId="0E45754B" w:rsidR="004F5F7F" w:rsidRPr="00EC010E" w:rsidRDefault="004F5F7F" w:rsidP="004F5F7F">
      <w:r w:rsidRPr="00EC010E">
        <w:t xml:space="preserve">We require each business to tell us what revenue it will need for the next </w:t>
      </w:r>
      <w:r w:rsidR="00DF1240" w:rsidRPr="00EC010E">
        <w:t>three</w:t>
      </w:r>
      <w:r w:rsidRPr="00EC010E">
        <w:t xml:space="preserve"> years. This helps us understand </w:t>
      </w:r>
      <w:r w:rsidR="00CF1EC6" w:rsidRPr="00EC010E">
        <w:t>Western</w:t>
      </w:r>
      <w:r w:rsidRPr="00EC010E">
        <w:t xml:space="preserve"> Water’s prices in its submission. </w:t>
      </w:r>
      <w:r w:rsidRPr="00EC010E">
        <w:fldChar w:fldCharType="begin"/>
      </w:r>
      <w:r w:rsidRPr="00EC010E">
        <w:instrText xml:space="preserve"> KEYWORDS   \* MERGEFORMAT </w:instrText>
      </w:r>
      <w:r w:rsidRPr="00EC010E">
        <w:fldChar w:fldCharType="separate"/>
      </w:r>
    </w:p>
    <w:p w14:paraId="18935F46" w14:textId="1C421C74" w:rsidR="004F5F7F" w:rsidRPr="00EC010E" w:rsidRDefault="00CF1EC6" w:rsidP="004F5F7F">
      <w:r w:rsidRPr="00EC010E">
        <w:t>Western</w:t>
      </w:r>
      <w:r w:rsidR="004F5F7F" w:rsidRPr="00EC010E">
        <w:t xml:space="preserve"> Water</w:t>
      </w:r>
      <w:r w:rsidR="004F5F7F" w:rsidRPr="00EC010E">
        <w:fldChar w:fldCharType="end"/>
      </w:r>
      <w:r w:rsidR="004F5F7F" w:rsidRPr="00EC010E">
        <w:t xml:space="preserve"> forecasts that it needs </w:t>
      </w:r>
      <w:r w:rsidR="004F5F7F" w:rsidRPr="00EC010E">
        <w:rPr>
          <w:b/>
        </w:rPr>
        <w:t>$</w:t>
      </w:r>
      <w:r w:rsidR="00AB63DB" w:rsidRPr="00EC010E">
        <w:rPr>
          <w:b/>
        </w:rPr>
        <w:t>192</w:t>
      </w:r>
      <w:r w:rsidR="004F5F7F" w:rsidRPr="00EC010E">
        <w:rPr>
          <w:b/>
        </w:rPr>
        <w:t> million</w:t>
      </w:r>
      <w:r w:rsidR="004F5F7F" w:rsidRPr="00EC010E">
        <w:t xml:space="preserve"> of operating expenditure and </w:t>
      </w:r>
      <w:r w:rsidR="004F5F7F" w:rsidRPr="00EC010E">
        <w:rPr>
          <w:b/>
        </w:rPr>
        <w:t>$</w:t>
      </w:r>
      <w:r w:rsidR="00AB63DB" w:rsidRPr="00EC010E">
        <w:rPr>
          <w:b/>
        </w:rPr>
        <w:t>284</w:t>
      </w:r>
      <w:r w:rsidR="004F5F7F" w:rsidRPr="00EC010E">
        <w:rPr>
          <w:b/>
        </w:rPr>
        <w:t> million</w:t>
      </w:r>
      <w:r w:rsidR="004F5F7F" w:rsidRPr="00EC010E">
        <w:t xml:space="preserve"> of capital expenditure to provide its services to customers over the next five years. To fund this, </w:t>
      </w:r>
      <w:r w:rsidRPr="00EC010E">
        <w:t>Western</w:t>
      </w:r>
      <w:r w:rsidR="004F5F7F" w:rsidRPr="00EC010E">
        <w:t xml:space="preserve"> Water requires </w:t>
      </w:r>
      <w:r w:rsidR="004F5F7F" w:rsidRPr="00EC010E">
        <w:rPr>
          <w:b/>
        </w:rPr>
        <w:t>$</w:t>
      </w:r>
      <w:r w:rsidR="00AB63DB" w:rsidRPr="00EC010E">
        <w:rPr>
          <w:b/>
        </w:rPr>
        <w:t>302</w:t>
      </w:r>
      <w:r w:rsidR="004F5F7F" w:rsidRPr="00EC010E">
        <w:rPr>
          <w:b/>
        </w:rPr>
        <w:t> million in revenue</w:t>
      </w:r>
      <w:r w:rsidR="00AB63DB" w:rsidRPr="00EC010E">
        <w:rPr>
          <w:b/>
        </w:rPr>
        <w:t xml:space="preserve"> over three years</w:t>
      </w:r>
      <w:r w:rsidR="004F5F7F" w:rsidRPr="00EC010E">
        <w:t xml:space="preserve">, an </w:t>
      </w:r>
      <w:r w:rsidR="004F5F7F" w:rsidRPr="00EC010E">
        <w:rPr>
          <w:b/>
        </w:rPr>
        <w:t>increase</w:t>
      </w:r>
      <w:r w:rsidR="004F5F7F" w:rsidRPr="00EC010E">
        <w:t xml:space="preserve"> </w:t>
      </w:r>
      <w:r w:rsidR="00AB63DB" w:rsidRPr="00EC010E">
        <w:t xml:space="preserve">of </w:t>
      </w:r>
      <w:r w:rsidR="003466C7" w:rsidRPr="00EC010E">
        <w:t xml:space="preserve">18.2 per cent on the annual average </w:t>
      </w:r>
      <w:r w:rsidR="00AB63DB" w:rsidRPr="00EC010E">
        <w:t>from</w:t>
      </w:r>
      <w:r w:rsidR="004F5F7F" w:rsidRPr="00EC010E">
        <w:t xml:space="preserve"> </w:t>
      </w:r>
      <w:r w:rsidR="00776C79" w:rsidRPr="00EC010E">
        <w:t xml:space="preserve">the </w:t>
      </w:r>
      <w:r w:rsidR="00DF1240" w:rsidRPr="00EC010E">
        <w:t xml:space="preserve">two </w:t>
      </w:r>
      <w:r w:rsidR="00776C79" w:rsidRPr="00EC010E">
        <w:t xml:space="preserve">years between </w:t>
      </w:r>
      <w:r w:rsidR="007037C0" w:rsidRPr="00EC010E">
        <w:t>20</w:t>
      </w:r>
      <w:r w:rsidR="00DF1240" w:rsidRPr="00EC010E">
        <w:t>18</w:t>
      </w:r>
      <w:r w:rsidR="007037C0" w:rsidRPr="00EC010E">
        <w:t xml:space="preserve"> </w:t>
      </w:r>
      <w:r w:rsidR="00776C79" w:rsidRPr="00EC010E">
        <w:t>and</w:t>
      </w:r>
      <w:r w:rsidR="007037C0" w:rsidRPr="00EC010E">
        <w:t xml:space="preserve"> 20</w:t>
      </w:r>
      <w:r w:rsidR="00AB63DB" w:rsidRPr="00EC010E">
        <w:t>20</w:t>
      </w:r>
      <w:r w:rsidR="004F5F7F" w:rsidRPr="00EC010E">
        <w:t>.</w:t>
      </w:r>
    </w:p>
    <w:p w14:paraId="68BACD87" w14:textId="78A73FB1" w:rsidR="004F5F7F" w:rsidRPr="00EC010E" w:rsidRDefault="004F5F7F" w:rsidP="004F5F7F">
      <w:r w:rsidRPr="00EC010E">
        <w:t xml:space="preserve">This additional revenue is contributing to </w:t>
      </w:r>
      <w:r w:rsidR="00CF1EC6" w:rsidRPr="00EC010E">
        <w:t>Western</w:t>
      </w:r>
      <w:r w:rsidRPr="00EC010E">
        <w:t xml:space="preserve"> Water’s proposed price </w:t>
      </w:r>
      <w:r w:rsidR="00776C79" w:rsidRPr="00EC010E">
        <w:t>rise from 20</w:t>
      </w:r>
      <w:r w:rsidR="00AB63DB" w:rsidRPr="00EC010E">
        <w:t>19</w:t>
      </w:r>
      <w:r w:rsidR="00776C79" w:rsidRPr="00EC010E">
        <w:t>-</w:t>
      </w:r>
      <w:r w:rsidR="00AB63DB" w:rsidRPr="00EC010E">
        <w:t>20</w:t>
      </w:r>
      <w:r w:rsidR="00776C79" w:rsidRPr="00EC010E">
        <w:t xml:space="preserve"> to 2022-23</w:t>
      </w:r>
      <w:r w:rsidRPr="00EC010E">
        <w:t>.</w:t>
      </w:r>
    </w:p>
    <w:p w14:paraId="616BB0B9" w14:textId="77777777" w:rsidR="004F5F7F" w:rsidRPr="00EC010E" w:rsidRDefault="004F5F7F" w:rsidP="004F5F7F">
      <w:pPr>
        <w:pStyle w:val="Heading2"/>
      </w:pPr>
      <w:r w:rsidRPr="00EC010E">
        <w:t xml:space="preserve">Got a question? </w:t>
      </w:r>
      <w:r w:rsidRPr="00EC010E">
        <w:rPr>
          <w:noProof/>
          <w:lang w:eastAsia="en-AU"/>
        </w:rPr>
        <w:drawing>
          <wp:anchor distT="0" distB="0" distL="114300" distR="114300" simplePos="0" relativeHeight="251659264" behindDoc="0" locked="0" layoutInCell="1" allowOverlap="1" wp14:anchorId="08819547" wp14:editId="6E487246">
            <wp:simplePos x="0" y="0"/>
            <wp:positionH relativeFrom="column">
              <wp:posOffset>7073105</wp:posOffset>
            </wp:positionH>
            <wp:positionV relativeFrom="paragraph">
              <wp:posOffset>1771650</wp:posOffset>
            </wp:positionV>
            <wp:extent cx="190500" cy="266699"/>
            <wp:effectExtent l="0" t="0" r="0" b="635"/>
            <wp:wrapNone/>
            <wp:docPr id="1" name="Finish Flag" descr="&quot;&quot;" title="Finish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ish Flag" descr="&quot;&quot;" title="Finish Flag"/>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90500" cy="266699"/>
                    </a:xfrm>
                    <a:prstGeom prst="rect">
                      <a:avLst/>
                    </a:prstGeom>
                  </pic:spPr>
                </pic:pic>
              </a:graphicData>
            </a:graphic>
          </wp:anchor>
        </w:drawing>
      </w:r>
    </w:p>
    <w:p w14:paraId="7B678CA2" w14:textId="77777777" w:rsidR="00797590" w:rsidRPr="00EC010E" w:rsidRDefault="00172CA6" w:rsidP="00102472">
      <w:hyperlink r:id="rId14" w:history="1">
        <w:r w:rsidR="004F5F7F" w:rsidRPr="00EC010E">
          <w:rPr>
            <w:rStyle w:val="Hyperlink"/>
          </w:rPr>
          <w:t>View our contact details</w:t>
        </w:r>
      </w:hyperlink>
      <w:r w:rsidR="004F5F7F" w:rsidRPr="00EC010E">
        <w:t xml:space="preserve"> and follow us on </w:t>
      </w:r>
      <w:hyperlink r:id="rId15" w:history="1">
        <w:r w:rsidR="004F5F7F" w:rsidRPr="00EC010E">
          <w:rPr>
            <w:rStyle w:val="Hyperlink"/>
          </w:rPr>
          <w:t>LinkedIn</w:t>
        </w:r>
      </w:hyperlink>
      <w:r w:rsidR="004F5F7F" w:rsidRPr="00EC010E">
        <w:t xml:space="preserve"> and </w:t>
      </w:r>
      <w:hyperlink r:id="rId16" w:history="1">
        <w:r w:rsidR="004F5F7F" w:rsidRPr="00EC010E">
          <w:rPr>
            <w:rStyle w:val="Hyperlink"/>
          </w:rPr>
          <w:t>Twitter</w:t>
        </w:r>
      </w:hyperlink>
      <w:r w:rsidR="004F5F7F" w:rsidRPr="00EC010E">
        <w:t>.</w:t>
      </w:r>
    </w:p>
    <w:p w14:paraId="4E8B247A" w14:textId="77777777" w:rsidR="009C3099" w:rsidRPr="009C3099" w:rsidRDefault="009C3099" w:rsidP="00102472">
      <w:pPr>
        <w:rPr>
          <w:color w:val="A6A6A6" w:themeColor="background1" w:themeShade="A6"/>
        </w:rPr>
      </w:pPr>
      <w:r w:rsidRPr="00EC010E">
        <w:rPr>
          <w:color w:val="A6A6A6" w:themeColor="background1" w:themeShade="A6"/>
        </w:rPr>
        <w:t>Updated on 1</w:t>
      </w:r>
      <w:r w:rsidR="001D1F63" w:rsidRPr="00EC010E">
        <w:rPr>
          <w:color w:val="A6A6A6" w:themeColor="background1" w:themeShade="A6"/>
        </w:rPr>
        <w:t>4</w:t>
      </w:r>
      <w:r w:rsidRPr="00EC010E">
        <w:rPr>
          <w:color w:val="A6A6A6" w:themeColor="background1" w:themeShade="A6"/>
        </w:rPr>
        <w:t xml:space="preserve"> December 2017</w:t>
      </w:r>
    </w:p>
    <w:sectPr w:rsidR="009C3099" w:rsidRPr="009C3099" w:rsidSect="00797590">
      <w:headerReference w:type="default" r:id="rId17"/>
      <w:footerReference w:type="default" r:id="rId18"/>
      <w:headerReference w:type="first" r:id="rId19"/>
      <w:footerReference w:type="first" r:id="rId20"/>
      <w:type w:val="continuous"/>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37D2E" w14:textId="77777777" w:rsidR="00C85D0D" w:rsidRDefault="00C85D0D" w:rsidP="00AE03FA">
      <w:pPr>
        <w:spacing w:after="0"/>
      </w:pPr>
      <w:r>
        <w:separator/>
      </w:r>
    </w:p>
    <w:p w14:paraId="4236339D" w14:textId="77777777" w:rsidR="00C85D0D" w:rsidRDefault="00C85D0D"/>
  </w:endnote>
  <w:endnote w:type="continuationSeparator" w:id="0">
    <w:p w14:paraId="6B084BFA" w14:textId="77777777" w:rsidR="00C85D0D" w:rsidRDefault="00C85D0D" w:rsidP="00AE03FA">
      <w:pPr>
        <w:spacing w:after="0"/>
      </w:pPr>
      <w:r>
        <w:continuationSeparator/>
      </w:r>
    </w:p>
    <w:p w14:paraId="38579A00" w14:textId="77777777" w:rsidR="00C85D0D" w:rsidRDefault="00C85D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DFFCC" w14:textId="77777777" w:rsidR="00C85D0D" w:rsidRDefault="00C85D0D" w:rsidP="00A40FB6">
    <w:pPr>
      <w:pStyle w:val="Footer"/>
    </w:pPr>
  </w:p>
  <w:tbl>
    <w:tblPr>
      <w:tblStyle w:val="FooterTable"/>
      <w:tblpPr w:leftFromText="181" w:rightFromText="181" w:vertAnchor="text" w:tblpXSpec="right" w:tblpY="1"/>
      <w:tblOverlap w:val="never"/>
      <w:tblW w:w="0" w:type="auto"/>
      <w:jc w:val="left"/>
      <w:tblBorders>
        <w:insideV w:val="none" w:sz="0" w:space="0" w:color="auto"/>
      </w:tblBorders>
      <w:tblLook w:val="04A0" w:firstRow="1" w:lastRow="0" w:firstColumn="1" w:lastColumn="0" w:noHBand="0" w:noVBand="1"/>
    </w:tblPr>
    <w:tblGrid>
      <w:gridCol w:w="454"/>
    </w:tblGrid>
    <w:tr w:rsidR="00C85D0D" w:rsidRPr="001A45DD" w14:paraId="417C37F9" w14:textId="77777777" w:rsidTr="00707CAC">
      <w:trPr>
        <w:trHeight w:hRule="exact" w:val="312"/>
        <w:jc w:val="left"/>
      </w:trPr>
      <w:tc>
        <w:tcPr>
          <w:cnfStyle w:val="001000000000" w:firstRow="0" w:lastRow="0" w:firstColumn="1" w:lastColumn="0" w:oddVBand="0" w:evenVBand="0" w:oddHBand="0" w:evenHBand="0" w:firstRowFirstColumn="0" w:firstRowLastColumn="0" w:lastRowFirstColumn="0" w:lastRowLastColumn="0"/>
          <w:tcW w:w="454" w:type="dxa"/>
          <w:shd w:val="clear" w:color="auto" w:fill="auto"/>
        </w:tcPr>
        <w:p w14:paraId="6F8AF8EB" w14:textId="77777777" w:rsidR="00C85D0D" w:rsidRPr="001A45DD" w:rsidRDefault="00C85D0D" w:rsidP="00707CAC">
          <w:pPr>
            <w:pStyle w:val="Footer"/>
            <w:spacing w:before="0"/>
            <w:rPr>
              <w:rStyle w:val="PageNumber"/>
            </w:rPr>
          </w:pPr>
          <w:r w:rsidRPr="001A45DD">
            <w:rPr>
              <w:rStyle w:val="PageNumber"/>
            </w:rPr>
            <w:fldChar w:fldCharType="begin"/>
          </w:r>
          <w:r w:rsidRPr="001A45DD">
            <w:rPr>
              <w:rStyle w:val="PageNumber"/>
            </w:rPr>
            <w:instrText xml:space="preserve"> PAGE   \* MERGEFORMAT </w:instrText>
          </w:r>
          <w:r w:rsidRPr="001A45DD">
            <w:rPr>
              <w:rStyle w:val="PageNumber"/>
            </w:rPr>
            <w:fldChar w:fldCharType="separate"/>
          </w:r>
          <w:r w:rsidR="001D1F63">
            <w:rPr>
              <w:rStyle w:val="PageNumber"/>
              <w:noProof/>
            </w:rPr>
            <w:t>3</w:t>
          </w:r>
          <w:r w:rsidRPr="001A45DD">
            <w:rPr>
              <w:rStyle w:val="PageNumber"/>
            </w:rPr>
            <w:fldChar w:fldCharType="end"/>
          </w:r>
        </w:p>
      </w:tc>
    </w:tr>
  </w:tbl>
  <w:p w14:paraId="557C14D0" w14:textId="4D876DF1" w:rsidR="00C85D0D" w:rsidRDefault="00C85D0D" w:rsidP="00A40FB6">
    <w:pPr>
      <w:pStyle w:val="Footer"/>
      <w:ind w:left="567" w:right="567"/>
    </w:pPr>
    <w:r>
      <w:rPr>
        <w:noProof/>
        <w:lang w:eastAsia="en-AU"/>
      </w:rPr>
      <w:drawing>
        <wp:anchor distT="0" distB="0" distL="114300" distR="114300" simplePos="0" relativeHeight="251664384" behindDoc="1" locked="0" layoutInCell="1" allowOverlap="1" wp14:anchorId="5E289996" wp14:editId="5698FC83">
          <wp:simplePos x="0" y="0"/>
          <wp:positionH relativeFrom="column">
            <wp:posOffset>-5715</wp:posOffset>
          </wp:positionH>
          <wp:positionV relativeFrom="paragraph">
            <wp:posOffset>47943</wp:posOffset>
          </wp:positionV>
          <wp:extent cx="279400" cy="279400"/>
          <wp:effectExtent l="0" t="0" r="6350" b="6350"/>
          <wp:wrapTight wrapText="bothSides">
            <wp:wrapPolygon edited="0">
              <wp:start x="0" y="0"/>
              <wp:lineTo x="0" y="20618"/>
              <wp:lineTo x="20618" y="20618"/>
              <wp:lineTo x="20618" y="0"/>
              <wp:lineTo x="0" y="0"/>
            </wp:wrapPolygon>
          </wp:wrapTight>
          <wp:docPr id="13" name="Picture 13" descr="C:\Users\sargent\Desktop\10898_ESC_Logo_Social_Circle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rgent\Desktop\10898_ESC_Logo_Social_Circle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Essential Services Commission </w:t>
    </w:r>
    <w:sdt>
      <w:sdtPr>
        <w:rPr>
          <w:b/>
        </w:rPr>
        <w:alias w:val="Title"/>
        <w:tag w:val=""/>
        <w:id w:val="-507214403"/>
        <w:dataBinding w:prefixMappings="xmlns:ns0='http://purl.org/dc/elements/1.1/' xmlns:ns1='http://schemas.openxmlformats.org/package/2006/metadata/core-properties' " w:xpath="/ns1:coreProperties[1]/ns0:title[1]" w:storeItemID="{6C3C8BC8-F283-45AE-878A-BAB7291924A1}"/>
        <w:text/>
      </w:sdtPr>
      <w:sdtEndPr/>
      <w:sdtContent>
        <w:r w:rsidR="00CF1EC6">
          <w:rPr>
            <w:b/>
          </w:rPr>
          <w:t>Western</w:t>
        </w:r>
        <w:r>
          <w:rPr>
            <w:b/>
          </w:rPr>
          <w:t xml:space="preserve"> Water: customer fact sheet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74091" w14:textId="77777777" w:rsidR="00C85D0D" w:rsidRDefault="00C85D0D" w:rsidP="00A40FB6">
    <w:pPr>
      <w:pStyle w:val="Footer"/>
    </w:pPr>
  </w:p>
  <w:tbl>
    <w:tblPr>
      <w:tblStyle w:val="FooterTable"/>
      <w:tblpPr w:leftFromText="181" w:rightFromText="181" w:vertAnchor="text" w:tblpXSpec="right" w:tblpY="1"/>
      <w:tblOverlap w:val="never"/>
      <w:tblW w:w="0" w:type="auto"/>
      <w:jc w:val="left"/>
      <w:tblBorders>
        <w:insideV w:val="none" w:sz="0" w:space="0" w:color="auto"/>
      </w:tblBorders>
      <w:tblLook w:val="04A0" w:firstRow="1" w:lastRow="0" w:firstColumn="1" w:lastColumn="0" w:noHBand="0" w:noVBand="1"/>
    </w:tblPr>
    <w:tblGrid>
      <w:gridCol w:w="454"/>
    </w:tblGrid>
    <w:tr w:rsidR="00C85D0D" w:rsidRPr="001A45DD" w14:paraId="0DEA2A90" w14:textId="77777777" w:rsidTr="00707CAC">
      <w:trPr>
        <w:trHeight w:hRule="exact" w:val="312"/>
        <w:jc w:val="left"/>
      </w:trPr>
      <w:tc>
        <w:tcPr>
          <w:cnfStyle w:val="001000000000" w:firstRow="0" w:lastRow="0" w:firstColumn="1" w:lastColumn="0" w:oddVBand="0" w:evenVBand="0" w:oddHBand="0" w:evenHBand="0" w:firstRowFirstColumn="0" w:firstRowLastColumn="0" w:lastRowFirstColumn="0" w:lastRowLastColumn="0"/>
          <w:tcW w:w="454" w:type="dxa"/>
          <w:shd w:val="clear" w:color="auto" w:fill="auto"/>
        </w:tcPr>
        <w:p w14:paraId="1A74CD06" w14:textId="77777777" w:rsidR="00C85D0D" w:rsidRPr="001A45DD" w:rsidRDefault="00C85D0D" w:rsidP="00707CAC">
          <w:pPr>
            <w:pStyle w:val="Footer"/>
            <w:spacing w:before="0"/>
            <w:rPr>
              <w:rStyle w:val="PageNumber"/>
            </w:rPr>
          </w:pPr>
          <w:r w:rsidRPr="001A45DD">
            <w:rPr>
              <w:rStyle w:val="PageNumber"/>
            </w:rPr>
            <w:fldChar w:fldCharType="begin"/>
          </w:r>
          <w:r w:rsidRPr="001A45DD">
            <w:rPr>
              <w:rStyle w:val="PageNumber"/>
            </w:rPr>
            <w:instrText xml:space="preserve"> PAGE   \* MERGEFORMAT </w:instrText>
          </w:r>
          <w:r w:rsidRPr="001A45DD">
            <w:rPr>
              <w:rStyle w:val="PageNumber"/>
            </w:rPr>
            <w:fldChar w:fldCharType="separate"/>
          </w:r>
          <w:r w:rsidR="001D1F63">
            <w:rPr>
              <w:rStyle w:val="PageNumber"/>
              <w:noProof/>
            </w:rPr>
            <w:t>1</w:t>
          </w:r>
          <w:r w:rsidRPr="001A45DD">
            <w:rPr>
              <w:rStyle w:val="PageNumber"/>
            </w:rPr>
            <w:fldChar w:fldCharType="end"/>
          </w:r>
        </w:p>
      </w:tc>
    </w:tr>
  </w:tbl>
  <w:p w14:paraId="6B6F7F72" w14:textId="51B0885F" w:rsidR="00C85D0D" w:rsidRDefault="00C85D0D" w:rsidP="00A40FB6">
    <w:pPr>
      <w:pStyle w:val="Footer"/>
      <w:ind w:left="567" w:right="567"/>
    </w:pPr>
    <w:r>
      <w:rPr>
        <w:noProof/>
        <w:lang w:eastAsia="en-AU"/>
      </w:rPr>
      <w:drawing>
        <wp:anchor distT="0" distB="0" distL="114300" distR="114300" simplePos="0" relativeHeight="251657216" behindDoc="1" locked="0" layoutInCell="1" allowOverlap="1" wp14:anchorId="7BA978B1" wp14:editId="2F880720">
          <wp:simplePos x="0" y="0"/>
          <wp:positionH relativeFrom="column">
            <wp:posOffset>-5715</wp:posOffset>
          </wp:positionH>
          <wp:positionV relativeFrom="paragraph">
            <wp:posOffset>47943</wp:posOffset>
          </wp:positionV>
          <wp:extent cx="279400" cy="279400"/>
          <wp:effectExtent l="0" t="0" r="6350" b="6350"/>
          <wp:wrapTight wrapText="bothSides">
            <wp:wrapPolygon edited="0">
              <wp:start x="0" y="0"/>
              <wp:lineTo x="0" y="20618"/>
              <wp:lineTo x="20618" y="20618"/>
              <wp:lineTo x="20618" y="0"/>
              <wp:lineTo x="0" y="0"/>
            </wp:wrapPolygon>
          </wp:wrapTight>
          <wp:docPr id="9" name="Picture 9" descr="C:\Users\sargent\Desktop\10898_ESC_Logo_Social_Circle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rgent\Desktop\10898_ESC_Logo_Social_Circle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Essential Services Commission </w:t>
    </w:r>
    <w:sdt>
      <w:sdtPr>
        <w:rPr>
          <w:b/>
        </w:rPr>
        <w:alias w:val="Title"/>
        <w:tag w:val=""/>
        <w:id w:val="-1507821235"/>
        <w:dataBinding w:prefixMappings="xmlns:ns0='http://purl.org/dc/elements/1.1/' xmlns:ns1='http://schemas.openxmlformats.org/package/2006/metadata/core-properties' " w:xpath="/ns1:coreProperties[1]/ns0:title[1]" w:storeItemID="{6C3C8BC8-F283-45AE-878A-BAB7291924A1}"/>
        <w:text/>
      </w:sdtPr>
      <w:sdtEndPr/>
      <w:sdtContent>
        <w:r w:rsidR="00CF1EC6">
          <w:rPr>
            <w:b/>
          </w:rPr>
          <w:t>Western</w:t>
        </w:r>
        <w:r>
          <w:rPr>
            <w:b/>
          </w:rPr>
          <w:t xml:space="preserve"> Water: customer fact sheet</w:t>
        </w:r>
      </w:sdtContent>
    </w:sdt>
    <w:r w:rsidR="00545592">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4CB15" w14:textId="77777777" w:rsidR="00C85D0D" w:rsidRPr="00CF33F6" w:rsidRDefault="00C85D0D" w:rsidP="00AE03FA">
      <w:pPr>
        <w:spacing w:after="0"/>
        <w:rPr>
          <w:color w:val="75787B" w:themeColor="background2"/>
        </w:rPr>
      </w:pPr>
      <w:bookmarkStart w:id="0" w:name="_Hlk480978878"/>
      <w:bookmarkEnd w:id="0"/>
      <w:r w:rsidRPr="00CF33F6">
        <w:rPr>
          <w:color w:val="75787B" w:themeColor="background2"/>
        </w:rPr>
        <w:separator/>
      </w:r>
    </w:p>
    <w:p w14:paraId="0BFFD4F3" w14:textId="77777777" w:rsidR="00C85D0D" w:rsidRDefault="00C85D0D" w:rsidP="00CF33F6">
      <w:pPr>
        <w:pStyle w:val="NoSpacing"/>
      </w:pPr>
    </w:p>
  </w:footnote>
  <w:footnote w:type="continuationSeparator" w:id="0">
    <w:p w14:paraId="3F4EA82A" w14:textId="77777777" w:rsidR="00C85D0D" w:rsidRDefault="00C85D0D" w:rsidP="00AE03FA">
      <w:pPr>
        <w:spacing w:after="0"/>
      </w:pPr>
      <w:r>
        <w:continuationSeparator/>
      </w:r>
    </w:p>
    <w:p w14:paraId="47961AD0" w14:textId="77777777" w:rsidR="00C85D0D" w:rsidRDefault="00C85D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259" w14:textId="77777777" w:rsidR="00C85D0D" w:rsidRPr="00633068" w:rsidRDefault="00C85D0D" w:rsidP="00633068">
    <w:pPr>
      <w:tabs>
        <w:tab w:val="left" w:pos="2236"/>
      </w:tabs>
    </w:pPr>
    <w:r>
      <w:rPr>
        <w:noProof/>
        <w:lang w:eastAsia="en-AU"/>
      </w:rPr>
      <w:drawing>
        <wp:anchor distT="0" distB="0" distL="114300" distR="114300" simplePos="0" relativeHeight="251687936" behindDoc="0" locked="0" layoutInCell="1" allowOverlap="1" wp14:anchorId="555B8090" wp14:editId="325FF9B1">
          <wp:simplePos x="0" y="0"/>
          <wp:positionH relativeFrom="column">
            <wp:posOffset>5516937</wp:posOffset>
          </wp:positionH>
          <wp:positionV relativeFrom="paragraph">
            <wp:posOffset>-190908</wp:posOffset>
          </wp:positionV>
          <wp:extent cx="540000" cy="5400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sset Bank\Icons\Group icons\Transport icon transparent (grey).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1829">
      <w:rPr>
        <w:noProof/>
        <w:lang w:eastAsia="en-AU"/>
      </w:rPr>
      <mc:AlternateContent>
        <mc:Choice Requires="wps">
          <w:drawing>
            <wp:anchor distT="0" distB="180340" distL="114300" distR="114300" simplePos="0" relativeHeight="251686912" behindDoc="0" locked="0" layoutInCell="1" allowOverlap="1" wp14:anchorId="26FACBED" wp14:editId="7E6E07A7">
              <wp:simplePos x="0" y="0"/>
              <wp:positionH relativeFrom="column">
                <wp:posOffset>-709930</wp:posOffset>
              </wp:positionH>
              <wp:positionV relativeFrom="paragraph">
                <wp:posOffset>-450215</wp:posOffset>
              </wp:positionV>
              <wp:extent cx="11796395" cy="989965"/>
              <wp:effectExtent l="0" t="0" r="0" b="635"/>
              <wp:wrapTopAndBottom/>
              <wp:docPr id="8" name="Rectangle 8"/>
              <wp:cNvGraphicFramePr/>
              <a:graphic xmlns:a="http://schemas.openxmlformats.org/drawingml/2006/main">
                <a:graphicData uri="http://schemas.microsoft.com/office/word/2010/wordprocessingShape">
                  <wps:wsp>
                    <wps:cNvSpPr/>
                    <wps:spPr>
                      <a:xfrm>
                        <a:off x="0" y="0"/>
                        <a:ext cx="11796395" cy="989965"/>
                      </a:xfrm>
                      <a:prstGeom prst="rect">
                        <a:avLst/>
                      </a:prstGeom>
                      <a:solidFill>
                        <a:schemeClr val="accent3"/>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C2AD2" id="Rectangle 8" o:spid="_x0000_s1026" style="position:absolute;margin-left:-55.9pt;margin-top:-35.45pt;width:928.85pt;height:77.95pt;z-index:251686912;visibility:visible;mso-wrap-style:square;mso-width-percent:0;mso-height-percent:0;mso-wrap-distance-left:9pt;mso-wrap-distance-top:0;mso-wrap-distance-right:9pt;mso-wrap-distance-bottom:14.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" fillcolor="#4986a0 [3206]" stroked="f" strokeweight="1pt">
              <w10:wrap type="topAndBotto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7F19A" w14:textId="77777777" w:rsidR="00C85D0D" w:rsidRDefault="00C85D0D">
    <w:pPr>
      <w:pStyle w:val="Header"/>
    </w:pPr>
    <w:r>
      <w:rPr>
        <w:noProof/>
        <w:lang w:eastAsia="en-AU"/>
      </w:rPr>
      <w:drawing>
        <wp:anchor distT="0" distB="0" distL="114300" distR="114300" simplePos="0" relativeHeight="251684864" behindDoc="0" locked="0" layoutInCell="1" allowOverlap="1" wp14:anchorId="461C1271" wp14:editId="3DFC659F">
          <wp:simplePos x="0" y="0"/>
          <wp:positionH relativeFrom="column">
            <wp:posOffset>4792980</wp:posOffset>
          </wp:positionH>
          <wp:positionV relativeFrom="paragraph">
            <wp:posOffset>-150495</wp:posOffset>
          </wp:positionV>
          <wp:extent cx="1259840" cy="125984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sset Bank\Icons\Group icons\Transport icon transparent (grey).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5984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1829">
      <w:rPr>
        <w:noProof/>
        <w:lang w:eastAsia="en-AU"/>
      </w:rPr>
      <mc:AlternateContent>
        <mc:Choice Requires="wps">
          <w:drawing>
            <wp:anchor distT="0" distB="0" distL="114300" distR="114300" simplePos="0" relativeHeight="251683840" behindDoc="0" locked="0" layoutInCell="1" allowOverlap="1" wp14:anchorId="16D3662C" wp14:editId="47035E8E">
              <wp:simplePos x="0" y="0"/>
              <wp:positionH relativeFrom="column">
                <wp:posOffset>-26095</wp:posOffset>
              </wp:positionH>
              <wp:positionV relativeFrom="paragraph">
                <wp:posOffset>-72774</wp:posOffset>
              </wp:positionV>
              <wp:extent cx="4574392" cy="125412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4392" cy="1254125"/>
                      </a:xfrm>
                      <a:prstGeom prst="rect">
                        <a:avLst/>
                      </a:prstGeom>
                      <a:noFill/>
                      <a:ln w="9525">
                        <a:noFill/>
                        <a:miter lim="800000"/>
                        <a:headEnd/>
                        <a:tailEnd/>
                      </a:ln>
                    </wps:spPr>
                    <wps:txbx>
                      <w:txbxContent>
                        <w:p w14:paraId="108634F7" w14:textId="361FCF6D" w:rsidR="00C85D0D" w:rsidRDefault="00CF1EC6" w:rsidP="008D6E08">
                          <w:pPr>
                            <w:pStyle w:val="Heading1"/>
                          </w:pPr>
                          <w:r>
                            <w:t>Western</w:t>
                          </w:r>
                          <w:r w:rsidR="00C85D0D">
                            <w:t xml:space="preserve"> Water</w:t>
                          </w:r>
                        </w:p>
                        <w:p w14:paraId="07AA8F26" w14:textId="2DD49D77" w:rsidR="00C85D0D" w:rsidRDefault="00C85D0D" w:rsidP="0080204B">
                          <w:pPr>
                            <w:rPr>
                              <w:rFonts w:cstheme="minorHAnsi"/>
                              <w:color w:val="FFFFFF" w:themeColor="background1"/>
                              <w:sz w:val="28"/>
                            </w:rPr>
                          </w:pPr>
                          <w:r w:rsidRPr="00CA1DCD">
                            <w:rPr>
                              <w:color w:val="FFFFFF" w:themeColor="background1"/>
                              <w:sz w:val="28"/>
                            </w:rPr>
                            <w:t>20</w:t>
                          </w:r>
                          <w:r w:rsidR="00CF1EC6">
                            <w:rPr>
                              <w:color w:val="FFFFFF" w:themeColor="background1"/>
                              <w:sz w:val="28"/>
                            </w:rPr>
                            <w:t xml:space="preserve">20 </w:t>
                          </w:r>
                          <w:r w:rsidRPr="00CA1DCD">
                            <w:rPr>
                              <w:color w:val="FFFFFF" w:themeColor="background1"/>
                              <w:sz w:val="28"/>
                            </w:rPr>
                            <w:t xml:space="preserve">water price review </w:t>
                          </w:r>
                          <w:r w:rsidRPr="00CA1DCD">
                            <w:rPr>
                              <w:rFonts w:cstheme="minorHAnsi"/>
                              <w:color w:val="FFFFFF" w:themeColor="background1"/>
                              <w:sz w:val="28"/>
                            </w:rPr>
                            <w:t>│customer fact sheet</w:t>
                          </w:r>
                        </w:p>
                        <w:p w14:paraId="354246C0" w14:textId="77777777" w:rsidR="00C85D0D" w:rsidRDefault="00C85D0D" w:rsidP="0080204B">
                          <w:pPr>
                            <w:rPr>
                              <w:rFonts w:cstheme="minorHAnsi"/>
                              <w:color w:val="FFFFFF" w:themeColor="background1"/>
                              <w:sz w:val="28"/>
                            </w:rPr>
                          </w:pPr>
                          <w:r>
                            <w:rPr>
                              <w:rFonts w:cstheme="minorHAnsi"/>
                              <w:color w:val="FFFFFF" w:themeColor="background1"/>
                              <w:sz w:val="28"/>
                            </w:rPr>
                            <w:t xml:space="preserve">Last updated </w:t>
                          </w:r>
                        </w:p>
                        <w:p w14:paraId="4AA0F217" w14:textId="77777777" w:rsidR="00C85D0D" w:rsidRDefault="00C85D0D" w:rsidP="0080204B">
                          <w:pPr>
                            <w:rPr>
                              <w:rFonts w:cstheme="minorHAnsi"/>
                              <w:color w:val="FFFFFF" w:themeColor="background1"/>
                              <w:sz w:val="28"/>
                            </w:rPr>
                          </w:pPr>
                        </w:p>
                        <w:p w14:paraId="1B743AFE" w14:textId="77777777" w:rsidR="00C85D0D" w:rsidRDefault="00C85D0D" w:rsidP="0080204B">
                          <w:pPr>
                            <w:rPr>
                              <w:rFonts w:cstheme="minorHAnsi"/>
                              <w:color w:val="FFFFFF" w:themeColor="background1"/>
                              <w:sz w:val="28"/>
                            </w:rPr>
                          </w:pPr>
                        </w:p>
                        <w:p w14:paraId="5507E58F" w14:textId="77777777" w:rsidR="00C85D0D" w:rsidRDefault="00C85D0D" w:rsidP="0080204B">
                          <w:pPr>
                            <w:rPr>
                              <w:rFonts w:cstheme="minorHAnsi"/>
                              <w:color w:val="FFFFFF" w:themeColor="background1"/>
                              <w:sz w:val="28"/>
                            </w:rPr>
                          </w:pPr>
                        </w:p>
                        <w:p w14:paraId="2AFE7D23" w14:textId="77777777" w:rsidR="00C85D0D" w:rsidRPr="00CA1DCD" w:rsidRDefault="00C85D0D" w:rsidP="0080204B">
                          <w:pPr>
                            <w:rPr>
                              <w:color w:val="FFFFFF" w:themeColor="background1"/>
                              <w:sz w:val="28"/>
                            </w:rPr>
                          </w:pPr>
                        </w:p>
                        <w:p w14:paraId="0013678F" w14:textId="77777777" w:rsidR="00C85D0D" w:rsidRPr="008D6E08" w:rsidRDefault="00C85D0D" w:rsidP="008D6E08">
                          <w:pPr>
                            <w:pStyle w:val="Heading1"/>
                          </w:pPr>
                        </w:p>
                        <w:p w14:paraId="03788323" w14:textId="77777777" w:rsidR="00C85D0D" w:rsidRPr="00261CC2" w:rsidRDefault="00C85D0D" w:rsidP="008D6E08">
                          <w:pPr>
                            <w:pStyle w:val="Heading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D3662C" id="_x0000_t202" coordsize="21600,21600" o:spt="202" path="m,l,21600r21600,l21600,xe">
              <v:stroke joinstyle="miter"/>
              <v:path gradientshapeok="t" o:connecttype="rect"/>
            </v:shapetype>
            <v:shape id="Text Box 2" o:spid="_x0000_s1026" type="#_x0000_t202" style="position:absolute;margin-left:-2.05pt;margin-top:-5.75pt;width:360.2pt;height:9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" filled="f" stroked="f">
              <v:textbox>
                <w:txbxContent>
                  <w:p w14:paraId="108634F7" w14:textId="361FCF6D" w:rsidR="00C85D0D" w:rsidRDefault="00CF1EC6" w:rsidP="008D6E08">
                    <w:pPr>
                      <w:pStyle w:val="Heading1"/>
                    </w:pPr>
                    <w:r>
                      <w:t>Western</w:t>
                    </w:r>
                    <w:r w:rsidR="00C85D0D">
                      <w:t xml:space="preserve"> Water</w:t>
                    </w:r>
                  </w:p>
                  <w:p w14:paraId="07AA8F26" w14:textId="2DD49D77" w:rsidR="00C85D0D" w:rsidRDefault="00C85D0D" w:rsidP="0080204B">
                    <w:pPr>
                      <w:rPr>
                        <w:rFonts w:cstheme="minorHAnsi"/>
                        <w:color w:val="FFFFFF" w:themeColor="background1"/>
                        <w:sz w:val="28"/>
                      </w:rPr>
                    </w:pPr>
                    <w:r w:rsidRPr="00CA1DCD">
                      <w:rPr>
                        <w:color w:val="FFFFFF" w:themeColor="background1"/>
                        <w:sz w:val="28"/>
                      </w:rPr>
                      <w:t>20</w:t>
                    </w:r>
                    <w:r w:rsidR="00CF1EC6">
                      <w:rPr>
                        <w:color w:val="FFFFFF" w:themeColor="background1"/>
                        <w:sz w:val="28"/>
                      </w:rPr>
                      <w:t xml:space="preserve">20 </w:t>
                    </w:r>
                    <w:r w:rsidRPr="00CA1DCD">
                      <w:rPr>
                        <w:color w:val="FFFFFF" w:themeColor="background1"/>
                        <w:sz w:val="28"/>
                      </w:rPr>
                      <w:t xml:space="preserve">water price review </w:t>
                    </w:r>
                    <w:r w:rsidRPr="00CA1DCD">
                      <w:rPr>
                        <w:rFonts w:cstheme="minorHAnsi"/>
                        <w:color w:val="FFFFFF" w:themeColor="background1"/>
                        <w:sz w:val="28"/>
                      </w:rPr>
                      <w:t>│customer fact sheet</w:t>
                    </w:r>
                  </w:p>
                  <w:p w14:paraId="354246C0" w14:textId="77777777" w:rsidR="00C85D0D" w:rsidRDefault="00C85D0D" w:rsidP="0080204B">
                    <w:pPr>
                      <w:rPr>
                        <w:rFonts w:cstheme="minorHAnsi"/>
                        <w:color w:val="FFFFFF" w:themeColor="background1"/>
                        <w:sz w:val="28"/>
                      </w:rPr>
                    </w:pPr>
                    <w:r>
                      <w:rPr>
                        <w:rFonts w:cstheme="minorHAnsi"/>
                        <w:color w:val="FFFFFF" w:themeColor="background1"/>
                        <w:sz w:val="28"/>
                      </w:rPr>
                      <w:t xml:space="preserve">Last updated </w:t>
                    </w:r>
                  </w:p>
                  <w:p w14:paraId="4AA0F217" w14:textId="77777777" w:rsidR="00C85D0D" w:rsidRDefault="00C85D0D" w:rsidP="0080204B">
                    <w:pPr>
                      <w:rPr>
                        <w:rFonts w:cstheme="minorHAnsi"/>
                        <w:color w:val="FFFFFF" w:themeColor="background1"/>
                        <w:sz w:val="28"/>
                      </w:rPr>
                    </w:pPr>
                  </w:p>
                  <w:p w14:paraId="1B743AFE" w14:textId="77777777" w:rsidR="00C85D0D" w:rsidRDefault="00C85D0D" w:rsidP="0080204B">
                    <w:pPr>
                      <w:rPr>
                        <w:rFonts w:cstheme="minorHAnsi"/>
                        <w:color w:val="FFFFFF" w:themeColor="background1"/>
                        <w:sz w:val="28"/>
                      </w:rPr>
                    </w:pPr>
                  </w:p>
                  <w:p w14:paraId="5507E58F" w14:textId="77777777" w:rsidR="00C85D0D" w:rsidRDefault="00C85D0D" w:rsidP="0080204B">
                    <w:pPr>
                      <w:rPr>
                        <w:rFonts w:cstheme="minorHAnsi"/>
                        <w:color w:val="FFFFFF" w:themeColor="background1"/>
                        <w:sz w:val="28"/>
                      </w:rPr>
                    </w:pPr>
                  </w:p>
                  <w:p w14:paraId="2AFE7D23" w14:textId="77777777" w:rsidR="00C85D0D" w:rsidRPr="00CA1DCD" w:rsidRDefault="00C85D0D" w:rsidP="0080204B">
                    <w:pPr>
                      <w:rPr>
                        <w:color w:val="FFFFFF" w:themeColor="background1"/>
                        <w:sz w:val="28"/>
                      </w:rPr>
                    </w:pPr>
                  </w:p>
                  <w:p w14:paraId="0013678F" w14:textId="77777777" w:rsidR="00C85D0D" w:rsidRPr="008D6E08" w:rsidRDefault="00C85D0D" w:rsidP="008D6E08">
                    <w:pPr>
                      <w:pStyle w:val="Heading1"/>
                    </w:pPr>
                  </w:p>
                  <w:p w14:paraId="03788323" w14:textId="77777777" w:rsidR="00C85D0D" w:rsidRPr="00261CC2" w:rsidRDefault="00C85D0D" w:rsidP="008D6E08">
                    <w:pPr>
                      <w:pStyle w:val="Heading1"/>
                    </w:pPr>
                  </w:p>
                </w:txbxContent>
              </v:textbox>
            </v:shape>
          </w:pict>
        </mc:Fallback>
      </mc:AlternateContent>
    </w:r>
    <w:r w:rsidRPr="00611829">
      <w:rPr>
        <w:noProof/>
        <w:lang w:eastAsia="en-AU"/>
      </w:rPr>
      <mc:AlternateContent>
        <mc:Choice Requires="wps">
          <w:drawing>
            <wp:anchor distT="0" distB="180340" distL="114300" distR="114300" simplePos="0" relativeHeight="251682816" behindDoc="0" locked="0" layoutInCell="1" allowOverlap="1" wp14:anchorId="674F4CBE" wp14:editId="68400916">
              <wp:simplePos x="0" y="0"/>
              <wp:positionH relativeFrom="column">
                <wp:posOffset>-720090</wp:posOffset>
              </wp:positionH>
              <wp:positionV relativeFrom="paragraph">
                <wp:posOffset>-450215</wp:posOffset>
              </wp:positionV>
              <wp:extent cx="11323320" cy="1748790"/>
              <wp:effectExtent l="0" t="0" r="0" b="3810"/>
              <wp:wrapTopAndBottom/>
              <wp:docPr id="3" name="Rectangle 3"/>
              <wp:cNvGraphicFramePr/>
              <a:graphic xmlns:a="http://schemas.openxmlformats.org/drawingml/2006/main">
                <a:graphicData uri="http://schemas.microsoft.com/office/word/2010/wordprocessingShape">
                  <wps:wsp>
                    <wps:cNvSpPr/>
                    <wps:spPr>
                      <a:xfrm>
                        <a:off x="0" y="0"/>
                        <a:ext cx="11323320" cy="1748790"/>
                      </a:xfrm>
                      <a:prstGeom prst="rect">
                        <a:avLst/>
                      </a:prstGeom>
                      <a:solidFill>
                        <a:schemeClr val="tx2"/>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B6C37" id="Rectangle 3" o:spid="_x0000_s1026" style="position:absolute;margin-left:-56.7pt;margin-top:-35.45pt;width:891.6pt;height:137.7pt;z-index:251682816;visibility:visible;mso-wrap-style:square;mso-width-percent:0;mso-height-percent:0;mso-wrap-distance-left:9pt;mso-wrap-distance-top:0;mso-wrap-distance-right:9pt;mso-wrap-distance-bottom:14.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" fillcolor="#4986a0 [3215]" stroked="f" strokeweight="1pt">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12CF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238F1"/>
    <w:multiLevelType w:val="hybridMultilevel"/>
    <w:tmpl w:val="6D9EE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510C0B"/>
    <w:multiLevelType w:val="multilevel"/>
    <w:tmpl w:val="3D66CBA2"/>
    <w:numStyleLink w:val="CustomNumberlist"/>
  </w:abstractNum>
  <w:abstractNum w:abstractNumId="15" w15:restartNumberingAfterBreak="0">
    <w:nsid w:val="1B3C049B"/>
    <w:multiLevelType w:val="multilevel"/>
    <w:tmpl w:val="6D9A2BC2"/>
    <w:numStyleLink w:val="NumberedHeadings"/>
  </w:abstractNum>
  <w:abstractNum w:abstractNumId="16" w15:restartNumberingAfterBreak="0">
    <w:nsid w:val="1E8052EF"/>
    <w:multiLevelType w:val="multilevel"/>
    <w:tmpl w:val="DF4A9966"/>
    <w:numStyleLink w:val="TableBullets"/>
  </w:abstractNum>
  <w:abstractNum w:abstractNumId="17"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391238"/>
    <w:multiLevelType w:val="multilevel"/>
    <w:tmpl w:val="6D9A2BC2"/>
    <w:numStyleLink w:val="NumberedHeadings"/>
  </w:abstractNum>
  <w:abstractNum w:abstractNumId="19" w15:restartNumberingAfterBreak="0">
    <w:nsid w:val="359E348D"/>
    <w:multiLevelType w:val="multilevel"/>
    <w:tmpl w:val="3D66CBA2"/>
    <w:numStyleLink w:val="CustomNumberlist"/>
  </w:abstractNum>
  <w:abstractNum w:abstractNumId="20" w15:restartNumberingAfterBreak="0">
    <w:nsid w:val="37B9059C"/>
    <w:multiLevelType w:val="hybridMultilevel"/>
    <w:tmpl w:val="C2801D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9C20E77"/>
    <w:multiLevelType w:val="multilevel"/>
    <w:tmpl w:val="6D9A2BC2"/>
    <w:numStyleLink w:val="NumberedHeadings"/>
  </w:abstractNum>
  <w:abstractNum w:abstractNumId="22" w15:restartNumberingAfterBreak="0">
    <w:nsid w:val="3AA454D7"/>
    <w:multiLevelType w:val="multilevel"/>
    <w:tmpl w:val="6D9A2BC2"/>
    <w:numStyleLink w:val="NumberedHeadings"/>
  </w:abstractNum>
  <w:abstractNum w:abstractNumId="23"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A8B0109"/>
    <w:multiLevelType w:val="multilevel"/>
    <w:tmpl w:val="3D66CBA2"/>
    <w:numStyleLink w:val="CustomNumberlist"/>
  </w:abstractNum>
  <w:abstractNum w:abstractNumId="26"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505317"/>
    <w:multiLevelType w:val="multilevel"/>
    <w:tmpl w:val="3D66CBA2"/>
    <w:numStyleLink w:val="CustomNumberlist"/>
  </w:abstractNum>
  <w:abstractNum w:abstractNumId="29"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23"/>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7"/>
  </w:num>
  <w:num w:numId="15">
    <w:abstractNumId w:val="18"/>
  </w:num>
  <w:num w:numId="16">
    <w:abstractNumId w:val="12"/>
  </w:num>
  <w:num w:numId="17">
    <w:abstractNumId w:val="24"/>
  </w:num>
  <w:num w:numId="18">
    <w:abstractNumId w:val="24"/>
  </w:num>
  <w:num w:numId="19">
    <w:abstractNumId w:val="19"/>
  </w:num>
  <w:num w:numId="20">
    <w:abstractNumId w:val="14"/>
  </w:num>
  <w:num w:numId="21">
    <w:abstractNumId w:val="26"/>
  </w:num>
  <w:num w:numId="22">
    <w:abstractNumId w:val="28"/>
  </w:num>
  <w:num w:numId="23">
    <w:abstractNumId w:val="13"/>
  </w:num>
  <w:num w:numId="24">
    <w:abstractNumId w:val="30"/>
  </w:num>
  <w:num w:numId="25">
    <w:abstractNumId w:val="27"/>
  </w:num>
  <w:num w:numId="26">
    <w:abstractNumId w:val="29"/>
  </w:num>
  <w:num w:numId="27">
    <w:abstractNumId w:val="16"/>
  </w:num>
  <w:num w:numId="28">
    <w:abstractNumId w:val="22"/>
  </w:num>
  <w:num w:numId="29">
    <w:abstractNumId w:val="21"/>
  </w:num>
  <w:num w:numId="30">
    <w:abstractNumId w:val="15"/>
  </w:num>
  <w:num w:numId="31">
    <w:abstractNumId w:val="25"/>
  </w:num>
  <w:num w:numId="32">
    <w:abstractNumId w:val="11"/>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F7F"/>
    <w:rsid w:val="00001254"/>
    <w:rsid w:val="000046BD"/>
    <w:rsid w:val="0001114E"/>
    <w:rsid w:val="00015588"/>
    <w:rsid w:val="00015EB4"/>
    <w:rsid w:val="00040A3A"/>
    <w:rsid w:val="00050BCB"/>
    <w:rsid w:val="000518F3"/>
    <w:rsid w:val="000559E1"/>
    <w:rsid w:val="000566E0"/>
    <w:rsid w:val="000765BC"/>
    <w:rsid w:val="000A1292"/>
    <w:rsid w:val="000A759D"/>
    <w:rsid w:val="000A7FD9"/>
    <w:rsid w:val="000B5680"/>
    <w:rsid w:val="000B73D7"/>
    <w:rsid w:val="00102472"/>
    <w:rsid w:val="00126761"/>
    <w:rsid w:val="0013476C"/>
    <w:rsid w:val="00136DAB"/>
    <w:rsid w:val="00153081"/>
    <w:rsid w:val="00172CA6"/>
    <w:rsid w:val="001801C9"/>
    <w:rsid w:val="00184CEF"/>
    <w:rsid w:val="001869B0"/>
    <w:rsid w:val="00187998"/>
    <w:rsid w:val="00187ACF"/>
    <w:rsid w:val="00195003"/>
    <w:rsid w:val="001A1212"/>
    <w:rsid w:val="001A4ACF"/>
    <w:rsid w:val="001B4EF7"/>
    <w:rsid w:val="001B5F21"/>
    <w:rsid w:val="001C443A"/>
    <w:rsid w:val="001C750A"/>
    <w:rsid w:val="001D07CD"/>
    <w:rsid w:val="001D1F63"/>
    <w:rsid w:val="001E3CE3"/>
    <w:rsid w:val="001F3997"/>
    <w:rsid w:val="001F64A3"/>
    <w:rsid w:val="002021DC"/>
    <w:rsid w:val="00204C88"/>
    <w:rsid w:val="002256FD"/>
    <w:rsid w:val="00235B40"/>
    <w:rsid w:val="00261CC2"/>
    <w:rsid w:val="0027476E"/>
    <w:rsid w:val="002750C4"/>
    <w:rsid w:val="00292869"/>
    <w:rsid w:val="002966CE"/>
    <w:rsid w:val="002A059D"/>
    <w:rsid w:val="002C2ADF"/>
    <w:rsid w:val="002D3B02"/>
    <w:rsid w:val="002E48AC"/>
    <w:rsid w:val="00312BBD"/>
    <w:rsid w:val="003159C6"/>
    <w:rsid w:val="00317C67"/>
    <w:rsid w:val="0032215C"/>
    <w:rsid w:val="00333ED7"/>
    <w:rsid w:val="003466C7"/>
    <w:rsid w:val="00353663"/>
    <w:rsid w:val="00357882"/>
    <w:rsid w:val="00360763"/>
    <w:rsid w:val="00375CBF"/>
    <w:rsid w:val="00375EFC"/>
    <w:rsid w:val="003822A4"/>
    <w:rsid w:val="003837CC"/>
    <w:rsid w:val="003904B9"/>
    <w:rsid w:val="00395CFE"/>
    <w:rsid w:val="003A16E1"/>
    <w:rsid w:val="003A2748"/>
    <w:rsid w:val="003C4A01"/>
    <w:rsid w:val="003E6B8E"/>
    <w:rsid w:val="003F644A"/>
    <w:rsid w:val="00401ECA"/>
    <w:rsid w:val="00420B52"/>
    <w:rsid w:val="0043066B"/>
    <w:rsid w:val="004309BF"/>
    <w:rsid w:val="00452E72"/>
    <w:rsid w:val="004558CC"/>
    <w:rsid w:val="00456921"/>
    <w:rsid w:val="00474670"/>
    <w:rsid w:val="004855CE"/>
    <w:rsid w:val="00496B0B"/>
    <w:rsid w:val="00496CF9"/>
    <w:rsid w:val="004B1F11"/>
    <w:rsid w:val="004B346F"/>
    <w:rsid w:val="004C48D2"/>
    <w:rsid w:val="004F2795"/>
    <w:rsid w:val="004F3F8F"/>
    <w:rsid w:val="004F5F7F"/>
    <w:rsid w:val="0050064B"/>
    <w:rsid w:val="00504E37"/>
    <w:rsid w:val="00512D1A"/>
    <w:rsid w:val="00523F31"/>
    <w:rsid w:val="00541F9A"/>
    <w:rsid w:val="00542609"/>
    <w:rsid w:val="00545592"/>
    <w:rsid w:val="00563AD8"/>
    <w:rsid w:val="00565057"/>
    <w:rsid w:val="00572ED3"/>
    <w:rsid w:val="0058364C"/>
    <w:rsid w:val="005B38C8"/>
    <w:rsid w:val="005B3AF2"/>
    <w:rsid w:val="005C6E04"/>
    <w:rsid w:val="005D2119"/>
    <w:rsid w:val="005E2A78"/>
    <w:rsid w:val="005E2E03"/>
    <w:rsid w:val="005F20BA"/>
    <w:rsid w:val="005F3D90"/>
    <w:rsid w:val="005F5578"/>
    <w:rsid w:val="00611829"/>
    <w:rsid w:val="00615C49"/>
    <w:rsid w:val="00633068"/>
    <w:rsid w:val="0063494B"/>
    <w:rsid w:val="006817B0"/>
    <w:rsid w:val="00686B03"/>
    <w:rsid w:val="006D0A5E"/>
    <w:rsid w:val="006D4CD9"/>
    <w:rsid w:val="006D7C58"/>
    <w:rsid w:val="006E6549"/>
    <w:rsid w:val="006E6B2B"/>
    <w:rsid w:val="006F29EA"/>
    <w:rsid w:val="007037C0"/>
    <w:rsid w:val="00703C67"/>
    <w:rsid w:val="0070740F"/>
    <w:rsid w:val="00707B2F"/>
    <w:rsid w:val="00707CAC"/>
    <w:rsid w:val="00710792"/>
    <w:rsid w:val="00711BA5"/>
    <w:rsid w:val="00715FED"/>
    <w:rsid w:val="00717C19"/>
    <w:rsid w:val="00717CCA"/>
    <w:rsid w:val="007202C6"/>
    <w:rsid w:val="00723A9B"/>
    <w:rsid w:val="00740720"/>
    <w:rsid w:val="00747563"/>
    <w:rsid w:val="0075394B"/>
    <w:rsid w:val="00757EE6"/>
    <w:rsid w:val="007648AB"/>
    <w:rsid w:val="007666A8"/>
    <w:rsid w:val="00772EB1"/>
    <w:rsid w:val="00774BB9"/>
    <w:rsid w:val="00776C79"/>
    <w:rsid w:val="00781227"/>
    <w:rsid w:val="007921F2"/>
    <w:rsid w:val="00792B10"/>
    <w:rsid w:val="00795CF5"/>
    <w:rsid w:val="00797590"/>
    <w:rsid w:val="007A5734"/>
    <w:rsid w:val="007B54C8"/>
    <w:rsid w:val="007B7C63"/>
    <w:rsid w:val="007C7E2D"/>
    <w:rsid w:val="007E2BCE"/>
    <w:rsid w:val="0080204B"/>
    <w:rsid w:val="008023E2"/>
    <w:rsid w:val="0082375F"/>
    <w:rsid w:val="0083412B"/>
    <w:rsid w:val="008365E8"/>
    <w:rsid w:val="0084087E"/>
    <w:rsid w:val="00865ECE"/>
    <w:rsid w:val="008679BA"/>
    <w:rsid w:val="00881E07"/>
    <w:rsid w:val="00882783"/>
    <w:rsid w:val="008A7D0E"/>
    <w:rsid w:val="008B3C05"/>
    <w:rsid w:val="008B6874"/>
    <w:rsid w:val="008B76F7"/>
    <w:rsid w:val="008C1818"/>
    <w:rsid w:val="008C5256"/>
    <w:rsid w:val="008D2C44"/>
    <w:rsid w:val="008D30C4"/>
    <w:rsid w:val="008D5E13"/>
    <w:rsid w:val="008D6E08"/>
    <w:rsid w:val="008F7087"/>
    <w:rsid w:val="00904E0F"/>
    <w:rsid w:val="009058B1"/>
    <w:rsid w:val="0090744A"/>
    <w:rsid w:val="00916721"/>
    <w:rsid w:val="009230CE"/>
    <w:rsid w:val="009233EF"/>
    <w:rsid w:val="0092572E"/>
    <w:rsid w:val="009422BA"/>
    <w:rsid w:val="00943BDE"/>
    <w:rsid w:val="00954875"/>
    <w:rsid w:val="00961E03"/>
    <w:rsid w:val="00986CF3"/>
    <w:rsid w:val="0099126B"/>
    <w:rsid w:val="009A2E4E"/>
    <w:rsid w:val="009A4DB9"/>
    <w:rsid w:val="009A5B80"/>
    <w:rsid w:val="009B583F"/>
    <w:rsid w:val="009C3099"/>
    <w:rsid w:val="009C3565"/>
    <w:rsid w:val="009C7597"/>
    <w:rsid w:val="009D549C"/>
    <w:rsid w:val="009D5E04"/>
    <w:rsid w:val="009E15D6"/>
    <w:rsid w:val="009F18ED"/>
    <w:rsid w:val="00A26591"/>
    <w:rsid w:val="00A27C06"/>
    <w:rsid w:val="00A27D94"/>
    <w:rsid w:val="00A27F67"/>
    <w:rsid w:val="00A40FB6"/>
    <w:rsid w:val="00A52458"/>
    <w:rsid w:val="00A67A25"/>
    <w:rsid w:val="00A93CAF"/>
    <w:rsid w:val="00AA5609"/>
    <w:rsid w:val="00AA72E4"/>
    <w:rsid w:val="00AB63DB"/>
    <w:rsid w:val="00AB68A7"/>
    <w:rsid w:val="00AB6999"/>
    <w:rsid w:val="00AD2E14"/>
    <w:rsid w:val="00AE03FA"/>
    <w:rsid w:val="00AE0C8F"/>
    <w:rsid w:val="00AE3190"/>
    <w:rsid w:val="00AF63AC"/>
    <w:rsid w:val="00B027ED"/>
    <w:rsid w:val="00B04857"/>
    <w:rsid w:val="00B17F9F"/>
    <w:rsid w:val="00B20994"/>
    <w:rsid w:val="00B37A15"/>
    <w:rsid w:val="00B503C2"/>
    <w:rsid w:val="00B52E6C"/>
    <w:rsid w:val="00B655D9"/>
    <w:rsid w:val="00B72AB0"/>
    <w:rsid w:val="00B75302"/>
    <w:rsid w:val="00B80387"/>
    <w:rsid w:val="00B82932"/>
    <w:rsid w:val="00B91DF0"/>
    <w:rsid w:val="00BA3341"/>
    <w:rsid w:val="00BC0E1F"/>
    <w:rsid w:val="00BD24AA"/>
    <w:rsid w:val="00BD3D30"/>
    <w:rsid w:val="00BF2BAF"/>
    <w:rsid w:val="00C03765"/>
    <w:rsid w:val="00C12D51"/>
    <w:rsid w:val="00C2436E"/>
    <w:rsid w:val="00C313B7"/>
    <w:rsid w:val="00C336AD"/>
    <w:rsid w:val="00C3427B"/>
    <w:rsid w:val="00C34EF4"/>
    <w:rsid w:val="00C36E8A"/>
    <w:rsid w:val="00C45410"/>
    <w:rsid w:val="00C45BF3"/>
    <w:rsid w:val="00C47364"/>
    <w:rsid w:val="00C622B7"/>
    <w:rsid w:val="00C73BBB"/>
    <w:rsid w:val="00C753B8"/>
    <w:rsid w:val="00C763D8"/>
    <w:rsid w:val="00C80CDA"/>
    <w:rsid w:val="00C81979"/>
    <w:rsid w:val="00C848F1"/>
    <w:rsid w:val="00C85D0D"/>
    <w:rsid w:val="00C9324B"/>
    <w:rsid w:val="00CA357C"/>
    <w:rsid w:val="00CA6A22"/>
    <w:rsid w:val="00CB7FB8"/>
    <w:rsid w:val="00CC1A43"/>
    <w:rsid w:val="00CD3446"/>
    <w:rsid w:val="00CE324D"/>
    <w:rsid w:val="00CE5B02"/>
    <w:rsid w:val="00CF1EC6"/>
    <w:rsid w:val="00CF2B15"/>
    <w:rsid w:val="00CF33F6"/>
    <w:rsid w:val="00CF4BA8"/>
    <w:rsid w:val="00D04DDA"/>
    <w:rsid w:val="00D21B96"/>
    <w:rsid w:val="00D23A3D"/>
    <w:rsid w:val="00D250C4"/>
    <w:rsid w:val="00D30FA8"/>
    <w:rsid w:val="00D3670C"/>
    <w:rsid w:val="00D36E74"/>
    <w:rsid w:val="00D40D49"/>
    <w:rsid w:val="00D45FF9"/>
    <w:rsid w:val="00D80A40"/>
    <w:rsid w:val="00D94AA8"/>
    <w:rsid w:val="00DA005C"/>
    <w:rsid w:val="00DB0938"/>
    <w:rsid w:val="00DB4F57"/>
    <w:rsid w:val="00DB79C6"/>
    <w:rsid w:val="00DC2B59"/>
    <w:rsid w:val="00DC3BE7"/>
    <w:rsid w:val="00DF1240"/>
    <w:rsid w:val="00DF2D63"/>
    <w:rsid w:val="00E03B00"/>
    <w:rsid w:val="00E04398"/>
    <w:rsid w:val="00E130B8"/>
    <w:rsid w:val="00E13C57"/>
    <w:rsid w:val="00E5390E"/>
    <w:rsid w:val="00E640D1"/>
    <w:rsid w:val="00E736EA"/>
    <w:rsid w:val="00E84671"/>
    <w:rsid w:val="00E9393A"/>
    <w:rsid w:val="00E96A82"/>
    <w:rsid w:val="00EA23C9"/>
    <w:rsid w:val="00EA47A3"/>
    <w:rsid w:val="00EB6E73"/>
    <w:rsid w:val="00EC010E"/>
    <w:rsid w:val="00EC2BC5"/>
    <w:rsid w:val="00EC6C0B"/>
    <w:rsid w:val="00EE323C"/>
    <w:rsid w:val="00EE3779"/>
    <w:rsid w:val="00EE5935"/>
    <w:rsid w:val="00EF3F48"/>
    <w:rsid w:val="00F0348A"/>
    <w:rsid w:val="00F05E93"/>
    <w:rsid w:val="00F121AB"/>
    <w:rsid w:val="00F42952"/>
    <w:rsid w:val="00F510A3"/>
    <w:rsid w:val="00F666F0"/>
    <w:rsid w:val="00F67985"/>
    <w:rsid w:val="00F81408"/>
    <w:rsid w:val="00FA53DC"/>
    <w:rsid w:val="00FB2CF8"/>
    <w:rsid w:val="00FC5279"/>
    <w:rsid w:val="00FD1E3D"/>
    <w:rsid w:val="00FE077A"/>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E16A789"/>
  <w15:docId w15:val="{AD8A82EA-ABC6-4259-BCD8-DE8A0764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261CC2"/>
    <w:pPr>
      <w:keepNext/>
      <w:keepLines/>
      <w:pageBreakBefore/>
      <w:spacing w:before="240" w:after="320"/>
      <w:contextualSpacing/>
      <w:outlineLvl w:val="0"/>
    </w:pPr>
    <w:rPr>
      <w:rFonts w:ascii="Tahoma" w:eastAsiaTheme="majorEastAsia" w:hAnsi="Tahoma" w:cstheme="majorBidi"/>
      <w:color w:val="FFFFFF" w:themeColor="background1"/>
      <w:sz w:val="52"/>
      <w:szCs w:val="48"/>
    </w:rPr>
  </w:style>
  <w:style w:type="paragraph" w:styleId="Heading2">
    <w:name w:val="heading 2"/>
    <w:basedOn w:val="Normal"/>
    <w:next w:val="Normal"/>
    <w:link w:val="Heading2Char"/>
    <w:uiPriority w:val="9"/>
    <w:unhideWhenUsed/>
    <w:qFormat/>
    <w:rsid w:val="00D36E74"/>
    <w:pPr>
      <w:keepNext/>
      <w:keepLines/>
      <w:spacing w:before="240"/>
      <w:outlineLvl w:val="1"/>
    </w:pPr>
    <w:rPr>
      <w:rFonts w:ascii="Tahoma" w:eastAsiaTheme="majorEastAsia" w:hAnsi="Tahoma" w:cstheme="majorBidi"/>
      <w:b/>
      <w:color w:val="236192" w:themeColor="accent1"/>
      <w:sz w:val="26"/>
      <w:szCs w:val="26"/>
    </w:rPr>
  </w:style>
  <w:style w:type="paragraph" w:styleId="Heading3">
    <w:name w:val="heading 3"/>
    <w:basedOn w:val="Normal"/>
    <w:next w:val="Normal"/>
    <w:link w:val="Heading3Char"/>
    <w:uiPriority w:val="9"/>
    <w:unhideWhenUsed/>
    <w:qFormat/>
    <w:rsid w:val="00D36E74"/>
    <w:pPr>
      <w:keepNext/>
      <w:keepLines/>
      <w:spacing w:before="200" w:after="120"/>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1A1212"/>
    <w:pPr>
      <w:numPr>
        <w:ilvl w:val="1"/>
      </w:numPr>
      <w:spacing w:after="240"/>
    </w:pPr>
    <w:rPr>
      <w:rFonts w:eastAsiaTheme="minorEastAsia"/>
      <w:color w:val="FFFFFF" w:themeColor="background1"/>
      <w:sz w:val="28"/>
    </w:rPr>
  </w:style>
  <w:style w:type="character" w:customStyle="1" w:styleId="SubtitleChar">
    <w:name w:val="Subtitle Char"/>
    <w:basedOn w:val="DefaultParagraphFont"/>
    <w:link w:val="Subtitle"/>
    <w:uiPriority w:val="11"/>
    <w:rsid w:val="001A1212"/>
    <w:rPr>
      <w:rFonts w:eastAsiaTheme="minorEastAsia"/>
      <w:color w:val="FFFFFF" w:themeColor="background1"/>
      <w:sz w:val="28"/>
      <w:lang w:val="en-AU"/>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261CC2"/>
    <w:rPr>
      <w:rFonts w:ascii="Tahoma" w:eastAsiaTheme="majorEastAsia" w:hAnsi="Tahoma" w:cstheme="majorBidi"/>
      <w:color w:val="FFFFFF" w:themeColor="background1"/>
      <w:sz w:val="52"/>
      <w:szCs w:val="48"/>
      <w:lang w:val="en-AU"/>
    </w:rPr>
  </w:style>
  <w:style w:type="character" w:customStyle="1" w:styleId="Heading2Char">
    <w:name w:val="Heading 2 Char"/>
    <w:basedOn w:val="DefaultParagraphFont"/>
    <w:link w:val="Heading2"/>
    <w:uiPriority w:val="9"/>
    <w:rsid w:val="00D36E74"/>
    <w:rPr>
      <w:rFonts w:ascii="Tahoma" w:eastAsiaTheme="majorEastAsia" w:hAnsi="Tahoma" w:cstheme="majorBidi"/>
      <w:b/>
      <w:color w:val="236192" w:themeColor="accent1"/>
      <w:sz w:val="26"/>
      <w:szCs w:val="26"/>
      <w:lang w:val="en-AU"/>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D45FF9"/>
    <w:rPr>
      <w:b w:val="0"/>
      <w:color w:val="75787B" w:themeColor="background2"/>
      <w:sz w:val="22"/>
      <w:bdr w:val="none" w:sz="0" w:space="0" w:color="auto"/>
      <w:shd w:val="clear" w:color="auto" w:fill="FFFFFF" w:themeFill="background1"/>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D36E74"/>
    <w:rPr>
      <w:rFonts w:asciiTheme="majorHAnsi" w:eastAsiaTheme="majorEastAsia" w:hAnsiTheme="majorHAnsi" w:cstheme="majorBidi"/>
      <w:b/>
      <w:color w:val="000000" w:themeColor="text1"/>
      <w:szCs w:val="24"/>
      <w:lang w:val="en-AU"/>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C9324B"/>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C313B7"/>
    <w:rPr>
      <w:rFonts w:asciiTheme="majorHAnsi" w:eastAsiaTheme="majorEastAsia" w:hAnsiTheme="majorHAnsi" w:cstheme="majorBidi"/>
      <w:b/>
      <w:caps w:val="0"/>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lang w:val="en-AU"/>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B17F9F"/>
    <w:rPr>
      <w:sz w:val="16"/>
      <w:szCs w:val="16"/>
    </w:rPr>
  </w:style>
  <w:style w:type="paragraph" w:styleId="CommentText">
    <w:name w:val="annotation text"/>
    <w:basedOn w:val="Normal"/>
    <w:link w:val="CommentTextChar"/>
    <w:uiPriority w:val="99"/>
    <w:semiHidden/>
    <w:unhideWhenUsed/>
    <w:rsid w:val="00B17F9F"/>
    <w:pPr>
      <w:spacing w:line="240" w:lineRule="auto"/>
    </w:pPr>
    <w:rPr>
      <w:sz w:val="20"/>
      <w:szCs w:val="20"/>
    </w:rPr>
  </w:style>
  <w:style w:type="character" w:customStyle="1" w:styleId="CommentTextChar">
    <w:name w:val="Comment Text Char"/>
    <w:basedOn w:val="DefaultParagraphFont"/>
    <w:link w:val="CommentText"/>
    <w:uiPriority w:val="99"/>
    <w:semiHidden/>
    <w:rsid w:val="00B17F9F"/>
    <w:rPr>
      <w:sz w:val="20"/>
      <w:szCs w:val="20"/>
      <w:lang w:val="en-AU"/>
    </w:rPr>
  </w:style>
  <w:style w:type="paragraph" w:styleId="CommentSubject">
    <w:name w:val="annotation subject"/>
    <w:basedOn w:val="CommentText"/>
    <w:next w:val="CommentText"/>
    <w:link w:val="CommentSubjectChar"/>
    <w:uiPriority w:val="99"/>
    <w:semiHidden/>
    <w:unhideWhenUsed/>
    <w:rsid w:val="00B17F9F"/>
    <w:rPr>
      <w:b/>
      <w:bCs/>
    </w:rPr>
  </w:style>
  <w:style w:type="character" w:customStyle="1" w:styleId="CommentSubjectChar">
    <w:name w:val="Comment Subject Char"/>
    <w:basedOn w:val="CommentTextChar"/>
    <w:link w:val="CommentSubject"/>
    <w:uiPriority w:val="99"/>
    <w:semiHidden/>
    <w:rsid w:val="00B17F9F"/>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871323">
      <w:bodyDiv w:val="1"/>
      <w:marLeft w:val="0"/>
      <w:marRight w:val="0"/>
      <w:marTop w:val="0"/>
      <w:marBottom w:val="0"/>
      <w:divBdr>
        <w:top w:val="none" w:sz="0" w:space="0" w:color="auto"/>
        <w:left w:val="none" w:sz="0" w:space="0" w:color="auto"/>
        <w:bottom w:val="none" w:sz="0" w:space="0" w:color="auto"/>
        <w:right w:val="none" w:sz="0" w:space="0" w:color="auto"/>
      </w:divBdr>
    </w:div>
    <w:div w:id="384721769">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115494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water@esc.vic.gov.a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witter.com/essentialvi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c.vic.gov.au/waterpricereview" TargetMode="External"/><Relationship Id="rId5" Type="http://schemas.openxmlformats.org/officeDocument/2006/relationships/webSettings" Target="webSettings.xml"/><Relationship Id="rId15" Type="http://schemas.openxmlformats.org/officeDocument/2006/relationships/hyperlink" Target="https://au.linkedin.com/company/essential-services-commission" TargetMode="Externa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sc.vic.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gent\Desktop\Fact%20sheet%20-%20water.dotx" TargetMode="External"/></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78A5F-7C1D-403D-9119-654676CFA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 water</Template>
  <TotalTime>1066</TotalTime>
  <Pages>4</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Western Water: customer fact sheet</vt:lpstr>
    </vt:vector>
  </TitlesOfParts>
  <Company>Essential Services Commission</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Water: customer fact sheet</dc:title>
  <dc:creator>Siobhan Argent</dc:creator>
  <cp:lastModifiedBy>Chris Hutchins (ESC)</cp:lastModifiedBy>
  <cp:revision>30</cp:revision>
  <cp:lastPrinted>2017-12-12T23:34:00Z</cp:lastPrinted>
  <dcterms:created xsi:type="dcterms:W3CDTF">2017-12-12T05:45:00Z</dcterms:created>
  <dcterms:modified xsi:type="dcterms:W3CDTF">2019-12-11T01:20:00Z</dcterms:modified>
</cp:coreProperties>
</file>