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937FA" w14:textId="5B73E785" w:rsidR="007E1738" w:rsidRPr="003E086F" w:rsidRDefault="00C56ACF" w:rsidP="00633068">
      <w:pPr>
        <w:pStyle w:val="NoSpacing"/>
        <w:rPr>
          <w:lang w:val="en-AU"/>
        </w:rPr>
      </w:pPr>
      <w:bookmarkStart w:id="1" w:name="_Toc481138395"/>
      <w:bookmarkStart w:id="2" w:name="_Toc481138187"/>
      <w:bookmarkStart w:id="3" w:name="_Toc480988875"/>
      <w:bookmarkStart w:id="4" w:name="_Hlk481497640"/>
      <w:r>
        <w:rPr>
          <w:lang w:val="en-AU"/>
        </w:rPr>
        <w:t xml:space="preserve"> </w:t>
      </w:r>
    </w:p>
    <w:p w14:paraId="7BC55C84" w14:textId="77777777" w:rsidR="007E1738" w:rsidRDefault="007E1738" w:rsidP="00633068">
      <w:pPr>
        <w:pStyle w:val="NoSpacing"/>
      </w:pPr>
    </w:p>
    <w:p w14:paraId="5D7B26F7" w14:textId="77777777" w:rsidR="007E1738" w:rsidRDefault="007E1738" w:rsidP="00633068">
      <w:pPr>
        <w:pStyle w:val="NoSpacing"/>
      </w:pPr>
    </w:p>
    <w:p w14:paraId="5892CB0A" w14:textId="77777777" w:rsidR="007E1738" w:rsidRDefault="007E1738" w:rsidP="00633068">
      <w:pPr>
        <w:pStyle w:val="NoSpacing"/>
      </w:pPr>
    </w:p>
    <w:p w14:paraId="12841B66" w14:textId="77777777" w:rsidR="007E1738" w:rsidRDefault="007E1738" w:rsidP="00633068">
      <w:pPr>
        <w:pStyle w:val="NoSpacing"/>
      </w:pPr>
    </w:p>
    <w:p w14:paraId="711BC695" w14:textId="77777777" w:rsidR="007E1738" w:rsidRDefault="007E1738" w:rsidP="00633068">
      <w:pPr>
        <w:pStyle w:val="NoSpacing"/>
      </w:pPr>
    </w:p>
    <w:p w14:paraId="519E3A9D" w14:textId="77777777" w:rsidR="007E1738" w:rsidRDefault="007E1738" w:rsidP="00633068">
      <w:pPr>
        <w:pStyle w:val="NoSpacing"/>
      </w:pPr>
    </w:p>
    <w:p w14:paraId="3E3B75DF" w14:textId="77777777" w:rsidR="007E1738" w:rsidRDefault="007E1738" w:rsidP="00633068">
      <w:pPr>
        <w:pStyle w:val="NoSpacing"/>
      </w:pPr>
    </w:p>
    <w:p w14:paraId="0A25C7E1" w14:textId="77777777" w:rsidR="007E1738" w:rsidRDefault="007E1738" w:rsidP="00633068">
      <w:pPr>
        <w:pStyle w:val="NoSpacing"/>
      </w:pPr>
    </w:p>
    <w:p w14:paraId="6671AA60" w14:textId="77777777" w:rsidR="007E1738" w:rsidRDefault="007E1738" w:rsidP="00633068">
      <w:pPr>
        <w:pStyle w:val="NoSpacing"/>
      </w:pPr>
    </w:p>
    <w:p w14:paraId="31A20216" w14:textId="77777777" w:rsidR="007E1738" w:rsidRDefault="007E1738" w:rsidP="00633068">
      <w:pPr>
        <w:pStyle w:val="NoSpacing"/>
      </w:pPr>
    </w:p>
    <w:p w14:paraId="2F36DE56" w14:textId="77777777" w:rsidR="007E1738" w:rsidRDefault="007E1738" w:rsidP="00633068">
      <w:pPr>
        <w:pStyle w:val="NoSpacing"/>
      </w:pPr>
    </w:p>
    <w:p w14:paraId="66FC42A3" w14:textId="77777777" w:rsidR="007E1738" w:rsidRDefault="007E1738" w:rsidP="00633068">
      <w:pPr>
        <w:pStyle w:val="NoSpacing"/>
      </w:pPr>
    </w:p>
    <w:p w14:paraId="7695464C" w14:textId="77777777" w:rsidR="007E1738" w:rsidRDefault="007E1738" w:rsidP="00633068">
      <w:pPr>
        <w:pStyle w:val="NoSpacing"/>
      </w:pPr>
    </w:p>
    <w:sdt>
      <w:sdtPr>
        <w:rPr>
          <w:lang w:val="en-AU"/>
        </w:rPr>
        <w:id w:val="-1806228930"/>
        <w:docPartObj>
          <w:docPartGallery w:val="Cover Pages"/>
          <w:docPartUnique/>
        </w:docPartObj>
      </w:sdtPr>
      <w:sdtContent>
        <w:p w14:paraId="57B6BEB4" w14:textId="77777777" w:rsidR="00067DD9" w:rsidRDefault="00067DD9" w:rsidP="00633068">
          <w:pPr>
            <w:pStyle w:val="NoSpacing"/>
            <w:sectPr w:rsidR="00067DD9" w:rsidSect="00703C67">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p>
        <w:p w14:paraId="18BEEB37" w14:textId="011B9000" w:rsidR="00067DD9" w:rsidRPr="0063494B" w:rsidRDefault="00000000" w:rsidP="007E1738">
          <w:pPr>
            <w:pStyle w:val="Title"/>
            <w:jc w:val="center"/>
          </w:pPr>
          <w:sdt>
            <w:sdtPr>
              <w:alias w:val="Title"/>
              <w:tag w:val=""/>
              <w:id w:val="-1656833702"/>
              <w:placeholder>
                <w:docPart w:val="BDEC5858230C42A8B154867B7513E6E3"/>
              </w:placeholder>
              <w:dataBinding w:prefixMappings="xmlns:ns0='http://purl.org/dc/elements/1.1/' xmlns:ns1='http://schemas.openxmlformats.org/package/2006/metadata/core-properties' " w:xpath="/ns1:coreProperties[1]/ns0:title[1]" w:storeItemID="{6C3C8BC8-F283-45AE-878A-BAB7291924A1}"/>
              <w:text/>
            </w:sdtPr>
            <w:sdtContent>
              <w:r w:rsidR="005E6B45">
                <w:t>Victorian Default Offer 2025–26</w:t>
              </w:r>
            </w:sdtContent>
          </w:sdt>
        </w:p>
        <w:p w14:paraId="6F525F11" w14:textId="48170D47" w:rsidR="00067DD9" w:rsidRPr="00F52FD1" w:rsidRDefault="00000000" w:rsidP="007E1738">
          <w:pPr>
            <w:pStyle w:val="Subtitle"/>
            <w:jc w:val="center"/>
          </w:pPr>
          <w:sdt>
            <w:sdtPr>
              <w:alias w:val="Subtitle"/>
              <w:tag w:val=""/>
              <w:id w:val="1140151582"/>
              <w:placeholder>
                <w:docPart w:val="251784B3A0AE4A4C90F0D9C0F2E9D209"/>
              </w:placeholder>
              <w:dataBinding w:prefixMappings="xmlns:ns0='http://purl.org/dc/elements/1.1/' xmlns:ns1='http://schemas.openxmlformats.org/package/2006/metadata/core-properties' " w:xpath="/ns1:coreProperties[1]/ns0:description[1]" w:storeItemID="{6C3C8BC8-F283-45AE-878A-BAB7291924A1}"/>
              <w:text w:multiLine="1"/>
            </w:sdtPr>
            <w:sdtContent>
              <w:r w:rsidR="0078520E" w:rsidRPr="00F52FD1">
                <w:t>Final</w:t>
              </w:r>
              <w:r w:rsidR="002545C3" w:rsidRPr="00F52FD1">
                <w:t xml:space="preserve"> Decision Paper</w:t>
              </w:r>
            </w:sdtContent>
          </w:sdt>
        </w:p>
        <w:p w14:paraId="4615F0F5" w14:textId="619AED02" w:rsidR="00067DD9" w:rsidRPr="00F52FD1" w:rsidRDefault="00000000" w:rsidP="007E1738">
          <w:pPr>
            <w:pStyle w:val="Subtitle"/>
            <w:jc w:val="center"/>
          </w:pPr>
          <w:sdt>
            <w:sdtPr>
              <w:id w:val="1251166870"/>
              <w:placeholder>
                <w:docPart w:val="1DDEDB0A8D27487C8D881AB823DCCF1C"/>
              </w:placeholder>
              <w:date w:fullDate="2025-05-21T00:00:00Z">
                <w:dateFormat w:val="d MMMM yyyy"/>
                <w:lid w:val="en-US"/>
                <w:storeMappedDataAs w:val="dateTime"/>
                <w:calendar w:val="gregorian"/>
              </w:date>
            </w:sdtPr>
            <w:sdtContent>
              <w:r w:rsidR="00FD0A25" w:rsidRPr="00F52FD1">
                <w:rPr>
                  <w:lang w:val="en-US"/>
                </w:rPr>
                <w:t>2</w:t>
              </w:r>
              <w:r w:rsidR="000C52F9">
                <w:rPr>
                  <w:lang w:val="en-US"/>
                </w:rPr>
                <w:t>1</w:t>
              </w:r>
              <w:r w:rsidR="000E2FD9" w:rsidRPr="00F52FD1">
                <w:rPr>
                  <w:lang w:val="en-US"/>
                </w:rPr>
                <w:t xml:space="preserve"> May 2025</w:t>
              </w:r>
            </w:sdtContent>
          </w:sdt>
        </w:p>
        <w:p w14:paraId="52C9C27E" w14:textId="77777777" w:rsidR="00067DD9" w:rsidRPr="00F52FD1" w:rsidRDefault="00067DD9"/>
        <w:p w14:paraId="21372D4C" w14:textId="77777777" w:rsidR="00067DD9" w:rsidRPr="00F52FD1" w:rsidRDefault="00067DD9">
          <w:pPr>
            <w:spacing w:line="259" w:lineRule="auto"/>
          </w:pPr>
          <w:r w:rsidRPr="00F52FD1">
            <w:br w:type="page"/>
          </w:r>
        </w:p>
      </w:sdtContent>
    </w:sdt>
    <w:p w14:paraId="5CD18810" w14:textId="77777777" w:rsidR="00F83935" w:rsidRPr="00F52FD1" w:rsidRDefault="00F83935" w:rsidP="000D4547">
      <w:pPr>
        <w:pStyle w:val="NoSpacing"/>
        <w:rPr>
          <w:b/>
        </w:rPr>
      </w:pPr>
    </w:p>
    <w:bookmarkEnd w:id="1"/>
    <w:bookmarkEnd w:id="2"/>
    <w:bookmarkEnd w:id="3"/>
    <w:p w14:paraId="6D5DA447" w14:textId="77777777" w:rsidR="00FB5D3F" w:rsidRPr="00F52FD1" w:rsidRDefault="00FB5D3F" w:rsidP="00FB5D3F"/>
    <w:p w14:paraId="3C742929" w14:textId="77777777" w:rsidR="00FB5D3F" w:rsidRPr="00F52FD1" w:rsidRDefault="00FB5D3F" w:rsidP="00FB5D3F"/>
    <w:p w14:paraId="1239C09C" w14:textId="77777777" w:rsidR="00FB5D3F" w:rsidRPr="00F52FD1" w:rsidRDefault="00FB5D3F" w:rsidP="00FB5D3F"/>
    <w:p w14:paraId="4C9EED53" w14:textId="77777777" w:rsidR="00FB5D3F" w:rsidRPr="00F52FD1" w:rsidRDefault="00FB5D3F" w:rsidP="00FB5D3F"/>
    <w:p w14:paraId="08035C07" w14:textId="77777777" w:rsidR="00FB5D3F" w:rsidRPr="00F52FD1" w:rsidRDefault="00FB5D3F" w:rsidP="00AC3F76">
      <w:pPr>
        <w:rPr>
          <w:rFonts w:ascii="Tahoma" w:hAnsi="Tahoma" w:cs="Tahoma"/>
          <w:b/>
          <w:bCs/>
          <w:sz w:val="28"/>
          <w:szCs w:val="28"/>
        </w:rPr>
      </w:pPr>
      <w:r w:rsidRPr="00F52FD1">
        <w:rPr>
          <w:rFonts w:ascii="Tahoma" w:hAnsi="Tahoma" w:cs="Tahoma"/>
          <w:b/>
          <w:bCs/>
          <w:sz w:val="28"/>
          <w:szCs w:val="28"/>
        </w:rPr>
        <w:t>Acknowledgement</w:t>
      </w:r>
    </w:p>
    <w:p w14:paraId="03EE27FA" w14:textId="77777777" w:rsidR="00FB5D3F" w:rsidRPr="00F52FD1" w:rsidRDefault="00FB5D3F" w:rsidP="00FB5D3F">
      <w:r w:rsidRPr="00F52FD1">
        <w:t>We acknowledge the Traditional Owners of the lands and waterways on which we work and live.</w:t>
      </w:r>
    </w:p>
    <w:p w14:paraId="62805478" w14:textId="77777777" w:rsidR="00FB5D3F" w:rsidRPr="00F52FD1" w:rsidRDefault="00FB5D3F" w:rsidP="00FB5D3F">
      <w:r w:rsidRPr="00F52FD1">
        <w:t>We acknowledge all Aboriginal and Torres Strait Islander communities, and pay our respects to Elders past and present.</w:t>
      </w:r>
    </w:p>
    <w:p w14:paraId="703577B4" w14:textId="77777777" w:rsidR="00FB5D3F" w:rsidRPr="00F52FD1" w:rsidRDefault="00FB5D3F" w:rsidP="00FB5D3F">
      <w:r w:rsidRPr="00F52FD1">
        <w:t>As the First Peoples of this land, belonging to the world’s oldest living cultures, we recognise and value their knowledge, and ongoing role in shaping and enriching the story of Victoria.</w:t>
      </w:r>
    </w:p>
    <w:p w14:paraId="4E3E14BF" w14:textId="77777777" w:rsidR="00FB5D3F" w:rsidRPr="00F52FD1" w:rsidRDefault="00FB5D3F" w:rsidP="00FB5D3F">
      <w:pPr>
        <w:pStyle w:val="NoSpacing"/>
        <w:rPr>
          <w:b/>
        </w:rPr>
      </w:pPr>
    </w:p>
    <w:p w14:paraId="3EAED401" w14:textId="77777777" w:rsidR="00FB5D3F" w:rsidRPr="00F52FD1" w:rsidRDefault="00FB5D3F" w:rsidP="00FB5D3F">
      <w:pPr>
        <w:spacing w:line="259" w:lineRule="auto"/>
        <w:rPr>
          <w:rStyle w:val="Strong"/>
        </w:rPr>
      </w:pPr>
    </w:p>
    <w:p w14:paraId="5408046D" w14:textId="77777777" w:rsidR="00FB5D3F" w:rsidRPr="00F52FD1" w:rsidRDefault="00FB5D3F" w:rsidP="00FB5D3F">
      <w:pPr>
        <w:spacing w:line="259" w:lineRule="auto"/>
        <w:rPr>
          <w:rStyle w:val="Strong"/>
        </w:rPr>
      </w:pPr>
    </w:p>
    <w:p w14:paraId="529EB02C" w14:textId="77777777" w:rsidR="00FB5D3F" w:rsidRPr="00F52FD1" w:rsidRDefault="00FB5D3F" w:rsidP="00FB5D3F">
      <w:pPr>
        <w:spacing w:line="259" w:lineRule="auto"/>
        <w:rPr>
          <w:rStyle w:val="Strong"/>
        </w:rPr>
      </w:pPr>
    </w:p>
    <w:p w14:paraId="2CD97B60" w14:textId="77777777" w:rsidR="00FB5D3F" w:rsidRPr="00F52FD1" w:rsidRDefault="00FB5D3F" w:rsidP="00FB5D3F">
      <w:pPr>
        <w:spacing w:line="259" w:lineRule="auto"/>
        <w:rPr>
          <w:rStyle w:val="Strong"/>
          <w:b w:val="0"/>
          <w:bCs w:val="0"/>
        </w:rPr>
      </w:pPr>
      <w:r w:rsidRPr="00F52FD1">
        <w:rPr>
          <w:rStyle w:val="Strong"/>
        </w:rPr>
        <w:t>An appropriate citation for this paper is:</w:t>
      </w:r>
    </w:p>
    <w:p w14:paraId="2E5EE13A" w14:textId="7E3F7DA0" w:rsidR="00FB5D3F" w:rsidRDefault="00FB5D3F" w:rsidP="00FB5D3F">
      <w:r w:rsidRPr="00F52FD1">
        <w:t xml:space="preserve">Essential Services Commission </w:t>
      </w:r>
      <w:sdt>
        <w:sdtPr>
          <w:alias w:val="Year"/>
          <w:tag w:val="Year"/>
          <w:id w:val="-1184668763"/>
          <w:placeholder>
            <w:docPart w:val="239B74B6562C4E07B295F08C831DCD72"/>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506849" w:rsidRPr="00F52FD1">
            <w:t>2025</w:t>
          </w:r>
        </w:sdtContent>
      </w:sdt>
      <w:r w:rsidRPr="00F52FD1">
        <w:t xml:space="preserve">, </w:t>
      </w:r>
      <w:sdt>
        <w:sdtPr>
          <w:rPr>
            <w:i/>
          </w:rPr>
          <w:alias w:val="Title"/>
          <w:tag w:val=""/>
          <w:id w:val="1260560542"/>
          <w:placeholder>
            <w:docPart w:val="2044E0E441834FDF9B6C8875D788909F"/>
          </w:placeholder>
          <w:dataBinding w:prefixMappings="xmlns:ns0='http://purl.org/dc/elements/1.1/' xmlns:ns1='http://schemas.openxmlformats.org/package/2006/metadata/core-properties' " w:xpath="/ns1:coreProperties[1]/ns0:title[1]" w:storeItemID="{6C3C8BC8-F283-45AE-878A-BAB7291924A1}"/>
          <w:text/>
        </w:sdtPr>
        <w:sdtContent>
          <w:r w:rsidR="005E6B45" w:rsidRPr="00F52FD1">
            <w:rPr>
              <w:i/>
            </w:rPr>
            <w:t>Victorian Default Offer 2025–26</w:t>
          </w:r>
        </w:sdtContent>
      </w:sdt>
      <w:r w:rsidRPr="00F52FD1">
        <w:t xml:space="preserve">: </w:t>
      </w:r>
      <w:sdt>
        <w:sdtPr>
          <w:rPr>
            <w:i/>
          </w:rPr>
          <w:alias w:val="Subtitle"/>
          <w:tag w:val=""/>
          <w:id w:val="-295916621"/>
          <w:placeholder>
            <w:docPart w:val="B4436841E4824DCE81F3F32E50702F23"/>
          </w:placeholder>
          <w:dataBinding w:prefixMappings="xmlns:ns0='http://purl.org/dc/elements/1.1/' xmlns:ns1='http://schemas.openxmlformats.org/package/2006/metadata/core-properties' " w:xpath="/ns1:coreProperties[1]/ns0:description[1]" w:storeItemID="{6C3C8BC8-F283-45AE-878A-BAB7291924A1}"/>
          <w:text w:multiLine="1"/>
        </w:sdtPr>
        <w:sdtContent>
          <w:r w:rsidR="0078520E" w:rsidRPr="00F52FD1">
            <w:rPr>
              <w:i/>
            </w:rPr>
            <w:t>Final Decision Paper</w:t>
          </w:r>
        </w:sdtContent>
      </w:sdt>
      <w:r w:rsidRPr="00F52FD1">
        <w:t xml:space="preserve">, </w:t>
      </w:r>
      <w:sdt>
        <w:sdtPr>
          <w:alias w:val="Date"/>
          <w:tag w:val="Year"/>
          <w:id w:val="-733004738"/>
          <w:placeholder>
            <w:docPart w:val="43AD62741FC04518A6F7F09A5D83BC88"/>
          </w:placeholder>
          <w:date w:fullDate="2025-05-21T00:00:00Z">
            <w:dateFormat w:val="d MMMM "/>
            <w:lid w:val="en-US"/>
            <w:storeMappedDataAs w:val="dateTime"/>
            <w:calendar w:val="gregorian"/>
          </w:date>
        </w:sdtPr>
        <w:sdtContent>
          <w:r w:rsidR="0087219E" w:rsidRPr="00F52FD1">
            <w:rPr>
              <w:lang w:val="en-US"/>
            </w:rPr>
            <w:t>2</w:t>
          </w:r>
          <w:r w:rsidR="000C52F9">
            <w:rPr>
              <w:lang w:val="en-US"/>
            </w:rPr>
            <w:t>1</w:t>
          </w:r>
          <w:r w:rsidR="00506849" w:rsidRPr="00F52FD1">
            <w:rPr>
              <w:lang w:val="en-US"/>
            </w:rPr>
            <w:t xml:space="preserve"> </w:t>
          </w:r>
          <w:r w:rsidR="00690AE3" w:rsidRPr="00F52FD1">
            <w:rPr>
              <w:lang w:val="en-US"/>
            </w:rPr>
            <w:t>May</w:t>
          </w:r>
          <w:r w:rsidR="00506849" w:rsidRPr="00F52FD1">
            <w:rPr>
              <w:lang w:val="en-US"/>
            </w:rPr>
            <w:t xml:space="preserve"> </w:t>
          </w:r>
        </w:sdtContent>
      </w:sdt>
    </w:p>
    <w:p w14:paraId="08F32F43" w14:textId="77777777" w:rsidR="00FB5D3F" w:rsidRDefault="00FB5D3F" w:rsidP="00FB5D3F">
      <w:pPr>
        <w:rPr>
          <w:rStyle w:val="Strong"/>
        </w:rPr>
      </w:pPr>
      <w:bookmarkStart w:id="5" w:name="_Toc480988876"/>
      <w:bookmarkStart w:id="6" w:name="_Toc481138188"/>
      <w:bookmarkStart w:id="7" w:name="_Toc481138396"/>
    </w:p>
    <w:bookmarkEnd w:id="5"/>
    <w:bookmarkEnd w:id="6"/>
    <w:bookmarkEnd w:id="7"/>
    <w:p w14:paraId="7468D1DD" w14:textId="03E5C674" w:rsidR="00FB5D3F" w:rsidRDefault="00FB5D3F" w:rsidP="00FB5D3F">
      <w:r>
        <w:t xml:space="preserve">© Essential Services Commission, </w:t>
      </w:r>
      <w:sdt>
        <w:sdtPr>
          <w:alias w:val="Year"/>
          <w:tag w:val="Year"/>
          <w:id w:val="1606076632"/>
          <w:placeholder>
            <w:docPart w:val="7DB643A5C7E044B1886B1A3DCB9EC00C"/>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A026C3">
            <w:t>2025</w:t>
          </w:r>
        </w:sdtContent>
      </w:sdt>
    </w:p>
    <w:p w14:paraId="7447F1C9" w14:textId="77777777" w:rsidR="00FB5D3F" w:rsidRDefault="00FB5D3F" w:rsidP="00FB5D3F">
      <w:r w:rsidRPr="00F70F20">
        <w:rPr>
          <w:noProof/>
          <w:lang w:eastAsia="en-AU"/>
        </w:rPr>
        <w:drawing>
          <wp:inline distT="0" distB="0" distL="0" distR="0" wp14:anchorId="43E9EDAD" wp14:editId="004FDF77">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t xml:space="preserve"> </w:t>
      </w:r>
    </w:p>
    <w:p w14:paraId="07139872" w14:textId="5DDD0130" w:rsidR="00FB5D3F" w:rsidRDefault="00FB5D3F" w:rsidP="00FB5D3F">
      <w:r>
        <w:t xml:space="preserve">This work, </w:t>
      </w:r>
      <w:sdt>
        <w:sdtPr>
          <w:alias w:val="Title"/>
          <w:tag w:val=""/>
          <w:id w:val="1731569904"/>
          <w:placeholder>
            <w:docPart w:val="1F1A6C0E6F95497387A5DF62E9103AF8"/>
          </w:placeholder>
          <w:dataBinding w:prefixMappings="xmlns:ns0='http://purl.org/dc/elements/1.1/' xmlns:ns1='http://schemas.openxmlformats.org/package/2006/metadata/core-properties' " w:xpath="/ns1:coreProperties[1]/ns0:title[1]" w:storeItemID="{6C3C8BC8-F283-45AE-878A-BAB7291924A1}"/>
          <w:text/>
        </w:sdtPr>
        <w:sdtContent>
          <w:r w:rsidR="005E6B45">
            <w:t>Victorian Default Offer 2025–26</w:t>
          </w:r>
        </w:sdtContent>
      </w:sdt>
      <w:r>
        <w:t>, is licensed under a Creative Commons Attribution 4.0 licence [creativecommons.org/licenses/by/4.0]. You are free to re-use the work under that licence, on the condition that you credit the Essential Services Commission as author, indicate if changes were made and comply with the other licence terms.</w:t>
      </w:r>
    </w:p>
    <w:p w14:paraId="15CBFA99" w14:textId="77777777" w:rsidR="00FB5D3F" w:rsidRDefault="00FB5D3F" w:rsidP="00FB5D3F">
      <w:r>
        <w:t>The licence does not apply to any brand logo, images or photographs within the publication.</w:t>
      </w:r>
    </w:p>
    <w:p w14:paraId="4D59875D" w14:textId="77777777" w:rsidR="00717CCA" w:rsidRDefault="00717CCA" w:rsidP="00881E07"/>
    <w:bookmarkEnd w:id="4" w:displacedByCustomXml="next"/>
    <w:sdt>
      <w:sdtPr>
        <w:id w:val="1641840776"/>
        <w:lock w:val="sdtContentLocked"/>
        <w:placeholder>
          <w:docPart w:val="89546CF0731A43EEA0DAC878284F1376"/>
        </w:placeholder>
        <w:showingPlcHdr/>
        <w:text/>
      </w:sdtPr>
      <w:sdtContent>
        <w:p w14:paraId="7EAAD512" w14:textId="77777777" w:rsidR="004309BF" w:rsidRDefault="004309BF" w:rsidP="004309BF">
          <w:r>
            <w:t xml:space="preserve">  </w:t>
          </w:r>
        </w:p>
      </w:sdtContent>
    </w:sdt>
    <w:p w14:paraId="7ABD0F05" w14:textId="77777777" w:rsidR="008F7087" w:rsidRDefault="008F7087" w:rsidP="00710792">
      <w:pPr>
        <w:pStyle w:val="Heading1"/>
        <w:sectPr w:rsidR="008F7087" w:rsidSect="0094542E">
          <w:headerReference w:type="even" r:id="rId16"/>
          <w:headerReference w:type="default" r:id="rId17"/>
          <w:footerReference w:type="default" r:id="rId18"/>
          <w:headerReference w:type="first" r:id="rId19"/>
          <w:type w:val="continuous"/>
          <w:pgSz w:w="11906" w:h="16838" w:code="9"/>
          <w:pgMar w:top="1134" w:right="1134" w:bottom="1134" w:left="1134" w:header="709" w:footer="692" w:gutter="0"/>
          <w:cols w:space="708"/>
          <w:docGrid w:linePitch="360"/>
        </w:sectPr>
      </w:pPr>
      <w:bookmarkStart w:id="8" w:name="_Toc481138189"/>
      <w:bookmarkStart w:id="9" w:name="_Toc481138397"/>
    </w:p>
    <w:bookmarkEnd w:id="8"/>
    <w:bookmarkEnd w:id="9"/>
    <w:p w14:paraId="4DCC236C" w14:textId="2D7D7211" w:rsidR="00D3670C" w:rsidRPr="00755FBF" w:rsidRDefault="00D3670C" w:rsidP="00755FBF">
      <w:pPr>
        <w:pStyle w:val="TOCHeading"/>
        <w:rPr>
          <w:rStyle w:val="Hyperlink"/>
          <w:color w:val="D50032" w:themeColor="accent6"/>
          <w:u w:val="none"/>
        </w:rPr>
      </w:pPr>
      <w:r w:rsidRPr="00755FBF">
        <w:rPr>
          <w:rStyle w:val="Hyperlink"/>
          <w:color w:val="D50032" w:themeColor="accent6"/>
          <w:u w:val="none"/>
        </w:rPr>
        <w:lastRenderedPageBreak/>
        <w:t>Contents</w:t>
      </w:r>
    </w:p>
    <w:p w14:paraId="464E8417" w14:textId="0E0E0C3E" w:rsidR="002D689D" w:rsidRDefault="007F2DA4">
      <w:pPr>
        <w:pStyle w:val="TOC1"/>
        <w:rPr>
          <w:rFonts w:eastAsiaTheme="minorEastAsia"/>
          <w:b w:val="0"/>
          <w:noProof/>
          <w:kern w:val="2"/>
          <w:sz w:val="24"/>
          <w:szCs w:val="24"/>
          <w:lang w:eastAsia="zh-CN"/>
          <w14:ligatures w14:val="standardContextual"/>
        </w:rPr>
      </w:pPr>
      <w:r>
        <w:rPr>
          <w:b w:val="0"/>
          <w:noProof/>
        </w:rPr>
        <w:fldChar w:fldCharType="begin"/>
      </w:r>
      <w:r>
        <w:rPr>
          <w:b w:val="0"/>
          <w:noProof/>
        </w:rPr>
        <w:instrText xml:space="preserve"> TOC \o "1-2" \h \z \u </w:instrText>
      </w:r>
      <w:r>
        <w:rPr>
          <w:b w:val="0"/>
          <w:noProof/>
        </w:rPr>
        <w:fldChar w:fldCharType="separate"/>
      </w:r>
      <w:hyperlink w:anchor="_Toc198808314" w:history="1">
        <w:r w:rsidR="002D689D" w:rsidRPr="006248D3">
          <w:rPr>
            <w:rStyle w:val="Hyperlink"/>
            <w:noProof/>
          </w:rPr>
          <w:t>We considered all submissions received</w:t>
        </w:r>
        <w:r w:rsidR="002D689D">
          <w:rPr>
            <w:noProof/>
            <w:webHidden/>
          </w:rPr>
          <w:tab/>
        </w:r>
        <w:r w:rsidR="002D689D">
          <w:rPr>
            <w:noProof/>
            <w:webHidden/>
          </w:rPr>
          <w:fldChar w:fldCharType="begin"/>
        </w:r>
        <w:r w:rsidR="002D689D">
          <w:rPr>
            <w:noProof/>
            <w:webHidden/>
          </w:rPr>
          <w:instrText xml:space="preserve"> PAGEREF _Toc198808314 \h </w:instrText>
        </w:r>
        <w:r w:rsidR="002D689D">
          <w:rPr>
            <w:noProof/>
            <w:webHidden/>
          </w:rPr>
        </w:r>
        <w:r w:rsidR="002D689D">
          <w:rPr>
            <w:noProof/>
            <w:webHidden/>
          </w:rPr>
          <w:fldChar w:fldCharType="separate"/>
        </w:r>
        <w:r w:rsidR="003E1323">
          <w:rPr>
            <w:noProof/>
            <w:webHidden/>
          </w:rPr>
          <w:t>4</w:t>
        </w:r>
        <w:r w:rsidR="002D689D">
          <w:rPr>
            <w:noProof/>
            <w:webHidden/>
          </w:rPr>
          <w:fldChar w:fldCharType="end"/>
        </w:r>
      </w:hyperlink>
    </w:p>
    <w:p w14:paraId="4D2E4344" w14:textId="7840C66B" w:rsidR="002D689D" w:rsidRDefault="002D689D">
      <w:pPr>
        <w:pStyle w:val="TOC1"/>
        <w:rPr>
          <w:rFonts w:eastAsiaTheme="minorEastAsia"/>
          <w:b w:val="0"/>
          <w:noProof/>
          <w:kern w:val="2"/>
          <w:sz w:val="24"/>
          <w:szCs w:val="24"/>
          <w:lang w:eastAsia="zh-CN"/>
          <w14:ligatures w14:val="standardContextual"/>
        </w:rPr>
      </w:pPr>
      <w:hyperlink w:anchor="_Toc198808315" w:history="1">
        <w:r w:rsidRPr="006248D3">
          <w:rPr>
            <w:rStyle w:val="Hyperlink"/>
            <w:noProof/>
          </w:rPr>
          <w:t>Summary</w:t>
        </w:r>
        <w:r>
          <w:rPr>
            <w:noProof/>
            <w:webHidden/>
          </w:rPr>
          <w:tab/>
        </w:r>
        <w:r>
          <w:rPr>
            <w:noProof/>
            <w:webHidden/>
          </w:rPr>
          <w:fldChar w:fldCharType="begin"/>
        </w:r>
        <w:r>
          <w:rPr>
            <w:noProof/>
            <w:webHidden/>
          </w:rPr>
          <w:instrText xml:space="preserve"> PAGEREF _Toc198808315 \h </w:instrText>
        </w:r>
        <w:r>
          <w:rPr>
            <w:noProof/>
            <w:webHidden/>
          </w:rPr>
        </w:r>
        <w:r>
          <w:rPr>
            <w:noProof/>
            <w:webHidden/>
          </w:rPr>
          <w:fldChar w:fldCharType="separate"/>
        </w:r>
        <w:r w:rsidR="003E1323">
          <w:rPr>
            <w:noProof/>
            <w:webHidden/>
          </w:rPr>
          <w:t>5</w:t>
        </w:r>
        <w:r>
          <w:rPr>
            <w:noProof/>
            <w:webHidden/>
          </w:rPr>
          <w:fldChar w:fldCharType="end"/>
        </w:r>
      </w:hyperlink>
    </w:p>
    <w:p w14:paraId="02D76A8A" w14:textId="3A8E2A90" w:rsidR="002D689D" w:rsidRDefault="002D689D">
      <w:pPr>
        <w:pStyle w:val="TOC2"/>
        <w:rPr>
          <w:rFonts w:eastAsiaTheme="minorEastAsia"/>
          <w:kern w:val="2"/>
          <w:sz w:val="24"/>
          <w:szCs w:val="24"/>
          <w:lang w:eastAsia="zh-CN"/>
          <w14:ligatures w14:val="standardContextual"/>
        </w:rPr>
      </w:pPr>
      <w:hyperlink w:anchor="_Toc198808316" w:history="1">
        <w:r w:rsidRPr="006248D3">
          <w:rPr>
            <w:rStyle w:val="Hyperlink"/>
          </w:rPr>
          <w:t>The Victorian Default Offer provides a safeguard for customers</w:t>
        </w:r>
        <w:r>
          <w:rPr>
            <w:webHidden/>
          </w:rPr>
          <w:tab/>
        </w:r>
        <w:r>
          <w:rPr>
            <w:webHidden/>
          </w:rPr>
          <w:fldChar w:fldCharType="begin"/>
        </w:r>
        <w:r>
          <w:rPr>
            <w:webHidden/>
          </w:rPr>
          <w:instrText xml:space="preserve"> PAGEREF _Toc198808316 \h </w:instrText>
        </w:r>
        <w:r>
          <w:rPr>
            <w:webHidden/>
          </w:rPr>
        </w:r>
        <w:r>
          <w:rPr>
            <w:webHidden/>
          </w:rPr>
          <w:fldChar w:fldCharType="separate"/>
        </w:r>
        <w:r w:rsidR="003E1323">
          <w:rPr>
            <w:webHidden/>
          </w:rPr>
          <w:t>6</w:t>
        </w:r>
        <w:r>
          <w:rPr>
            <w:webHidden/>
          </w:rPr>
          <w:fldChar w:fldCharType="end"/>
        </w:r>
      </w:hyperlink>
    </w:p>
    <w:p w14:paraId="1D1ED3A7" w14:textId="58FC6928" w:rsidR="002D689D" w:rsidRDefault="002D689D">
      <w:pPr>
        <w:pStyle w:val="TOC2"/>
        <w:rPr>
          <w:rFonts w:eastAsiaTheme="minorEastAsia"/>
          <w:kern w:val="2"/>
          <w:sz w:val="24"/>
          <w:szCs w:val="24"/>
          <w:lang w:eastAsia="zh-CN"/>
          <w14:ligatures w14:val="standardContextual"/>
        </w:rPr>
      </w:pPr>
      <w:hyperlink w:anchor="_Toc198808317" w:history="1">
        <w:r w:rsidRPr="006248D3">
          <w:rPr>
            <w:rStyle w:val="Hyperlink"/>
          </w:rPr>
          <w:t>The Victorian Default Offer is based on efficient retailer costs</w:t>
        </w:r>
        <w:r>
          <w:rPr>
            <w:webHidden/>
          </w:rPr>
          <w:tab/>
        </w:r>
        <w:r>
          <w:rPr>
            <w:webHidden/>
          </w:rPr>
          <w:fldChar w:fldCharType="begin"/>
        </w:r>
        <w:r>
          <w:rPr>
            <w:webHidden/>
          </w:rPr>
          <w:instrText xml:space="preserve"> PAGEREF _Toc198808317 \h </w:instrText>
        </w:r>
        <w:r>
          <w:rPr>
            <w:webHidden/>
          </w:rPr>
        </w:r>
        <w:r>
          <w:rPr>
            <w:webHidden/>
          </w:rPr>
          <w:fldChar w:fldCharType="separate"/>
        </w:r>
        <w:r w:rsidR="003E1323">
          <w:rPr>
            <w:webHidden/>
          </w:rPr>
          <w:t>7</w:t>
        </w:r>
        <w:r>
          <w:rPr>
            <w:webHidden/>
          </w:rPr>
          <w:fldChar w:fldCharType="end"/>
        </w:r>
      </w:hyperlink>
    </w:p>
    <w:p w14:paraId="42AA64E5" w14:textId="4C7A6E64" w:rsidR="002D689D" w:rsidRDefault="002D689D">
      <w:pPr>
        <w:pStyle w:val="TOC2"/>
        <w:rPr>
          <w:rFonts w:eastAsiaTheme="minorEastAsia"/>
          <w:kern w:val="2"/>
          <w:sz w:val="24"/>
          <w:szCs w:val="24"/>
          <w:lang w:eastAsia="zh-CN"/>
          <w14:ligatures w14:val="standardContextual"/>
        </w:rPr>
      </w:pPr>
      <w:hyperlink w:anchor="_Toc198808318" w:history="1">
        <w:r w:rsidRPr="006248D3">
          <w:rPr>
            <w:rStyle w:val="Hyperlink"/>
          </w:rPr>
          <w:t>The Victorian Default Offer acts as a comparison price</w:t>
        </w:r>
        <w:r>
          <w:rPr>
            <w:webHidden/>
          </w:rPr>
          <w:tab/>
        </w:r>
        <w:r>
          <w:rPr>
            <w:webHidden/>
          </w:rPr>
          <w:fldChar w:fldCharType="begin"/>
        </w:r>
        <w:r>
          <w:rPr>
            <w:webHidden/>
          </w:rPr>
          <w:instrText xml:space="preserve"> PAGEREF _Toc198808318 \h </w:instrText>
        </w:r>
        <w:r>
          <w:rPr>
            <w:webHidden/>
          </w:rPr>
        </w:r>
        <w:r>
          <w:rPr>
            <w:webHidden/>
          </w:rPr>
          <w:fldChar w:fldCharType="separate"/>
        </w:r>
        <w:r w:rsidR="003E1323">
          <w:rPr>
            <w:webHidden/>
          </w:rPr>
          <w:t>8</w:t>
        </w:r>
        <w:r>
          <w:rPr>
            <w:webHidden/>
          </w:rPr>
          <w:fldChar w:fldCharType="end"/>
        </w:r>
      </w:hyperlink>
    </w:p>
    <w:p w14:paraId="1DED6AA7" w14:textId="1578B43F" w:rsidR="002D689D" w:rsidRDefault="002D689D">
      <w:pPr>
        <w:pStyle w:val="TOC2"/>
        <w:rPr>
          <w:rFonts w:eastAsiaTheme="minorEastAsia"/>
          <w:kern w:val="2"/>
          <w:sz w:val="24"/>
          <w:szCs w:val="24"/>
          <w:lang w:eastAsia="zh-CN"/>
          <w14:ligatures w14:val="standardContextual"/>
        </w:rPr>
      </w:pPr>
      <w:hyperlink w:anchor="_Toc198808319" w:history="1">
        <w:r w:rsidRPr="006248D3">
          <w:rPr>
            <w:rStyle w:val="Hyperlink"/>
          </w:rPr>
          <w:t>We must determine Victorian Default Offer prices in May each year</w:t>
        </w:r>
        <w:r>
          <w:rPr>
            <w:webHidden/>
          </w:rPr>
          <w:tab/>
        </w:r>
        <w:r>
          <w:rPr>
            <w:webHidden/>
          </w:rPr>
          <w:fldChar w:fldCharType="begin"/>
        </w:r>
        <w:r>
          <w:rPr>
            <w:webHidden/>
          </w:rPr>
          <w:instrText xml:space="preserve"> PAGEREF _Toc198808319 \h </w:instrText>
        </w:r>
        <w:r>
          <w:rPr>
            <w:webHidden/>
          </w:rPr>
        </w:r>
        <w:r>
          <w:rPr>
            <w:webHidden/>
          </w:rPr>
          <w:fldChar w:fldCharType="separate"/>
        </w:r>
        <w:r w:rsidR="003E1323">
          <w:rPr>
            <w:webHidden/>
          </w:rPr>
          <w:t>8</w:t>
        </w:r>
        <w:r>
          <w:rPr>
            <w:webHidden/>
          </w:rPr>
          <w:fldChar w:fldCharType="end"/>
        </w:r>
      </w:hyperlink>
    </w:p>
    <w:p w14:paraId="38214AC1" w14:textId="02660F99" w:rsidR="002D689D" w:rsidRDefault="002D689D">
      <w:pPr>
        <w:pStyle w:val="TOC2"/>
        <w:rPr>
          <w:rFonts w:eastAsiaTheme="minorEastAsia"/>
          <w:kern w:val="2"/>
          <w:sz w:val="24"/>
          <w:szCs w:val="24"/>
          <w:lang w:eastAsia="zh-CN"/>
          <w14:ligatures w14:val="standardContextual"/>
        </w:rPr>
      </w:pPr>
      <w:hyperlink w:anchor="_Toc198808320" w:history="1">
        <w:r w:rsidRPr="006248D3">
          <w:rPr>
            <w:rStyle w:val="Hyperlink"/>
          </w:rPr>
          <w:t>Drivers of the 2025–26 Victorian Default Offer price changes</w:t>
        </w:r>
        <w:r>
          <w:rPr>
            <w:webHidden/>
          </w:rPr>
          <w:tab/>
        </w:r>
        <w:r>
          <w:rPr>
            <w:webHidden/>
          </w:rPr>
          <w:fldChar w:fldCharType="begin"/>
        </w:r>
        <w:r>
          <w:rPr>
            <w:webHidden/>
          </w:rPr>
          <w:instrText xml:space="preserve"> PAGEREF _Toc198808320 \h </w:instrText>
        </w:r>
        <w:r>
          <w:rPr>
            <w:webHidden/>
          </w:rPr>
        </w:r>
        <w:r>
          <w:rPr>
            <w:webHidden/>
          </w:rPr>
          <w:fldChar w:fldCharType="separate"/>
        </w:r>
        <w:r w:rsidR="003E1323">
          <w:rPr>
            <w:webHidden/>
          </w:rPr>
          <w:t>8</w:t>
        </w:r>
        <w:r>
          <w:rPr>
            <w:webHidden/>
          </w:rPr>
          <w:fldChar w:fldCharType="end"/>
        </w:r>
      </w:hyperlink>
    </w:p>
    <w:p w14:paraId="703DAFE4" w14:textId="2A4135F9" w:rsidR="002D689D" w:rsidRDefault="002D689D">
      <w:pPr>
        <w:pStyle w:val="TOC2"/>
        <w:rPr>
          <w:rFonts w:eastAsiaTheme="minorEastAsia"/>
          <w:kern w:val="2"/>
          <w:sz w:val="24"/>
          <w:szCs w:val="24"/>
          <w:lang w:eastAsia="zh-CN"/>
          <w14:ligatures w14:val="standardContextual"/>
        </w:rPr>
      </w:pPr>
      <w:hyperlink w:anchor="_Toc198808321" w:history="1">
        <w:r w:rsidRPr="006248D3">
          <w:rPr>
            <w:rStyle w:val="Hyperlink"/>
          </w:rPr>
          <w:t>Average annual bills for Victorian Default Offer customers will be slightly higher in 2025–</w:t>
        </w:r>
        <w:r w:rsidRPr="006248D3">
          <w:rPr>
            <w:rStyle w:val="Hyperlink"/>
            <w:rFonts w:hint="cs"/>
          </w:rPr>
          <w:t>‍</w:t>
        </w:r>
        <w:r w:rsidRPr="006248D3">
          <w:rPr>
            <w:rStyle w:val="Hyperlink"/>
          </w:rPr>
          <w:t>26 compared to 2024–25</w:t>
        </w:r>
        <w:r>
          <w:rPr>
            <w:webHidden/>
          </w:rPr>
          <w:tab/>
        </w:r>
        <w:r>
          <w:rPr>
            <w:webHidden/>
          </w:rPr>
          <w:fldChar w:fldCharType="begin"/>
        </w:r>
        <w:r>
          <w:rPr>
            <w:webHidden/>
          </w:rPr>
          <w:instrText xml:space="preserve"> PAGEREF _Toc198808321 \h </w:instrText>
        </w:r>
        <w:r>
          <w:rPr>
            <w:webHidden/>
          </w:rPr>
        </w:r>
        <w:r>
          <w:rPr>
            <w:webHidden/>
          </w:rPr>
          <w:fldChar w:fldCharType="separate"/>
        </w:r>
        <w:r w:rsidR="003E1323">
          <w:rPr>
            <w:webHidden/>
          </w:rPr>
          <w:t>10</w:t>
        </w:r>
        <w:r>
          <w:rPr>
            <w:webHidden/>
          </w:rPr>
          <w:fldChar w:fldCharType="end"/>
        </w:r>
      </w:hyperlink>
    </w:p>
    <w:p w14:paraId="0991BF9C" w14:textId="4A263CB0" w:rsidR="002D689D" w:rsidRDefault="002D689D">
      <w:pPr>
        <w:pStyle w:val="TOC2"/>
        <w:rPr>
          <w:rFonts w:eastAsiaTheme="minorEastAsia"/>
          <w:kern w:val="2"/>
          <w:sz w:val="24"/>
          <w:szCs w:val="24"/>
          <w:lang w:eastAsia="zh-CN"/>
          <w14:ligatures w14:val="standardContextual"/>
        </w:rPr>
      </w:pPr>
      <w:hyperlink w:anchor="_Toc198808322" w:history="1">
        <w:r w:rsidRPr="006248D3">
          <w:rPr>
            <w:rStyle w:val="Hyperlink"/>
          </w:rPr>
          <w:t>We have considered all submissions on our draft decision in making this final decision</w:t>
        </w:r>
        <w:r>
          <w:rPr>
            <w:webHidden/>
          </w:rPr>
          <w:tab/>
        </w:r>
        <w:r>
          <w:rPr>
            <w:webHidden/>
          </w:rPr>
          <w:fldChar w:fldCharType="begin"/>
        </w:r>
        <w:r>
          <w:rPr>
            <w:webHidden/>
          </w:rPr>
          <w:instrText xml:space="preserve"> PAGEREF _Toc198808322 \h </w:instrText>
        </w:r>
        <w:r>
          <w:rPr>
            <w:webHidden/>
          </w:rPr>
        </w:r>
        <w:r>
          <w:rPr>
            <w:webHidden/>
          </w:rPr>
          <w:fldChar w:fldCharType="separate"/>
        </w:r>
        <w:r w:rsidR="003E1323">
          <w:rPr>
            <w:webHidden/>
          </w:rPr>
          <w:t>14</w:t>
        </w:r>
        <w:r>
          <w:rPr>
            <w:webHidden/>
          </w:rPr>
          <w:fldChar w:fldCharType="end"/>
        </w:r>
      </w:hyperlink>
    </w:p>
    <w:p w14:paraId="377067DD" w14:textId="010656E9" w:rsidR="002D689D" w:rsidRDefault="002D689D">
      <w:pPr>
        <w:pStyle w:val="TOC2"/>
        <w:rPr>
          <w:rFonts w:eastAsiaTheme="minorEastAsia"/>
          <w:kern w:val="2"/>
          <w:sz w:val="24"/>
          <w:szCs w:val="24"/>
          <w:lang w:eastAsia="zh-CN"/>
          <w14:ligatures w14:val="standardContextual"/>
        </w:rPr>
      </w:pPr>
      <w:hyperlink w:anchor="_Toc198808323" w:history="1">
        <w:r w:rsidRPr="006248D3">
          <w:rPr>
            <w:rStyle w:val="Hyperlink"/>
          </w:rPr>
          <w:t>Updated cost inputs have been used in our final decision</w:t>
        </w:r>
        <w:r>
          <w:rPr>
            <w:webHidden/>
          </w:rPr>
          <w:tab/>
        </w:r>
        <w:r>
          <w:rPr>
            <w:webHidden/>
          </w:rPr>
          <w:fldChar w:fldCharType="begin"/>
        </w:r>
        <w:r>
          <w:rPr>
            <w:webHidden/>
          </w:rPr>
          <w:instrText xml:space="preserve"> PAGEREF _Toc198808323 \h </w:instrText>
        </w:r>
        <w:r>
          <w:rPr>
            <w:webHidden/>
          </w:rPr>
        </w:r>
        <w:r>
          <w:rPr>
            <w:webHidden/>
          </w:rPr>
          <w:fldChar w:fldCharType="separate"/>
        </w:r>
        <w:r w:rsidR="003E1323">
          <w:rPr>
            <w:webHidden/>
          </w:rPr>
          <w:t>15</w:t>
        </w:r>
        <w:r>
          <w:rPr>
            <w:webHidden/>
          </w:rPr>
          <w:fldChar w:fldCharType="end"/>
        </w:r>
      </w:hyperlink>
    </w:p>
    <w:p w14:paraId="6E4D58DB" w14:textId="2FFC1D73" w:rsidR="002D689D" w:rsidRDefault="002D689D">
      <w:pPr>
        <w:pStyle w:val="TOC2"/>
        <w:rPr>
          <w:rFonts w:eastAsiaTheme="minorEastAsia"/>
          <w:kern w:val="2"/>
          <w:sz w:val="24"/>
          <w:szCs w:val="24"/>
          <w:lang w:eastAsia="zh-CN"/>
          <w14:ligatures w14:val="standardContextual"/>
        </w:rPr>
      </w:pPr>
      <w:hyperlink w:anchor="_Toc198808324" w:history="1">
        <w:r w:rsidRPr="006248D3">
          <w:rPr>
            <w:rStyle w:val="Hyperlink"/>
          </w:rPr>
          <w:t>Proposing new rules to help reduce energy bills in Victoria</w:t>
        </w:r>
        <w:r>
          <w:rPr>
            <w:webHidden/>
          </w:rPr>
          <w:tab/>
        </w:r>
        <w:r>
          <w:rPr>
            <w:webHidden/>
          </w:rPr>
          <w:fldChar w:fldCharType="begin"/>
        </w:r>
        <w:r>
          <w:rPr>
            <w:webHidden/>
          </w:rPr>
          <w:instrText xml:space="preserve"> PAGEREF _Toc198808324 \h </w:instrText>
        </w:r>
        <w:r>
          <w:rPr>
            <w:webHidden/>
          </w:rPr>
        </w:r>
        <w:r>
          <w:rPr>
            <w:webHidden/>
          </w:rPr>
          <w:fldChar w:fldCharType="separate"/>
        </w:r>
        <w:r w:rsidR="003E1323">
          <w:rPr>
            <w:webHidden/>
          </w:rPr>
          <w:t>15</w:t>
        </w:r>
        <w:r>
          <w:rPr>
            <w:webHidden/>
          </w:rPr>
          <w:fldChar w:fldCharType="end"/>
        </w:r>
      </w:hyperlink>
    </w:p>
    <w:p w14:paraId="2856C604" w14:textId="59981297" w:rsidR="002D689D" w:rsidRDefault="002D689D">
      <w:pPr>
        <w:pStyle w:val="TOC2"/>
        <w:rPr>
          <w:rFonts w:eastAsiaTheme="minorEastAsia"/>
          <w:kern w:val="2"/>
          <w:sz w:val="24"/>
          <w:szCs w:val="24"/>
          <w:lang w:eastAsia="zh-CN"/>
          <w14:ligatures w14:val="standardContextual"/>
        </w:rPr>
      </w:pPr>
      <w:hyperlink w:anchor="_Toc198808325" w:history="1">
        <w:r w:rsidRPr="006248D3">
          <w:rPr>
            <w:rStyle w:val="Hyperlink"/>
          </w:rPr>
          <w:t>We will continue to uphold other protections for customers</w:t>
        </w:r>
        <w:r>
          <w:rPr>
            <w:webHidden/>
          </w:rPr>
          <w:tab/>
        </w:r>
        <w:r>
          <w:rPr>
            <w:webHidden/>
          </w:rPr>
          <w:fldChar w:fldCharType="begin"/>
        </w:r>
        <w:r>
          <w:rPr>
            <w:webHidden/>
          </w:rPr>
          <w:instrText xml:space="preserve"> PAGEREF _Toc198808325 \h </w:instrText>
        </w:r>
        <w:r>
          <w:rPr>
            <w:webHidden/>
          </w:rPr>
        </w:r>
        <w:r>
          <w:rPr>
            <w:webHidden/>
          </w:rPr>
          <w:fldChar w:fldCharType="separate"/>
        </w:r>
        <w:r w:rsidR="003E1323">
          <w:rPr>
            <w:webHidden/>
          </w:rPr>
          <w:t>16</w:t>
        </w:r>
        <w:r>
          <w:rPr>
            <w:webHidden/>
          </w:rPr>
          <w:fldChar w:fldCharType="end"/>
        </w:r>
      </w:hyperlink>
    </w:p>
    <w:p w14:paraId="23F7560E" w14:textId="4B773D0E" w:rsidR="002D689D" w:rsidRDefault="002D689D">
      <w:pPr>
        <w:pStyle w:val="TOC1"/>
        <w:rPr>
          <w:rFonts w:eastAsiaTheme="minorEastAsia"/>
          <w:b w:val="0"/>
          <w:noProof/>
          <w:kern w:val="2"/>
          <w:sz w:val="24"/>
          <w:szCs w:val="24"/>
          <w:lang w:eastAsia="zh-CN"/>
          <w14:ligatures w14:val="standardContextual"/>
        </w:rPr>
      </w:pPr>
      <w:hyperlink w:anchor="_Toc198808326" w:history="1">
        <w:r w:rsidRPr="006248D3">
          <w:rPr>
            <w:rStyle w:val="Hyperlink"/>
            <w:noProof/>
          </w:rPr>
          <w:t>Victorian Default Offer cost components</w:t>
        </w:r>
        <w:r>
          <w:rPr>
            <w:noProof/>
            <w:webHidden/>
          </w:rPr>
          <w:tab/>
        </w:r>
        <w:r>
          <w:rPr>
            <w:noProof/>
            <w:webHidden/>
          </w:rPr>
          <w:fldChar w:fldCharType="begin"/>
        </w:r>
        <w:r>
          <w:rPr>
            <w:noProof/>
            <w:webHidden/>
          </w:rPr>
          <w:instrText xml:space="preserve"> PAGEREF _Toc198808326 \h </w:instrText>
        </w:r>
        <w:r>
          <w:rPr>
            <w:noProof/>
            <w:webHidden/>
          </w:rPr>
        </w:r>
        <w:r>
          <w:rPr>
            <w:noProof/>
            <w:webHidden/>
          </w:rPr>
          <w:fldChar w:fldCharType="separate"/>
        </w:r>
        <w:r w:rsidR="003E1323">
          <w:rPr>
            <w:noProof/>
            <w:webHidden/>
          </w:rPr>
          <w:t>18</w:t>
        </w:r>
        <w:r>
          <w:rPr>
            <w:noProof/>
            <w:webHidden/>
          </w:rPr>
          <w:fldChar w:fldCharType="end"/>
        </w:r>
      </w:hyperlink>
    </w:p>
    <w:p w14:paraId="62AD1F51" w14:textId="71A5769D" w:rsidR="002D689D" w:rsidRDefault="002D689D">
      <w:pPr>
        <w:pStyle w:val="TOC2"/>
        <w:rPr>
          <w:rFonts w:eastAsiaTheme="minorEastAsia"/>
          <w:kern w:val="2"/>
          <w:sz w:val="24"/>
          <w:szCs w:val="24"/>
          <w:lang w:eastAsia="zh-CN"/>
          <w14:ligatures w14:val="standardContextual"/>
        </w:rPr>
      </w:pPr>
      <w:hyperlink w:anchor="_Toc198808327" w:history="1">
        <w:r w:rsidRPr="006248D3">
          <w:rPr>
            <w:rStyle w:val="Hyperlink"/>
          </w:rPr>
          <w:t>Network costs</w:t>
        </w:r>
        <w:r>
          <w:rPr>
            <w:webHidden/>
          </w:rPr>
          <w:tab/>
        </w:r>
        <w:r>
          <w:rPr>
            <w:webHidden/>
          </w:rPr>
          <w:fldChar w:fldCharType="begin"/>
        </w:r>
        <w:r>
          <w:rPr>
            <w:webHidden/>
          </w:rPr>
          <w:instrText xml:space="preserve"> PAGEREF _Toc198808327 \h </w:instrText>
        </w:r>
        <w:r>
          <w:rPr>
            <w:webHidden/>
          </w:rPr>
        </w:r>
        <w:r>
          <w:rPr>
            <w:webHidden/>
          </w:rPr>
          <w:fldChar w:fldCharType="separate"/>
        </w:r>
        <w:r w:rsidR="003E1323">
          <w:rPr>
            <w:webHidden/>
          </w:rPr>
          <w:t>19</w:t>
        </w:r>
        <w:r>
          <w:rPr>
            <w:webHidden/>
          </w:rPr>
          <w:fldChar w:fldCharType="end"/>
        </w:r>
      </w:hyperlink>
    </w:p>
    <w:p w14:paraId="2697442A" w14:textId="4F58B352" w:rsidR="002D689D" w:rsidRDefault="002D689D">
      <w:pPr>
        <w:pStyle w:val="TOC2"/>
        <w:rPr>
          <w:rFonts w:eastAsiaTheme="minorEastAsia"/>
          <w:kern w:val="2"/>
          <w:sz w:val="24"/>
          <w:szCs w:val="24"/>
          <w:lang w:eastAsia="zh-CN"/>
          <w14:ligatures w14:val="standardContextual"/>
        </w:rPr>
      </w:pPr>
      <w:hyperlink w:anchor="_Toc198808328" w:history="1">
        <w:r w:rsidRPr="006248D3">
          <w:rPr>
            <w:rStyle w:val="Hyperlink"/>
          </w:rPr>
          <w:t>Wholesale electricity costs</w:t>
        </w:r>
        <w:r>
          <w:rPr>
            <w:webHidden/>
          </w:rPr>
          <w:tab/>
        </w:r>
        <w:r>
          <w:rPr>
            <w:webHidden/>
          </w:rPr>
          <w:fldChar w:fldCharType="begin"/>
        </w:r>
        <w:r>
          <w:rPr>
            <w:webHidden/>
          </w:rPr>
          <w:instrText xml:space="preserve"> PAGEREF _Toc198808328 \h </w:instrText>
        </w:r>
        <w:r>
          <w:rPr>
            <w:webHidden/>
          </w:rPr>
        </w:r>
        <w:r>
          <w:rPr>
            <w:webHidden/>
          </w:rPr>
          <w:fldChar w:fldCharType="separate"/>
        </w:r>
        <w:r w:rsidR="003E1323">
          <w:rPr>
            <w:webHidden/>
          </w:rPr>
          <w:t>22</w:t>
        </w:r>
        <w:r>
          <w:rPr>
            <w:webHidden/>
          </w:rPr>
          <w:fldChar w:fldCharType="end"/>
        </w:r>
      </w:hyperlink>
    </w:p>
    <w:p w14:paraId="141EBBA7" w14:textId="070D1417" w:rsidR="002D689D" w:rsidRDefault="002D689D">
      <w:pPr>
        <w:pStyle w:val="TOC2"/>
        <w:rPr>
          <w:rFonts w:eastAsiaTheme="minorEastAsia"/>
          <w:kern w:val="2"/>
          <w:sz w:val="24"/>
          <w:szCs w:val="24"/>
          <w:lang w:eastAsia="zh-CN"/>
          <w14:ligatures w14:val="standardContextual"/>
        </w:rPr>
      </w:pPr>
      <w:hyperlink w:anchor="_Toc198808329" w:history="1">
        <w:r w:rsidRPr="006248D3">
          <w:rPr>
            <w:rStyle w:val="Hyperlink"/>
          </w:rPr>
          <w:t>Environmental costs</w:t>
        </w:r>
        <w:r>
          <w:rPr>
            <w:webHidden/>
          </w:rPr>
          <w:tab/>
        </w:r>
        <w:r>
          <w:rPr>
            <w:webHidden/>
          </w:rPr>
          <w:fldChar w:fldCharType="begin"/>
        </w:r>
        <w:r>
          <w:rPr>
            <w:webHidden/>
          </w:rPr>
          <w:instrText xml:space="preserve"> PAGEREF _Toc198808329 \h </w:instrText>
        </w:r>
        <w:r>
          <w:rPr>
            <w:webHidden/>
          </w:rPr>
        </w:r>
        <w:r>
          <w:rPr>
            <w:webHidden/>
          </w:rPr>
          <w:fldChar w:fldCharType="separate"/>
        </w:r>
        <w:r w:rsidR="003E1323">
          <w:rPr>
            <w:webHidden/>
          </w:rPr>
          <w:t>34</w:t>
        </w:r>
        <w:r>
          <w:rPr>
            <w:webHidden/>
          </w:rPr>
          <w:fldChar w:fldCharType="end"/>
        </w:r>
      </w:hyperlink>
    </w:p>
    <w:p w14:paraId="7A11B893" w14:textId="74908B07" w:rsidR="002D689D" w:rsidRDefault="002D689D">
      <w:pPr>
        <w:pStyle w:val="TOC2"/>
        <w:rPr>
          <w:rFonts w:eastAsiaTheme="minorEastAsia"/>
          <w:kern w:val="2"/>
          <w:sz w:val="24"/>
          <w:szCs w:val="24"/>
          <w:lang w:eastAsia="zh-CN"/>
          <w14:ligatures w14:val="standardContextual"/>
        </w:rPr>
      </w:pPr>
      <w:hyperlink w:anchor="_Toc198808330" w:history="1">
        <w:r w:rsidRPr="006248D3">
          <w:rPr>
            <w:rStyle w:val="Hyperlink"/>
          </w:rPr>
          <w:t>Retail operating costs</w:t>
        </w:r>
        <w:r>
          <w:rPr>
            <w:webHidden/>
          </w:rPr>
          <w:tab/>
        </w:r>
        <w:r>
          <w:rPr>
            <w:webHidden/>
          </w:rPr>
          <w:fldChar w:fldCharType="begin"/>
        </w:r>
        <w:r>
          <w:rPr>
            <w:webHidden/>
          </w:rPr>
          <w:instrText xml:space="preserve"> PAGEREF _Toc198808330 \h </w:instrText>
        </w:r>
        <w:r>
          <w:rPr>
            <w:webHidden/>
          </w:rPr>
        </w:r>
        <w:r>
          <w:rPr>
            <w:webHidden/>
          </w:rPr>
          <w:fldChar w:fldCharType="separate"/>
        </w:r>
        <w:r w:rsidR="003E1323">
          <w:rPr>
            <w:webHidden/>
          </w:rPr>
          <w:t>40</w:t>
        </w:r>
        <w:r>
          <w:rPr>
            <w:webHidden/>
          </w:rPr>
          <w:fldChar w:fldCharType="end"/>
        </w:r>
      </w:hyperlink>
    </w:p>
    <w:p w14:paraId="14E2E77A" w14:textId="756478ED" w:rsidR="002D689D" w:rsidRDefault="002D689D">
      <w:pPr>
        <w:pStyle w:val="TOC2"/>
        <w:rPr>
          <w:rFonts w:eastAsiaTheme="minorEastAsia"/>
          <w:kern w:val="2"/>
          <w:sz w:val="24"/>
          <w:szCs w:val="24"/>
          <w:lang w:eastAsia="zh-CN"/>
          <w14:ligatures w14:val="standardContextual"/>
        </w:rPr>
      </w:pPr>
      <w:hyperlink w:anchor="_Toc198808331" w:history="1">
        <w:r w:rsidRPr="006248D3">
          <w:rPr>
            <w:rStyle w:val="Hyperlink"/>
          </w:rPr>
          <w:t>Modest customer acquisition and retention costs</w:t>
        </w:r>
        <w:r>
          <w:rPr>
            <w:webHidden/>
          </w:rPr>
          <w:tab/>
        </w:r>
        <w:r>
          <w:rPr>
            <w:webHidden/>
          </w:rPr>
          <w:fldChar w:fldCharType="begin"/>
        </w:r>
        <w:r>
          <w:rPr>
            <w:webHidden/>
          </w:rPr>
          <w:instrText xml:space="preserve"> PAGEREF _Toc198808331 \h </w:instrText>
        </w:r>
        <w:r>
          <w:rPr>
            <w:webHidden/>
          </w:rPr>
        </w:r>
        <w:r>
          <w:rPr>
            <w:webHidden/>
          </w:rPr>
          <w:fldChar w:fldCharType="separate"/>
        </w:r>
        <w:r w:rsidR="003E1323">
          <w:rPr>
            <w:webHidden/>
          </w:rPr>
          <w:t>47</w:t>
        </w:r>
        <w:r>
          <w:rPr>
            <w:webHidden/>
          </w:rPr>
          <w:fldChar w:fldCharType="end"/>
        </w:r>
      </w:hyperlink>
    </w:p>
    <w:p w14:paraId="5FD6E166" w14:textId="0CC54A96" w:rsidR="002D689D" w:rsidRDefault="002D689D">
      <w:pPr>
        <w:pStyle w:val="TOC2"/>
        <w:rPr>
          <w:rFonts w:eastAsiaTheme="minorEastAsia"/>
          <w:kern w:val="2"/>
          <w:sz w:val="24"/>
          <w:szCs w:val="24"/>
          <w:lang w:eastAsia="zh-CN"/>
          <w14:ligatures w14:val="standardContextual"/>
        </w:rPr>
      </w:pPr>
      <w:hyperlink w:anchor="_Toc198808332" w:history="1">
        <w:r w:rsidRPr="006248D3">
          <w:rPr>
            <w:rStyle w:val="Hyperlink"/>
          </w:rPr>
          <w:t>Other costs</w:t>
        </w:r>
        <w:r>
          <w:rPr>
            <w:webHidden/>
          </w:rPr>
          <w:tab/>
        </w:r>
        <w:r>
          <w:rPr>
            <w:webHidden/>
          </w:rPr>
          <w:fldChar w:fldCharType="begin"/>
        </w:r>
        <w:r>
          <w:rPr>
            <w:webHidden/>
          </w:rPr>
          <w:instrText xml:space="preserve"> PAGEREF _Toc198808332 \h </w:instrText>
        </w:r>
        <w:r>
          <w:rPr>
            <w:webHidden/>
          </w:rPr>
        </w:r>
        <w:r>
          <w:rPr>
            <w:webHidden/>
          </w:rPr>
          <w:fldChar w:fldCharType="separate"/>
        </w:r>
        <w:r w:rsidR="003E1323">
          <w:rPr>
            <w:webHidden/>
          </w:rPr>
          <w:t>50</w:t>
        </w:r>
        <w:r>
          <w:rPr>
            <w:webHidden/>
          </w:rPr>
          <w:fldChar w:fldCharType="end"/>
        </w:r>
      </w:hyperlink>
    </w:p>
    <w:p w14:paraId="5191FB18" w14:textId="159D7E58" w:rsidR="002D689D" w:rsidRDefault="002D689D">
      <w:pPr>
        <w:pStyle w:val="TOC2"/>
        <w:rPr>
          <w:rFonts w:eastAsiaTheme="minorEastAsia"/>
          <w:kern w:val="2"/>
          <w:sz w:val="24"/>
          <w:szCs w:val="24"/>
          <w:lang w:eastAsia="zh-CN"/>
          <w14:ligatures w14:val="standardContextual"/>
        </w:rPr>
      </w:pPr>
      <w:hyperlink w:anchor="_Toc198808333" w:history="1">
        <w:r w:rsidRPr="006248D3">
          <w:rPr>
            <w:rStyle w:val="Hyperlink"/>
          </w:rPr>
          <w:t>Network loss factor</w:t>
        </w:r>
        <w:r>
          <w:rPr>
            <w:webHidden/>
          </w:rPr>
          <w:tab/>
        </w:r>
        <w:r>
          <w:rPr>
            <w:webHidden/>
          </w:rPr>
          <w:fldChar w:fldCharType="begin"/>
        </w:r>
        <w:r>
          <w:rPr>
            <w:webHidden/>
          </w:rPr>
          <w:instrText xml:space="preserve"> PAGEREF _Toc198808333 \h </w:instrText>
        </w:r>
        <w:r>
          <w:rPr>
            <w:webHidden/>
          </w:rPr>
        </w:r>
        <w:r>
          <w:rPr>
            <w:webHidden/>
          </w:rPr>
          <w:fldChar w:fldCharType="separate"/>
        </w:r>
        <w:r w:rsidR="003E1323">
          <w:rPr>
            <w:webHidden/>
          </w:rPr>
          <w:t>54</w:t>
        </w:r>
        <w:r>
          <w:rPr>
            <w:webHidden/>
          </w:rPr>
          <w:fldChar w:fldCharType="end"/>
        </w:r>
      </w:hyperlink>
    </w:p>
    <w:p w14:paraId="685A96EA" w14:textId="0DE21533" w:rsidR="002D689D" w:rsidRDefault="002D689D">
      <w:pPr>
        <w:pStyle w:val="TOC2"/>
        <w:rPr>
          <w:rFonts w:eastAsiaTheme="minorEastAsia"/>
          <w:kern w:val="2"/>
          <w:sz w:val="24"/>
          <w:szCs w:val="24"/>
          <w:lang w:eastAsia="zh-CN"/>
          <w14:ligatures w14:val="standardContextual"/>
        </w:rPr>
      </w:pPr>
      <w:hyperlink w:anchor="_Toc198808334" w:history="1">
        <w:r w:rsidRPr="006248D3">
          <w:rPr>
            <w:rStyle w:val="Hyperlink"/>
          </w:rPr>
          <w:t>Retail operating margin</w:t>
        </w:r>
        <w:r>
          <w:rPr>
            <w:webHidden/>
          </w:rPr>
          <w:tab/>
        </w:r>
        <w:r>
          <w:rPr>
            <w:webHidden/>
          </w:rPr>
          <w:fldChar w:fldCharType="begin"/>
        </w:r>
        <w:r>
          <w:rPr>
            <w:webHidden/>
          </w:rPr>
          <w:instrText xml:space="preserve"> PAGEREF _Toc198808334 \h </w:instrText>
        </w:r>
        <w:r>
          <w:rPr>
            <w:webHidden/>
          </w:rPr>
        </w:r>
        <w:r>
          <w:rPr>
            <w:webHidden/>
          </w:rPr>
          <w:fldChar w:fldCharType="separate"/>
        </w:r>
        <w:r w:rsidR="003E1323">
          <w:rPr>
            <w:webHidden/>
          </w:rPr>
          <w:t>55</w:t>
        </w:r>
        <w:r>
          <w:rPr>
            <w:webHidden/>
          </w:rPr>
          <w:fldChar w:fldCharType="end"/>
        </w:r>
      </w:hyperlink>
    </w:p>
    <w:p w14:paraId="765C8EFB" w14:textId="715F0EB7" w:rsidR="002D689D" w:rsidRDefault="002D689D">
      <w:pPr>
        <w:pStyle w:val="TOC1"/>
        <w:rPr>
          <w:rFonts w:eastAsiaTheme="minorEastAsia"/>
          <w:b w:val="0"/>
          <w:noProof/>
          <w:kern w:val="2"/>
          <w:sz w:val="24"/>
          <w:szCs w:val="24"/>
          <w:lang w:eastAsia="zh-CN"/>
          <w14:ligatures w14:val="standardContextual"/>
        </w:rPr>
      </w:pPr>
      <w:hyperlink w:anchor="_Toc198808335" w:history="1">
        <w:r w:rsidRPr="006248D3">
          <w:rPr>
            <w:rStyle w:val="Hyperlink"/>
            <w:noProof/>
          </w:rPr>
          <w:t>Calculating tariffs and the maximum annual bill</w:t>
        </w:r>
        <w:r>
          <w:rPr>
            <w:noProof/>
            <w:webHidden/>
          </w:rPr>
          <w:tab/>
        </w:r>
        <w:r>
          <w:rPr>
            <w:noProof/>
            <w:webHidden/>
          </w:rPr>
          <w:fldChar w:fldCharType="begin"/>
        </w:r>
        <w:r>
          <w:rPr>
            <w:noProof/>
            <w:webHidden/>
          </w:rPr>
          <w:instrText xml:space="preserve"> PAGEREF _Toc198808335 \h </w:instrText>
        </w:r>
        <w:r>
          <w:rPr>
            <w:noProof/>
            <w:webHidden/>
          </w:rPr>
        </w:r>
        <w:r>
          <w:rPr>
            <w:noProof/>
            <w:webHidden/>
          </w:rPr>
          <w:fldChar w:fldCharType="separate"/>
        </w:r>
        <w:r w:rsidR="003E1323">
          <w:rPr>
            <w:noProof/>
            <w:webHidden/>
          </w:rPr>
          <w:t>65</w:t>
        </w:r>
        <w:r>
          <w:rPr>
            <w:noProof/>
            <w:webHidden/>
          </w:rPr>
          <w:fldChar w:fldCharType="end"/>
        </w:r>
      </w:hyperlink>
    </w:p>
    <w:p w14:paraId="57E63CAD" w14:textId="184CCDFD" w:rsidR="002D689D" w:rsidRDefault="002D689D">
      <w:pPr>
        <w:pStyle w:val="TOC2"/>
        <w:rPr>
          <w:rFonts w:eastAsiaTheme="minorEastAsia"/>
          <w:kern w:val="2"/>
          <w:sz w:val="24"/>
          <w:szCs w:val="24"/>
          <w:lang w:eastAsia="zh-CN"/>
          <w14:ligatures w14:val="standardContextual"/>
        </w:rPr>
      </w:pPr>
      <w:hyperlink w:anchor="_Toc198808336" w:history="1">
        <w:r w:rsidRPr="006248D3">
          <w:rPr>
            <w:rStyle w:val="Hyperlink"/>
          </w:rPr>
          <w:t>Flat tariffs</w:t>
        </w:r>
        <w:r>
          <w:rPr>
            <w:webHidden/>
          </w:rPr>
          <w:tab/>
        </w:r>
        <w:r>
          <w:rPr>
            <w:webHidden/>
          </w:rPr>
          <w:fldChar w:fldCharType="begin"/>
        </w:r>
        <w:r>
          <w:rPr>
            <w:webHidden/>
          </w:rPr>
          <w:instrText xml:space="preserve"> PAGEREF _Toc198808336 \h </w:instrText>
        </w:r>
        <w:r>
          <w:rPr>
            <w:webHidden/>
          </w:rPr>
        </w:r>
        <w:r>
          <w:rPr>
            <w:webHidden/>
          </w:rPr>
          <w:fldChar w:fldCharType="separate"/>
        </w:r>
        <w:r w:rsidR="003E1323">
          <w:rPr>
            <w:webHidden/>
          </w:rPr>
          <w:t>65</w:t>
        </w:r>
        <w:r>
          <w:rPr>
            <w:webHidden/>
          </w:rPr>
          <w:fldChar w:fldCharType="end"/>
        </w:r>
      </w:hyperlink>
    </w:p>
    <w:p w14:paraId="36B29EAD" w14:textId="3972D126" w:rsidR="002D689D" w:rsidRDefault="002D689D">
      <w:pPr>
        <w:pStyle w:val="TOC2"/>
        <w:rPr>
          <w:rFonts w:eastAsiaTheme="minorEastAsia"/>
          <w:kern w:val="2"/>
          <w:sz w:val="24"/>
          <w:szCs w:val="24"/>
          <w:lang w:eastAsia="zh-CN"/>
          <w14:ligatures w14:val="standardContextual"/>
        </w:rPr>
      </w:pPr>
      <w:hyperlink w:anchor="_Toc198808337" w:history="1">
        <w:r w:rsidRPr="006248D3">
          <w:rPr>
            <w:rStyle w:val="Hyperlink"/>
          </w:rPr>
          <w:t>Two-period time of use tariffs</w:t>
        </w:r>
        <w:r>
          <w:rPr>
            <w:webHidden/>
          </w:rPr>
          <w:tab/>
        </w:r>
        <w:r>
          <w:rPr>
            <w:webHidden/>
          </w:rPr>
          <w:fldChar w:fldCharType="begin"/>
        </w:r>
        <w:r>
          <w:rPr>
            <w:webHidden/>
          </w:rPr>
          <w:instrText xml:space="preserve"> PAGEREF _Toc198808337 \h </w:instrText>
        </w:r>
        <w:r>
          <w:rPr>
            <w:webHidden/>
          </w:rPr>
        </w:r>
        <w:r>
          <w:rPr>
            <w:webHidden/>
          </w:rPr>
          <w:fldChar w:fldCharType="separate"/>
        </w:r>
        <w:r w:rsidR="003E1323">
          <w:rPr>
            <w:webHidden/>
          </w:rPr>
          <w:t>66</w:t>
        </w:r>
        <w:r>
          <w:rPr>
            <w:webHidden/>
          </w:rPr>
          <w:fldChar w:fldCharType="end"/>
        </w:r>
      </w:hyperlink>
    </w:p>
    <w:p w14:paraId="7D7E26EA" w14:textId="7D5F217C" w:rsidR="002D689D" w:rsidRDefault="002D689D">
      <w:pPr>
        <w:pStyle w:val="TOC2"/>
        <w:rPr>
          <w:rFonts w:eastAsiaTheme="minorEastAsia"/>
          <w:kern w:val="2"/>
          <w:sz w:val="24"/>
          <w:szCs w:val="24"/>
          <w:lang w:eastAsia="zh-CN"/>
          <w14:ligatures w14:val="standardContextual"/>
        </w:rPr>
      </w:pPr>
      <w:hyperlink w:anchor="_Toc198808338" w:history="1">
        <w:r w:rsidRPr="006248D3">
          <w:rPr>
            <w:rStyle w:val="Hyperlink"/>
          </w:rPr>
          <w:t>Compliant maximum annual bill</w:t>
        </w:r>
        <w:r>
          <w:rPr>
            <w:webHidden/>
          </w:rPr>
          <w:tab/>
        </w:r>
        <w:r>
          <w:rPr>
            <w:webHidden/>
          </w:rPr>
          <w:fldChar w:fldCharType="begin"/>
        </w:r>
        <w:r>
          <w:rPr>
            <w:webHidden/>
          </w:rPr>
          <w:instrText xml:space="preserve"> PAGEREF _Toc198808338 \h </w:instrText>
        </w:r>
        <w:r>
          <w:rPr>
            <w:webHidden/>
          </w:rPr>
        </w:r>
        <w:r>
          <w:rPr>
            <w:webHidden/>
          </w:rPr>
          <w:fldChar w:fldCharType="separate"/>
        </w:r>
        <w:r w:rsidR="003E1323">
          <w:rPr>
            <w:webHidden/>
          </w:rPr>
          <w:t>66</w:t>
        </w:r>
        <w:r>
          <w:rPr>
            <w:webHidden/>
          </w:rPr>
          <w:fldChar w:fldCharType="end"/>
        </w:r>
      </w:hyperlink>
    </w:p>
    <w:p w14:paraId="6BA7D791" w14:textId="6E992022" w:rsidR="002D689D" w:rsidRDefault="002D689D">
      <w:pPr>
        <w:pStyle w:val="TOC1"/>
        <w:rPr>
          <w:rFonts w:eastAsiaTheme="minorEastAsia"/>
          <w:b w:val="0"/>
          <w:noProof/>
          <w:kern w:val="2"/>
          <w:sz w:val="24"/>
          <w:szCs w:val="24"/>
          <w:lang w:eastAsia="zh-CN"/>
          <w14:ligatures w14:val="standardContextual"/>
        </w:rPr>
      </w:pPr>
      <w:hyperlink w:anchor="_Toc198808339" w:history="1">
        <w:r w:rsidRPr="006248D3">
          <w:rPr>
            <w:rStyle w:val="Hyperlink"/>
            <w:noProof/>
          </w:rPr>
          <w:t>Appendix A: Calculating the cost stack</w:t>
        </w:r>
        <w:r>
          <w:rPr>
            <w:noProof/>
            <w:webHidden/>
          </w:rPr>
          <w:tab/>
        </w:r>
        <w:r>
          <w:rPr>
            <w:noProof/>
            <w:webHidden/>
          </w:rPr>
          <w:fldChar w:fldCharType="begin"/>
        </w:r>
        <w:r>
          <w:rPr>
            <w:noProof/>
            <w:webHidden/>
          </w:rPr>
          <w:instrText xml:space="preserve"> PAGEREF _Toc198808339 \h </w:instrText>
        </w:r>
        <w:r>
          <w:rPr>
            <w:noProof/>
            <w:webHidden/>
          </w:rPr>
        </w:r>
        <w:r>
          <w:rPr>
            <w:noProof/>
            <w:webHidden/>
          </w:rPr>
          <w:fldChar w:fldCharType="separate"/>
        </w:r>
        <w:r w:rsidR="003E1323">
          <w:rPr>
            <w:noProof/>
            <w:webHidden/>
          </w:rPr>
          <w:t>69</w:t>
        </w:r>
        <w:r>
          <w:rPr>
            <w:noProof/>
            <w:webHidden/>
          </w:rPr>
          <w:fldChar w:fldCharType="end"/>
        </w:r>
      </w:hyperlink>
    </w:p>
    <w:p w14:paraId="2105B98F" w14:textId="5E87464D" w:rsidR="002D689D" w:rsidRDefault="002D689D">
      <w:pPr>
        <w:pStyle w:val="TOC2"/>
        <w:rPr>
          <w:rFonts w:eastAsiaTheme="minorEastAsia"/>
          <w:kern w:val="2"/>
          <w:sz w:val="24"/>
          <w:szCs w:val="24"/>
          <w:lang w:eastAsia="zh-CN"/>
          <w14:ligatures w14:val="standardContextual"/>
        </w:rPr>
      </w:pPr>
      <w:hyperlink w:anchor="_Toc198808340" w:history="1">
        <w:r w:rsidRPr="006248D3">
          <w:rPr>
            <w:rStyle w:val="Hyperlink"/>
          </w:rPr>
          <w:t>Wholesale electricity costs</w:t>
        </w:r>
        <w:r>
          <w:rPr>
            <w:webHidden/>
          </w:rPr>
          <w:tab/>
        </w:r>
        <w:r>
          <w:rPr>
            <w:webHidden/>
          </w:rPr>
          <w:fldChar w:fldCharType="begin"/>
        </w:r>
        <w:r>
          <w:rPr>
            <w:webHidden/>
          </w:rPr>
          <w:instrText xml:space="preserve"> PAGEREF _Toc198808340 \h </w:instrText>
        </w:r>
        <w:r>
          <w:rPr>
            <w:webHidden/>
          </w:rPr>
        </w:r>
        <w:r>
          <w:rPr>
            <w:webHidden/>
          </w:rPr>
          <w:fldChar w:fldCharType="separate"/>
        </w:r>
        <w:r w:rsidR="003E1323">
          <w:rPr>
            <w:webHidden/>
          </w:rPr>
          <w:t>69</w:t>
        </w:r>
        <w:r>
          <w:rPr>
            <w:webHidden/>
          </w:rPr>
          <w:fldChar w:fldCharType="end"/>
        </w:r>
      </w:hyperlink>
    </w:p>
    <w:p w14:paraId="73AC5B5E" w14:textId="64447739" w:rsidR="002D689D" w:rsidRDefault="002D689D">
      <w:pPr>
        <w:pStyle w:val="TOC2"/>
        <w:rPr>
          <w:rFonts w:eastAsiaTheme="minorEastAsia"/>
          <w:kern w:val="2"/>
          <w:sz w:val="24"/>
          <w:szCs w:val="24"/>
          <w:lang w:eastAsia="zh-CN"/>
          <w14:ligatures w14:val="standardContextual"/>
        </w:rPr>
      </w:pPr>
      <w:hyperlink w:anchor="_Toc198808341" w:history="1">
        <w:r w:rsidRPr="006248D3">
          <w:rPr>
            <w:rStyle w:val="Hyperlink"/>
          </w:rPr>
          <w:t>Network loss adjustment factor</w:t>
        </w:r>
        <w:r>
          <w:rPr>
            <w:webHidden/>
          </w:rPr>
          <w:tab/>
        </w:r>
        <w:r>
          <w:rPr>
            <w:webHidden/>
          </w:rPr>
          <w:fldChar w:fldCharType="begin"/>
        </w:r>
        <w:r>
          <w:rPr>
            <w:webHidden/>
          </w:rPr>
          <w:instrText xml:space="preserve"> PAGEREF _Toc198808341 \h </w:instrText>
        </w:r>
        <w:r>
          <w:rPr>
            <w:webHidden/>
          </w:rPr>
        </w:r>
        <w:r>
          <w:rPr>
            <w:webHidden/>
          </w:rPr>
          <w:fldChar w:fldCharType="separate"/>
        </w:r>
        <w:r w:rsidR="003E1323">
          <w:rPr>
            <w:webHidden/>
          </w:rPr>
          <w:t>70</w:t>
        </w:r>
        <w:r>
          <w:rPr>
            <w:webHidden/>
          </w:rPr>
          <w:fldChar w:fldCharType="end"/>
        </w:r>
      </w:hyperlink>
    </w:p>
    <w:p w14:paraId="363A1CBC" w14:textId="2E7DE278" w:rsidR="002D689D" w:rsidRDefault="002D689D">
      <w:pPr>
        <w:pStyle w:val="TOC2"/>
        <w:rPr>
          <w:rFonts w:eastAsiaTheme="minorEastAsia"/>
          <w:kern w:val="2"/>
          <w:sz w:val="24"/>
          <w:szCs w:val="24"/>
          <w:lang w:eastAsia="zh-CN"/>
          <w14:ligatures w14:val="standardContextual"/>
        </w:rPr>
      </w:pPr>
      <w:hyperlink w:anchor="_Toc198808342" w:history="1">
        <w:r w:rsidRPr="006248D3">
          <w:rPr>
            <w:rStyle w:val="Hyperlink"/>
          </w:rPr>
          <w:t>Network tariffs (flat tariff)</w:t>
        </w:r>
        <w:r>
          <w:rPr>
            <w:webHidden/>
          </w:rPr>
          <w:tab/>
        </w:r>
        <w:r>
          <w:rPr>
            <w:webHidden/>
          </w:rPr>
          <w:fldChar w:fldCharType="begin"/>
        </w:r>
        <w:r>
          <w:rPr>
            <w:webHidden/>
          </w:rPr>
          <w:instrText xml:space="preserve"> PAGEREF _Toc198808342 \h </w:instrText>
        </w:r>
        <w:r>
          <w:rPr>
            <w:webHidden/>
          </w:rPr>
        </w:r>
        <w:r>
          <w:rPr>
            <w:webHidden/>
          </w:rPr>
          <w:fldChar w:fldCharType="separate"/>
        </w:r>
        <w:r w:rsidR="003E1323">
          <w:rPr>
            <w:webHidden/>
          </w:rPr>
          <w:t>71</w:t>
        </w:r>
        <w:r>
          <w:rPr>
            <w:webHidden/>
          </w:rPr>
          <w:fldChar w:fldCharType="end"/>
        </w:r>
      </w:hyperlink>
    </w:p>
    <w:p w14:paraId="6E6D2E3D" w14:textId="186B5DD1" w:rsidR="002D689D" w:rsidRDefault="002D689D">
      <w:pPr>
        <w:pStyle w:val="TOC2"/>
        <w:rPr>
          <w:rFonts w:eastAsiaTheme="minorEastAsia"/>
          <w:kern w:val="2"/>
          <w:sz w:val="24"/>
          <w:szCs w:val="24"/>
          <w:lang w:eastAsia="zh-CN"/>
          <w14:ligatures w14:val="standardContextual"/>
        </w:rPr>
      </w:pPr>
      <w:hyperlink w:anchor="_Toc198808343" w:history="1">
        <w:r w:rsidRPr="006248D3">
          <w:rPr>
            <w:rStyle w:val="Hyperlink"/>
          </w:rPr>
          <w:t>Network tariffs (two-period time of use)</w:t>
        </w:r>
        <w:r>
          <w:rPr>
            <w:webHidden/>
          </w:rPr>
          <w:tab/>
        </w:r>
        <w:r>
          <w:rPr>
            <w:webHidden/>
          </w:rPr>
          <w:fldChar w:fldCharType="begin"/>
        </w:r>
        <w:r>
          <w:rPr>
            <w:webHidden/>
          </w:rPr>
          <w:instrText xml:space="preserve"> PAGEREF _Toc198808343 \h </w:instrText>
        </w:r>
        <w:r>
          <w:rPr>
            <w:webHidden/>
          </w:rPr>
        </w:r>
        <w:r>
          <w:rPr>
            <w:webHidden/>
          </w:rPr>
          <w:fldChar w:fldCharType="separate"/>
        </w:r>
        <w:r w:rsidR="003E1323">
          <w:rPr>
            <w:webHidden/>
          </w:rPr>
          <w:t>72</w:t>
        </w:r>
        <w:r>
          <w:rPr>
            <w:webHidden/>
          </w:rPr>
          <w:fldChar w:fldCharType="end"/>
        </w:r>
      </w:hyperlink>
    </w:p>
    <w:p w14:paraId="6D93C11C" w14:textId="57E0DF2A" w:rsidR="002D689D" w:rsidRDefault="002D689D">
      <w:pPr>
        <w:pStyle w:val="TOC2"/>
        <w:rPr>
          <w:rFonts w:eastAsiaTheme="minorEastAsia"/>
          <w:kern w:val="2"/>
          <w:sz w:val="24"/>
          <w:szCs w:val="24"/>
          <w:lang w:eastAsia="zh-CN"/>
          <w14:ligatures w14:val="standardContextual"/>
        </w:rPr>
      </w:pPr>
      <w:hyperlink w:anchor="_Toc198808344" w:history="1">
        <w:r w:rsidRPr="006248D3">
          <w:rPr>
            <w:rStyle w:val="Hyperlink"/>
          </w:rPr>
          <w:t>Network metering charges</w:t>
        </w:r>
        <w:r>
          <w:rPr>
            <w:webHidden/>
          </w:rPr>
          <w:tab/>
        </w:r>
        <w:r>
          <w:rPr>
            <w:webHidden/>
          </w:rPr>
          <w:fldChar w:fldCharType="begin"/>
        </w:r>
        <w:r>
          <w:rPr>
            <w:webHidden/>
          </w:rPr>
          <w:instrText xml:space="preserve"> PAGEREF _Toc198808344 \h </w:instrText>
        </w:r>
        <w:r>
          <w:rPr>
            <w:webHidden/>
          </w:rPr>
        </w:r>
        <w:r>
          <w:rPr>
            <w:webHidden/>
          </w:rPr>
          <w:fldChar w:fldCharType="separate"/>
        </w:r>
        <w:r w:rsidR="003E1323">
          <w:rPr>
            <w:webHidden/>
          </w:rPr>
          <w:t>73</w:t>
        </w:r>
        <w:r>
          <w:rPr>
            <w:webHidden/>
          </w:rPr>
          <w:fldChar w:fldCharType="end"/>
        </w:r>
      </w:hyperlink>
    </w:p>
    <w:p w14:paraId="58643F30" w14:textId="2E5EB120" w:rsidR="002D689D" w:rsidRDefault="002D689D">
      <w:pPr>
        <w:pStyle w:val="TOC2"/>
        <w:rPr>
          <w:rFonts w:eastAsiaTheme="minorEastAsia"/>
          <w:kern w:val="2"/>
          <w:sz w:val="24"/>
          <w:szCs w:val="24"/>
          <w:lang w:eastAsia="zh-CN"/>
          <w14:ligatures w14:val="standardContextual"/>
        </w:rPr>
      </w:pPr>
      <w:hyperlink w:anchor="_Toc198808345" w:history="1">
        <w:r w:rsidRPr="006248D3">
          <w:rPr>
            <w:rStyle w:val="Hyperlink"/>
          </w:rPr>
          <w:t>Environmental costs</w:t>
        </w:r>
        <w:r>
          <w:rPr>
            <w:webHidden/>
          </w:rPr>
          <w:tab/>
        </w:r>
        <w:r>
          <w:rPr>
            <w:webHidden/>
          </w:rPr>
          <w:fldChar w:fldCharType="begin"/>
        </w:r>
        <w:r>
          <w:rPr>
            <w:webHidden/>
          </w:rPr>
          <w:instrText xml:space="preserve"> PAGEREF _Toc198808345 \h </w:instrText>
        </w:r>
        <w:r>
          <w:rPr>
            <w:webHidden/>
          </w:rPr>
        </w:r>
        <w:r>
          <w:rPr>
            <w:webHidden/>
          </w:rPr>
          <w:fldChar w:fldCharType="separate"/>
        </w:r>
        <w:r w:rsidR="003E1323">
          <w:rPr>
            <w:webHidden/>
          </w:rPr>
          <w:t>73</w:t>
        </w:r>
        <w:r>
          <w:rPr>
            <w:webHidden/>
          </w:rPr>
          <w:fldChar w:fldCharType="end"/>
        </w:r>
      </w:hyperlink>
    </w:p>
    <w:p w14:paraId="18D9038F" w14:textId="6D09080D" w:rsidR="002D689D" w:rsidRDefault="002D689D">
      <w:pPr>
        <w:pStyle w:val="TOC2"/>
        <w:rPr>
          <w:rFonts w:eastAsiaTheme="minorEastAsia"/>
          <w:kern w:val="2"/>
          <w:sz w:val="24"/>
          <w:szCs w:val="24"/>
          <w:lang w:eastAsia="zh-CN"/>
          <w14:ligatures w14:val="standardContextual"/>
        </w:rPr>
      </w:pPr>
      <w:hyperlink w:anchor="_Toc198808346" w:history="1">
        <w:r w:rsidRPr="006248D3">
          <w:rPr>
            <w:rStyle w:val="Hyperlink"/>
          </w:rPr>
          <w:t>Retail operating costs and margin</w:t>
        </w:r>
        <w:r>
          <w:rPr>
            <w:webHidden/>
          </w:rPr>
          <w:tab/>
        </w:r>
        <w:r>
          <w:rPr>
            <w:webHidden/>
          </w:rPr>
          <w:fldChar w:fldCharType="begin"/>
        </w:r>
        <w:r>
          <w:rPr>
            <w:webHidden/>
          </w:rPr>
          <w:instrText xml:space="preserve"> PAGEREF _Toc198808346 \h </w:instrText>
        </w:r>
        <w:r>
          <w:rPr>
            <w:webHidden/>
          </w:rPr>
        </w:r>
        <w:r>
          <w:rPr>
            <w:webHidden/>
          </w:rPr>
          <w:fldChar w:fldCharType="separate"/>
        </w:r>
        <w:r w:rsidR="003E1323">
          <w:rPr>
            <w:webHidden/>
          </w:rPr>
          <w:t>74</w:t>
        </w:r>
        <w:r>
          <w:rPr>
            <w:webHidden/>
          </w:rPr>
          <w:fldChar w:fldCharType="end"/>
        </w:r>
      </w:hyperlink>
    </w:p>
    <w:p w14:paraId="586A46BC" w14:textId="6208F2B5" w:rsidR="002D689D" w:rsidRDefault="002D689D">
      <w:pPr>
        <w:pStyle w:val="TOC2"/>
        <w:rPr>
          <w:rFonts w:eastAsiaTheme="minorEastAsia"/>
          <w:kern w:val="2"/>
          <w:sz w:val="24"/>
          <w:szCs w:val="24"/>
          <w:lang w:eastAsia="zh-CN"/>
          <w14:ligatures w14:val="standardContextual"/>
        </w:rPr>
      </w:pPr>
      <w:hyperlink w:anchor="_Toc198808347" w:history="1">
        <w:r w:rsidRPr="006248D3">
          <w:rPr>
            <w:rStyle w:val="Hyperlink"/>
          </w:rPr>
          <w:t>Other costs</w:t>
        </w:r>
        <w:r>
          <w:rPr>
            <w:webHidden/>
          </w:rPr>
          <w:tab/>
        </w:r>
        <w:r>
          <w:rPr>
            <w:webHidden/>
          </w:rPr>
          <w:fldChar w:fldCharType="begin"/>
        </w:r>
        <w:r>
          <w:rPr>
            <w:webHidden/>
          </w:rPr>
          <w:instrText xml:space="preserve"> PAGEREF _Toc198808347 \h </w:instrText>
        </w:r>
        <w:r>
          <w:rPr>
            <w:webHidden/>
          </w:rPr>
        </w:r>
        <w:r>
          <w:rPr>
            <w:webHidden/>
          </w:rPr>
          <w:fldChar w:fldCharType="separate"/>
        </w:r>
        <w:r w:rsidR="003E1323">
          <w:rPr>
            <w:webHidden/>
          </w:rPr>
          <w:t>75</w:t>
        </w:r>
        <w:r>
          <w:rPr>
            <w:webHidden/>
          </w:rPr>
          <w:fldChar w:fldCharType="end"/>
        </w:r>
      </w:hyperlink>
    </w:p>
    <w:p w14:paraId="00288693" w14:textId="095D6F3F" w:rsidR="002D689D" w:rsidRDefault="002D689D">
      <w:pPr>
        <w:pStyle w:val="TOC1"/>
        <w:rPr>
          <w:rFonts w:eastAsiaTheme="minorEastAsia"/>
          <w:b w:val="0"/>
          <w:noProof/>
          <w:kern w:val="2"/>
          <w:sz w:val="24"/>
          <w:szCs w:val="24"/>
          <w:lang w:eastAsia="zh-CN"/>
          <w14:ligatures w14:val="standardContextual"/>
        </w:rPr>
      </w:pPr>
      <w:hyperlink w:anchor="_Toc198808348" w:history="1">
        <w:r w:rsidRPr="006248D3">
          <w:rPr>
            <w:rStyle w:val="Hyperlink"/>
            <w:noProof/>
          </w:rPr>
          <w:t>Appendix B: Network tariffs in the cost stack</w:t>
        </w:r>
        <w:r>
          <w:rPr>
            <w:noProof/>
            <w:webHidden/>
          </w:rPr>
          <w:tab/>
        </w:r>
        <w:r>
          <w:rPr>
            <w:noProof/>
            <w:webHidden/>
          </w:rPr>
          <w:fldChar w:fldCharType="begin"/>
        </w:r>
        <w:r>
          <w:rPr>
            <w:noProof/>
            <w:webHidden/>
          </w:rPr>
          <w:instrText xml:space="preserve"> PAGEREF _Toc198808348 \h </w:instrText>
        </w:r>
        <w:r>
          <w:rPr>
            <w:noProof/>
            <w:webHidden/>
          </w:rPr>
        </w:r>
        <w:r>
          <w:rPr>
            <w:noProof/>
            <w:webHidden/>
          </w:rPr>
          <w:fldChar w:fldCharType="separate"/>
        </w:r>
        <w:r w:rsidR="003E1323">
          <w:rPr>
            <w:noProof/>
            <w:webHidden/>
          </w:rPr>
          <w:t>76</w:t>
        </w:r>
        <w:r>
          <w:rPr>
            <w:noProof/>
            <w:webHidden/>
          </w:rPr>
          <w:fldChar w:fldCharType="end"/>
        </w:r>
      </w:hyperlink>
    </w:p>
    <w:p w14:paraId="2DBF5493" w14:textId="6464FE95" w:rsidR="002D689D" w:rsidRDefault="002D689D">
      <w:pPr>
        <w:pStyle w:val="TOC1"/>
        <w:rPr>
          <w:rFonts w:eastAsiaTheme="minorEastAsia"/>
          <w:b w:val="0"/>
          <w:noProof/>
          <w:kern w:val="2"/>
          <w:sz w:val="24"/>
          <w:szCs w:val="24"/>
          <w:lang w:eastAsia="zh-CN"/>
          <w14:ligatures w14:val="standardContextual"/>
        </w:rPr>
      </w:pPr>
      <w:hyperlink w:anchor="_Toc198808349" w:history="1">
        <w:r w:rsidRPr="006248D3">
          <w:rPr>
            <w:rStyle w:val="Hyperlink"/>
            <w:noProof/>
          </w:rPr>
          <w:t>Appendix C: Submissions on Draft Decision Paper</w:t>
        </w:r>
        <w:r>
          <w:rPr>
            <w:noProof/>
            <w:webHidden/>
          </w:rPr>
          <w:tab/>
        </w:r>
        <w:r>
          <w:rPr>
            <w:noProof/>
            <w:webHidden/>
          </w:rPr>
          <w:fldChar w:fldCharType="begin"/>
        </w:r>
        <w:r>
          <w:rPr>
            <w:noProof/>
            <w:webHidden/>
          </w:rPr>
          <w:instrText xml:space="preserve"> PAGEREF _Toc198808349 \h </w:instrText>
        </w:r>
        <w:r>
          <w:rPr>
            <w:noProof/>
            <w:webHidden/>
          </w:rPr>
        </w:r>
        <w:r>
          <w:rPr>
            <w:noProof/>
            <w:webHidden/>
          </w:rPr>
          <w:fldChar w:fldCharType="separate"/>
        </w:r>
        <w:r w:rsidR="003E1323">
          <w:rPr>
            <w:noProof/>
            <w:webHidden/>
          </w:rPr>
          <w:t>78</w:t>
        </w:r>
        <w:r>
          <w:rPr>
            <w:noProof/>
            <w:webHidden/>
          </w:rPr>
          <w:fldChar w:fldCharType="end"/>
        </w:r>
      </w:hyperlink>
    </w:p>
    <w:p w14:paraId="201C5476" w14:textId="15789742" w:rsidR="002D689D" w:rsidRDefault="002D689D">
      <w:pPr>
        <w:pStyle w:val="TOC1"/>
        <w:rPr>
          <w:rFonts w:eastAsiaTheme="minorEastAsia"/>
          <w:b w:val="0"/>
          <w:noProof/>
          <w:kern w:val="2"/>
          <w:sz w:val="24"/>
          <w:szCs w:val="24"/>
          <w:lang w:eastAsia="zh-CN"/>
          <w14:ligatures w14:val="standardContextual"/>
        </w:rPr>
      </w:pPr>
      <w:hyperlink w:anchor="_Toc198808350" w:history="1">
        <w:r w:rsidRPr="006248D3">
          <w:rPr>
            <w:rStyle w:val="Hyperlink"/>
            <w:noProof/>
          </w:rPr>
          <w:t>Appendix D: Changes to cost component methodology</w:t>
        </w:r>
        <w:r>
          <w:rPr>
            <w:noProof/>
            <w:webHidden/>
          </w:rPr>
          <w:tab/>
        </w:r>
        <w:r>
          <w:rPr>
            <w:noProof/>
            <w:webHidden/>
          </w:rPr>
          <w:fldChar w:fldCharType="begin"/>
        </w:r>
        <w:r>
          <w:rPr>
            <w:noProof/>
            <w:webHidden/>
          </w:rPr>
          <w:instrText xml:space="preserve"> PAGEREF _Toc198808350 \h </w:instrText>
        </w:r>
        <w:r>
          <w:rPr>
            <w:noProof/>
            <w:webHidden/>
          </w:rPr>
        </w:r>
        <w:r>
          <w:rPr>
            <w:noProof/>
            <w:webHidden/>
          </w:rPr>
          <w:fldChar w:fldCharType="separate"/>
        </w:r>
        <w:r w:rsidR="003E1323">
          <w:rPr>
            <w:noProof/>
            <w:webHidden/>
          </w:rPr>
          <w:t>79</w:t>
        </w:r>
        <w:r>
          <w:rPr>
            <w:noProof/>
            <w:webHidden/>
          </w:rPr>
          <w:fldChar w:fldCharType="end"/>
        </w:r>
      </w:hyperlink>
    </w:p>
    <w:p w14:paraId="79E0F88C" w14:textId="5B5C217D" w:rsidR="002D689D" w:rsidRDefault="002D689D">
      <w:pPr>
        <w:pStyle w:val="TOC1"/>
        <w:rPr>
          <w:rFonts w:eastAsiaTheme="minorEastAsia"/>
          <w:b w:val="0"/>
          <w:noProof/>
          <w:kern w:val="2"/>
          <w:sz w:val="24"/>
          <w:szCs w:val="24"/>
          <w:lang w:eastAsia="zh-CN"/>
          <w14:ligatures w14:val="standardContextual"/>
        </w:rPr>
      </w:pPr>
      <w:hyperlink w:anchor="_Toc198808351" w:history="1">
        <w:r w:rsidRPr="006248D3">
          <w:rPr>
            <w:rStyle w:val="Hyperlink"/>
            <w:noProof/>
          </w:rPr>
          <w:t>Appendix E: Order in Council</w:t>
        </w:r>
        <w:r>
          <w:rPr>
            <w:noProof/>
            <w:webHidden/>
          </w:rPr>
          <w:tab/>
        </w:r>
        <w:r>
          <w:rPr>
            <w:noProof/>
            <w:webHidden/>
          </w:rPr>
          <w:fldChar w:fldCharType="begin"/>
        </w:r>
        <w:r>
          <w:rPr>
            <w:noProof/>
            <w:webHidden/>
          </w:rPr>
          <w:instrText xml:space="preserve"> PAGEREF _Toc198808351 \h </w:instrText>
        </w:r>
        <w:r>
          <w:rPr>
            <w:noProof/>
            <w:webHidden/>
          </w:rPr>
        </w:r>
        <w:r>
          <w:rPr>
            <w:noProof/>
            <w:webHidden/>
          </w:rPr>
          <w:fldChar w:fldCharType="separate"/>
        </w:r>
        <w:r w:rsidR="003E1323">
          <w:rPr>
            <w:noProof/>
            <w:webHidden/>
          </w:rPr>
          <w:t>83</w:t>
        </w:r>
        <w:r>
          <w:rPr>
            <w:noProof/>
            <w:webHidden/>
          </w:rPr>
          <w:fldChar w:fldCharType="end"/>
        </w:r>
      </w:hyperlink>
    </w:p>
    <w:p w14:paraId="46AC1037" w14:textId="0709B447" w:rsidR="002D689D" w:rsidRDefault="002D689D">
      <w:pPr>
        <w:pStyle w:val="TOC1"/>
        <w:rPr>
          <w:rFonts w:eastAsiaTheme="minorEastAsia"/>
          <w:b w:val="0"/>
          <w:noProof/>
          <w:kern w:val="2"/>
          <w:sz w:val="24"/>
          <w:szCs w:val="24"/>
          <w:lang w:eastAsia="zh-CN"/>
          <w14:ligatures w14:val="standardContextual"/>
        </w:rPr>
      </w:pPr>
      <w:hyperlink w:anchor="_Toc198808352" w:history="1">
        <w:r w:rsidRPr="006248D3">
          <w:rPr>
            <w:rStyle w:val="Hyperlink"/>
            <w:noProof/>
          </w:rPr>
          <w:t>Appendix F: Our legislative considerations</w:t>
        </w:r>
        <w:r>
          <w:rPr>
            <w:noProof/>
            <w:webHidden/>
          </w:rPr>
          <w:tab/>
        </w:r>
        <w:r>
          <w:rPr>
            <w:noProof/>
            <w:webHidden/>
          </w:rPr>
          <w:fldChar w:fldCharType="begin"/>
        </w:r>
        <w:r>
          <w:rPr>
            <w:noProof/>
            <w:webHidden/>
          </w:rPr>
          <w:instrText xml:space="preserve"> PAGEREF _Toc198808352 \h </w:instrText>
        </w:r>
        <w:r>
          <w:rPr>
            <w:noProof/>
            <w:webHidden/>
          </w:rPr>
        </w:r>
        <w:r>
          <w:rPr>
            <w:noProof/>
            <w:webHidden/>
          </w:rPr>
          <w:fldChar w:fldCharType="separate"/>
        </w:r>
        <w:r w:rsidR="003E1323">
          <w:rPr>
            <w:noProof/>
            <w:webHidden/>
          </w:rPr>
          <w:t>97</w:t>
        </w:r>
        <w:r>
          <w:rPr>
            <w:noProof/>
            <w:webHidden/>
          </w:rPr>
          <w:fldChar w:fldCharType="end"/>
        </w:r>
      </w:hyperlink>
    </w:p>
    <w:p w14:paraId="51F6E379" w14:textId="634C36C6" w:rsidR="002D689D" w:rsidRDefault="002D689D">
      <w:pPr>
        <w:pStyle w:val="TOC2"/>
        <w:rPr>
          <w:rFonts w:eastAsiaTheme="minorEastAsia"/>
          <w:kern w:val="2"/>
          <w:sz w:val="24"/>
          <w:szCs w:val="24"/>
          <w:lang w:eastAsia="zh-CN"/>
          <w14:ligatures w14:val="standardContextual"/>
        </w:rPr>
      </w:pPr>
      <w:hyperlink w:anchor="_Toc198808353" w:history="1">
        <w:r w:rsidRPr="006248D3">
          <w:rPr>
            <w:rStyle w:val="Hyperlink"/>
          </w:rPr>
          <w:t>The commission’s power to determine the Victorian Default Offer</w:t>
        </w:r>
        <w:r>
          <w:rPr>
            <w:webHidden/>
          </w:rPr>
          <w:tab/>
        </w:r>
        <w:r>
          <w:rPr>
            <w:webHidden/>
          </w:rPr>
          <w:fldChar w:fldCharType="begin"/>
        </w:r>
        <w:r>
          <w:rPr>
            <w:webHidden/>
          </w:rPr>
          <w:instrText xml:space="preserve"> PAGEREF _Toc198808353 \h </w:instrText>
        </w:r>
        <w:r>
          <w:rPr>
            <w:webHidden/>
          </w:rPr>
        </w:r>
        <w:r>
          <w:rPr>
            <w:webHidden/>
          </w:rPr>
          <w:fldChar w:fldCharType="separate"/>
        </w:r>
        <w:r w:rsidR="003E1323">
          <w:rPr>
            <w:webHidden/>
          </w:rPr>
          <w:t>97</w:t>
        </w:r>
        <w:r>
          <w:rPr>
            <w:webHidden/>
          </w:rPr>
          <w:fldChar w:fldCharType="end"/>
        </w:r>
      </w:hyperlink>
    </w:p>
    <w:p w14:paraId="07817C77" w14:textId="527B9B48" w:rsidR="002D689D" w:rsidRDefault="002D689D">
      <w:pPr>
        <w:pStyle w:val="TOC2"/>
        <w:rPr>
          <w:rFonts w:eastAsiaTheme="minorEastAsia"/>
          <w:kern w:val="2"/>
          <w:sz w:val="24"/>
          <w:szCs w:val="24"/>
          <w:lang w:eastAsia="zh-CN"/>
          <w14:ligatures w14:val="standardContextual"/>
        </w:rPr>
      </w:pPr>
      <w:hyperlink w:anchor="_Toc198808354" w:history="1">
        <w:r w:rsidRPr="006248D3">
          <w:rPr>
            <w:rStyle w:val="Hyperlink"/>
          </w:rPr>
          <w:t>Our objectives in setting the Victorian Default Offer</w:t>
        </w:r>
        <w:r>
          <w:rPr>
            <w:webHidden/>
          </w:rPr>
          <w:tab/>
        </w:r>
        <w:r>
          <w:rPr>
            <w:webHidden/>
          </w:rPr>
          <w:fldChar w:fldCharType="begin"/>
        </w:r>
        <w:r>
          <w:rPr>
            <w:webHidden/>
          </w:rPr>
          <w:instrText xml:space="preserve"> PAGEREF _Toc198808354 \h </w:instrText>
        </w:r>
        <w:r>
          <w:rPr>
            <w:webHidden/>
          </w:rPr>
        </w:r>
        <w:r>
          <w:rPr>
            <w:webHidden/>
          </w:rPr>
          <w:fldChar w:fldCharType="separate"/>
        </w:r>
        <w:r w:rsidR="003E1323">
          <w:rPr>
            <w:webHidden/>
          </w:rPr>
          <w:t>98</w:t>
        </w:r>
        <w:r>
          <w:rPr>
            <w:webHidden/>
          </w:rPr>
          <w:fldChar w:fldCharType="end"/>
        </w:r>
      </w:hyperlink>
    </w:p>
    <w:p w14:paraId="0D909D1A" w14:textId="22484657" w:rsidR="002D689D" w:rsidRDefault="002D689D">
      <w:pPr>
        <w:pStyle w:val="TOC2"/>
        <w:rPr>
          <w:rFonts w:eastAsiaTheme="minorEastAsia"/>
          <w:kern w:val="2"/>
          <w:sz w:val="24"/>
          <w:szCs w:val="24"/>
          <w:lang w:eastAsia="zh-CN"/>
          <w14:ligatures w14:val="standardContextual"/>
        </w:rPr>
      </w:pPr>
      <w:hyperlink w:anchor="_Toc198808355" w:history="1">
        <w:r w:rsidRPr="006248D3">
          <w:rPr>
            <w:rStyle w:val="Hyperlink"/>
          </w:rPr>
          <w:t>The matters the commission must have regard to when determining tariffs</w:t>
        </w:r>
        <w:r>
          <w:rPr>
            <w:webHidden/>
          </w:rPr>
          <w:tab/>
        </w:r>
        <w:r>
          <w:rPr>
            <w:webHidden/>
          </w:rPr>
          <w:fldChar w:fldCharType="begin"/>
        </w:r>
        <w:r>
          <w:rPr>
            <w:webHidden/>
          </w:rPr>
          <w:instrText xml:space="preserve"> PAGEREF _Toc198808355 \h </w:instrText>
        </w:r>
        <w:r>
          <w:rPr>
            <w:webHidden/>
          </w:rPr>
        </w:r>
        <w:r>
          <w:rPr>
            <w:webHidden/>
          </w:rPr>
          <w:fldChar w:fldCharType="separate"/>
        </w:r>
        <w:r w:rsidR="003E1323">
          <w:rPr>
            <w:webHidden/>
          </w:rPr>
          <w:t>98</w:t>
        </w:r>
        <w:r>
          <w:rPr>
            <w:webHidden/>
          </w:rPr>
          <w:fldChar w:fldCharType="end"/>
        </w:r>
      </w:hyperlink>
    </w:p>
    <w:p w14:paraId="7FE7A6F0" w14:textId="48967743" w:rsidR="002D689D" w:rsidRDefault="002D689D">
      <w:pPr>
        <w:pStyle w:val="TOC1"/>
        <w:rPr>
          <w:rFonts w:eastAsiaTheme="minorEastAsia"/>
          <w:b w:val="0"/>
          <w:noProof/>
          <w:kern w:val="2"/>
          <w:sz w:val="24"/>
          <w:szCs w:val="24"/>
          <w:lang w:eastAsia="zh-CN"/>
          <w14:ligatures w14:val="standardContextual"/>
        </w:rPr>
      </w:pPr>
      <w:hyperlink w:anchor="_Toc198808356" w:history="1">
        <w:r w:rsidRPr="006248D3">
          <w:rPr>
            <w:rStyle w:val="Hyperlink"/>
            <w:noProof/>
          </w:rPr>
          <w:t>Appendix G: Assessment of how the Victorian Default Offer price determination has regard to relevant legislative considerations</w:t>
        </w:r>
        <w:r>
          <w:rPr>
            <w:noProof/>
            <w:webHidden/>
          </w:rPr>
          <w:tab/>
        </w:r>
        <w:r>
          <w:rPr>
            <w:noProof/>
            <w:webHidden/>
          </w:rPr>
          <w:fldChar w:fldCharType="begin"/>
        </w:r>
        <w:r>
          <w:rPr>
            <w:noProof/>
            <w:webHidden/>
          </w:rPr>
          <w:instrText xml:space="preserve"> PAGEREF _Toc198808356 \h </w:instrText>
        </w:r>
        <w:r>
          <w:rPr>
            <w:noProof/>
            <w:webHidden/>
          </w:rPr>
        </w:r>
        <w:r>
          <w:rPr>
            <w:noProof/>
            <w:webHidden/>
          </w:rPr>
          <w:fldChar w:fldCharType="separate"/>
        </w:r>
        <w:r w:rsidR="003E1323">
          <w:rPr>
            <w:noProof/>
            <w:webHidden/>
          </w:rPr>
          <w:t>100</w:t>
        </w:r>
        <w:r>
          <w:rPr>
            <w:noProof/>
            <w:webHidden/>
          </w:rPr>
          <w:fldChar w:fldCharType="end"/>
        </w:r>
      </w:hyperlink>
    </w:p>
    <w:p w14:paraId="74FC43BD" w14:textId="366BABAD" w:rsidR="002D689D" w:rsidRDefault="002D689D">
      <w:pPr>
        <w:pStyle w:val="TOC2"/>
        <w:rPr>
          <w:rFonts w:eastAsiaTheme="minorEastAsia"/>
          <w:kern w:val="2"/>
          <w:sz w:val="24"/>
          <w:szCs w:val="24"/>
          <w:lang w:eastAsia="zh-CN"/>
          <w14:ligatures w14:val="standardContextual"/>
        </w:rPr>
      </w:pPr>
      <w:hyperlink w:anchor="_Toc198808357" w:history="1">
        <w:r w:rsidRPr="006248D3">
          <w:rPr>
            <w:rStyle w:val="Hyperlink"/>
          </w:rPr>
          <w:t>Our approach to this review</w:t>
        </w:r>
        <w:r>
          <w:rPr>
            <w:webHidden/>
          </w:rPr>
          <w:tab/>
        </w:r>
        <w:r>
          <w:rPr>
            <w:webHidden/>
          </w:rPr>
          <w:fldChar w:fldCharType="begin"/>
        </w:r>
        <w:r>
          <w:rPr>
            <w:webHidden/>
          </w:rPr>
          <w:instrText xml:space="preserve"> PAGEREF _Toc198808357 \h </w:instrText>
        </w:r>
        <w:r>
          <w:rPr>
            <w:webHidden/>
          </w:rPr>
        </w:r>
        <w:r>
          <w:rPr>
            <w:webHidden/>
          </w:rPr>
          <w:fldChar w:fldCharType="separate"/>
        </w:r>
        <w:r w:rsidR="003E1323">
          <w:rPr>
            <w:webHidden/>
          </w:rPr>
          <w:t>100</w:t>
        </w:r>
        <w:r>
          <w:rPr>
            <w:webHidden/>
          </w:rPr>
          <w:fldChar w:fldCharType="end"/>
        </w:r>
      </w:hyperlink>
    </w:p>
    <w:p w14:paraId="0CBFA1EC" w14:textId="041EFCFF" w:rsidR="002D689D" w:rsidRDefault="002D689D">
      <w:pPr>
        <w:pStyle w:val="TOC2"/>
        <w:rPr>
          <w:rFonts w:eastAsiaTheme="minorEastAsia"/>
          <w:kern w:val="2"/>
          <w:sz w:val="24"/>
          <w:szCs w:val="24"/>
          <w:lang w:eastAsia="zh-CN"/>
          <w14:ligatures w14:val="standardContextual"/>
        </w:rPr>
      </w:pPr>
      <w:hyperlink w:anchor="_Toc198808358" w:history="1">
        <w:r w:rsidRPr="006248D3">
          <w:rPr>
            <w:rStyle w:val="Hyperlink"/>
          </w:rPr>
          <w:t>Objectives of the commission and the Victorian Default Offer</w:t>
        </w:r>
        <w:r>
          <w:rPr>
            <w:webHidden/>
          </w:rPr>
          <w:tab/>
        </w:r>
        <w:r>
          <w:rPr>
            <w:webHidden/>
          </w:rPr>
          <w:fldChar w:fldCharType="begin"/>
        </w:r>
        <w:r>
          <w:rPr>
            <w:webHidden/>
          </w:rPr>
          <w:instrText xml:space="preserve"> PAGEREF _Toc198808358 \h </w:instrText>
        </w:r>
        <w:r>
          <w:rPr>
            <w:webHidden/>
          </w:rPr>
        </w:r>
        <w:r>
          <w:rPr>
            <w:webHidden/>
          </w:rPr>
          <w:fldChar w:fldCharType="separate"/>
        </w:r>
        <w:r w:rsidR="003E1323">
          <w:rPr>
            <w:webHidden/>
          </w:rPr>
          <w:t>101</w:t>
        </w:r>
        <w:r>
          <w:rPr>
            <w:webHidden/>
          </w:rPr>
          <w:fldChar w:fldCharType="end"/>
        </w:r>
      </w:hyperlink>
    </w:p>
    <w:p w14:paraId="3D4B801A" w14:textId="2EB3A2BE" w:rsidR="003A30F3" w:rsidRDefault="007F2DA4" w:rsidP="003A30F3">
      <w:r>
        <w:rPr>
          <w:b/>
          <w:noProof/>
        </w:rPr>
        <w:fldChar w:fldCharType="end"/>
      </w:r>
    </w:p>
    <w:p w14:paraId="3C5E51F3" w14:textId="4E7390FD" w:rsidR="002C4BDF" w:rsidRDefault="002C4BDF" w:rsidP="00A74B0A">
      <w:pPr>
        <w:pStyle w:val="Heading1"/>
      </w:pPr>
      <w:bookmarkStart w:id="10" w:name="_Toc198808314"/>
      <w:bookmarkStart w:id="11" w:name="_Toc191027344"/>
      <w:r w:rsidRPr="00681DFF">
        <w:lastRenderedPageBreak/>
        <w:t xml:space="preserve">We </w:t>
      </w:r>
      <w:r w:rsidR="00D83B52" w:rsidRPr="00681DFF">
        <w:t>considered all</w:t>
      </w:r>
      <w:r w:rsidRPr="00681DFF">
        <w:t xml:space="preserve"> </w:t>
      </w:r>
      <w:r w:rsidR="00FA749C" w:rsidRPr="00681DFF">
        <w:t>submissions</w:t>
      </w:r>
      <w:r w:rsidRPr="00681DFF">
        <w:t xml:space="preserve"> </w:t>
      </w:r>
      <w:r w:rsidR="006828DD" w:rsidRPr="00681DFF">
        <w:t>received</w:t>
      </w:r>
      <w:bookmarkEnd w:id="10"/>
    </w:p>
    <w:p w14:paraId="44A96BA7" w14:textId="56E67647" w:rsidR="00176D8C" w:rsidRDefault="00311FD2" w:rsidP="00311FD2">
      <w:r w:rsidRPr="00D72347">
        <w:t xml:space="preserve">We released our </w:t>
      </w:r>
      <w:r w:rsidR="00A14DFE">
        <w:t>2025–26 Victorian Default Offer</w:t>
      </w:r>
      <w:r w:rsidR="00A14DFE" w:rsidRPr="00D72347">
        <w:t xml:space="preserve"> </w:t>
      </w:r>
      <w:r w:rsidRPr="00D72347">
        <w:t xml:space="preserve">draft decision on </w:t>
      </w:r>
      <w:r w:rsidR="00AD5E64" w:rsidRPr="00F53D89">
        <w:t>13</w:t>
      </w:r>
      <w:r w:rsidRPr="00D72347">
        <w:t xml:space="preserve"> March 202</w:t>
      </w:r>
      <w:r w:rsidR="007A1F64" w:rsidRPr="00D72347">
        <w:t>5</w:t>
      </w:r>
      <w:r w:rsidR="00A14DFE">
        <w:t>,</w:t>
      </w:r>
      <w:r w:rsidR="00B23378">
        <w:t xml:space="preserve"> </w:t>
      </w:r>
      <w:r w:rsidR="00A14DFE">
        <w:t xml:space="preserve">followed by </w:t>
      </w:r>
      <w:r w:rsidR="00B23378">
        <w:t xml:space="preserve">a four-week consultation period. During this </w:t>
      </w:r>
      <w:r w:rsidR="001E4D30">
        <w:t>time</w:t>
      </w:r>
      <w:r w:rsidR="00E73938">
        <w:t>,</w:t>
      </w:r>
      <w:r w:rsidR="00B23378">
        <w:t xml:space="preserve"> we</w:t>
      </w:r>
      <w:r w:rsidR="00A93A4D">
        <w:t xml:space="preserve"> </w:t>
      </w:r>
      <w:r w:rsidR="00E32FF0">
        <w:t>hosted</w:t>
      </w:r>
      <w:r w:rsidR="007F542B">
        <w:t xml:space="preserve"> </w:t>
      </w:r>
      <w:r w:rsidRPr="00D72347">
        <w:t>a public forum attended by consumer and industry groups</w:t>
      </w:r>
      <w:r w:rsidR="003652DF">
        <w:t>,</w:t>
      </w:r>
      <w:r w:rsidRPr="00D72347">
        <w:t xml:space="preserve"> </w:t>
      </w:r>
      <w:r w:rsidR="00373F25">
        <w:t>and</w:t>
      </w:r>
      <w:r w:rsidRPr="00D72347">
        <w:t xml:space="preserve"> electricity retailers</w:t>
      </w:r>
      <w:r w:rsidR="009C6D35">
        <w:t>. W</w:t>
      </w:r>
      <w:r w:rsidR="00373F25">
        <w:t>e also hosted</w:t>
      </w:r>
      <w:r w:rsidR="00EF7E07">
        <w:t xml:space="preserve"> </w:t>
      </w:r>
      <w:r w:rsidR="00F3782E">
        <w:t>a work</w:t>
      </w:r>
      <w:r w:rsidR="007F542B">
        <w:t xml:space="preserve">shop with electricity retailers on the wholesale electricity cost change outlined in </w:t>
      </w:r>
      <w:r w:rsidR="00887115">
        <w:t>our</w:t>
      </w:r>
      <w:r w:rsidR="007F542B">
        <w:t xml:space="preserve"> draft decision</w:t>
      </w:r>
      <w:r w:rsidRPr="00D72347">
        <w:t xml:space="preserve">. </w:t>
      </w:r>
    </w:p>
    <w:p w14:paraId="799B2859" w14:textId="219315FC" w:rsidR="004921AA" w:rsidRDefault="00522CCD" w:rsidP="00311FD2">
      <w:r>
        <w:t>W</w:t>
      </w:r>
      <w:r w:rsidRPr="00D72347">
        <w:t xml:space="preserve">e </w:t>
      </w:r>
      <w:r w:rsidR="00311FD2" w:rsidRPr="00D72347">
        <w:t xml:space="preserve">received </w:t>
      </w:r>
      <w:r w:rsidR="007E1ED0" w:rsidRPr="00F53D89">
        <w:t>1</w:t>
      </w:r>
      <w:r w:rsidR="00CC2DCD" w:rsidRPr="00F53D89">
        <w:t>4</w:t>
      </w:r>
      <w:r w:rsidR="00311FD2" w:rsidRPr="00D72347">
        <w:t xml:space="preserve"> submissions </w:t>
      </w:r>
      <w:r>
        <w:t xml:space="preserve">in response to our draft decision </w:t>
      </w:r>
      <w:r w:rsidR="00311FD2" w:rsidRPr="00D72347">
        <w:t xml:space="preserve">from a range of </w:t>
      </w:r>
      <w:r w:rsidR="00E851E5">
        <w:t>interested parties</w:t>
      </w:r>
      <w:r>
        <w:t>.</w:t>
      </w:r>
      <w:r w:rsidRPr="00D72347">
        <w:t xml:space="preserve"> </w:t>
      </w:r>
      <w:r>
        <w:t xml:space="preserve">This </w:t>
      </w:r>
      <w:r w:rsidRPr="00D72347">
        <w:t>includ</w:t>
      </w:r>
      <w:r>
        <w:t>ed</w:t>
      </w:r>
      <w:r w:rsidR="00311FD2" w:rsidRPr="00D72347">
        <w:t xml:space="preserve"> electricity retailers and industry representatives as well as consumers and community groups.</w:t>
      </w:r>
      <w:r w:rsidR="004921AA">
        <w:t xml:space="preserve"> </w:t>
      </w:r>
      <w:r w:rsidR="00311FD2" w:rsidRPr="00D72347">
        <w:t xml:space="preserve">The views expressed in submissions have been considered by the commission in reaching our final decision. </w:t>
      </w:r>
    </w:p>
    <w:p w14:paraId="429EE0EF" w14:textId="15E3D731" w:rsidR="002C4BDF" w:rsidRPr="00D72347" w:rsidRDefault="004921AA" w:rsidP="00311FD2">
      <w:r>
        <w:t>A list of the interested parties who made a submission are</w:t>
      </w:r>
      <w:r w:rsidR="00FC3E9E">
        <w:t xml:space="preserve"> outlined in Appendix C and c</w:t>
      </w:r>
      <w:r w:rsidR="00311FD2" w:rsidRPr="00D72347">
        <w:t xml:space="preserve">opies of all submissions can be found on </w:t>
      </w:r>
      <w:hyperlink r:id="rId20" w:anchor="tabs-container2" w:history="1">
        <w:r w:rsidR="00311FD2" w:rsidRPr="00D84619">
          <w:rPr>
            <w:rStyle w:val="Hyperlink"/>
          </w:rPr>
          <w:t>our website</w:t>
        </w:r>
      </w:hyperlink>
      <w:r w:rsidR="00311FD2" w:rsidRPr="00D72347">
        <w:t xml:space="preserve">. </w:t>
      </w:r>
    </w:p>
    <w:p w14:paraId="6DEBFBE9" w14:textId="18201861" w:rsidR="002C4BDF" w:rsidRPr="001279C6" w:rsidRDefault="002C4BDF" w:rsidP="002C4BDF">
      <w:pPr>
        <w:pStyle w:val="Figure-Table-BoxHeading"/>
        <w:keepNext/>
        <w:ind w:left="851" w:hanging="851"/>
      </w:pPr>
      <w:r w:rsidRPr="001279C6">
        <w:rPr>
          <w:lang w:val="en-AU"/>
        </w:rPr>
        <w:t xml:space="preserve">Table </w:t>
      </w:r>
      <w:r w:rsidR="00FE632E">
        <w:rPr>
          <w:lang w:val="en-AU"/>
        </w:rPr>
        <w:t>1</w:t>
      </w:r>
      <w:r w:rsidRPr="001279C6">
        <w:rPr>
          <w:lang w:val="en-AU"/>
        </w:rPr>
        <w:t xml:space="preserve">: </w:t>
      </w:r>
      <w:r>
        <w:rPr>
          <w:lang w:val="en-AU"/>
        </w:rPr>
        <w:t>Milestones</w:t>
      </w:r>
      <w:r w:rsidRPr="001279C6">
        <w:rPr>
          <w:lang w:val="en-AU"/>
        </w:rPr>
        <w:t xml:space="preserve"> for the 2025–26 Victorian Default Offer </w:t>
      </w:r>
      <w:r>
        <w:rPr>
          <w:lang w:val="en-AU"/>
        </w:rPr>
        <w:t>review</w:t>
      </w:r>
    </w:p>
    <w:tbl>
      <w:tblPr>
        <w:tblStyle w:val="TableGrid"/>
        <w:tblW w:w="0" w:type="auto"/>
        <w:tblLook w:val="04A0" w:firstRow="1" w:lastRow="0" w:firstColumn="1" w:lastColumn="0" w:noHBand="0" w:noVBand="1"/>
      </w:tblPr>
      <w:tblGrid>
        <w:gridCol w:w="5387"/>
        <w:gridCol w:w="4251"/>
      </w:tblGrid>
      <w:tr w:rsidR="002C4BDF" w:rsidRPr="001279C6" w14:paraId="35341008" w14:textId="77777777" w:rsidTr="0060691C">
        <w:trPr>
          <w:cnfStyle w:val="100000000000" w:firstRow="1" w:lastRow="0" w:firstColumn="0" w:lastColumn="0" w:oddVBand="0" w:evenVBand="0" w:oddHBand="0" w:evenHBand="0" w:firstRowFirstColumn="0" w:firstRowLastColumn="0" w:lastRowFirstColumn="0" w:lastRowLastColumn="0"/>
        </w:trPr>
        <w:tc>
          <w:tcPr>
            <w:tcW w:w="5387" w:type="dxa"/>
          </w:tcPr>
          <w:p w14:paraId="112C1A99" w14:textId="77777777" w:rsidR="002C4BDF" w:rsidRPr="001279C6" w:rsidRDefault="002C4BDF" w:rsidP="0060691C">
            <w:pPr>
              <w:pStyle w:val="TableHeading"/>
              <w:keepNext/>
            </w:pPr>
            <w:r w:rsidRPr="001279C6">
              <w:t>Key milestone</w:t>
            </w:r>
          </w:p>
        </w:tc>
        <w:tc>
          <w:tcPr>
            <w:tcW w:w="4251" w:type="dxa"/>
          </w:tcPr>
          <w:p w14:paraId="64052A49" w14:textId="77777777" w:rsidR="002C4BDF" w:rsidRPr="001279C6" w:rsidRDefault="002C4BDF" w:rsidP="0060691C">
            <w:pPr>
              <w:pStyle w:val="TableHeading"/>
              <w:keepNext/>
            </w:pPr>
            <w:r>
              <w:t>Date</w:t>
            </w:r>
          </w:p>
        </w:tc>
      </w:tr>
      <w:tr w:rsidR="002C4BDF" w:rsidRPr="001279C6" w14:paraId="2B48B356" w14:textId="77777777" w:rsidTr="0060691C">
        <w:trPr>
          <w:cnfStyle w:val="000000100000" w:firstRow="0" w:lastRow="0" w:firstColumn="0" w:lastColumn="0" w:oddVBand="0" w:evenVBand="0" w:oddHBand="1" w:evenHBand="0" w:firstRowFirstColumn="0" w:firstRowLastColumn="0" w:lastRowFirstColumn="0" w:lastRowLastColumn="0"/>
        </w:trPr>
        <w:tc>
          <w:tcPr>
            <w:tcW w:w="5387" w:type="dxa"/>
          </w:tcPr>
          <w:p w14:paraId="2957D0C2" w14:textId="77777777" w:rsidR="002C4BDF" w:rsidRPr="001279C6" w:rsidRDefault="002C4BDF" w:rsidP="0060691C">
            <w:pPr>
              <w:pStyle w:val="TableBody"/>
              <w:keepNext/>
            </w:pPr>
            <w:r w:rsidRPr="001279C6">
              <w:t>Draft decision released</w:t>
            </w:r>
          </w:p>
        </w:tc>
        <w:tc>
          <w:tcPr>
            <w:tcW w:w="4251" w:type="dxa"/>
          </w:tcPr>
          <w:p w14:paraId="28F071C1" w14:textId="77777777" w:rsidR="002C4BDF" w:rsidRPr="001279C6" w:rsidRDefault="002C4BDF" w:rsidP="0060691C">
            <w:pPr>
              <w:pStyle w:val="TableBody"/>
              <w:keepNext/>
            </w:pPr>
            <w:r>
              <w:t xml:space="preserve">13 </w:t>
            </w:r>
            <w:r w:rsidRPr="001279C6">
              <w:t>March 2025</w:t>
            </w:r>
          </w:p>
        </w:tc>
      </w:tr>
      <w:tr w:rsidR="002C4BDF" w:rsidRPr="00097B2D" w14:paraId="72B7C4CC" w14:textId="77777777" w:rsidTr="0060691C">
        <w:trPr>
          <w:cnfStyle w:val="000000010000" w:firstRow="0" w:lastRow="0" w:firstColumn="0" w:lastColumn="0" w:oddVBand="0" w:evenVBand="0" w:oddHBand="0" w:evenHBand="1" w:firstRowFirstColumn="0" w:firstRowLastColumn="0" w:lastRowFirstColumn="0" w:lastRowLastColumn="0"/>
        </w:trPr>
        <w:tc>
          <w:tcPr>
            <w:tcW w:w="5387" w:type="dxa"/>
          </w:tcPr>
          <w:p w14:paraId="1F14A2E4" w14:textId="77777777" w:rsidR="002C4BDF" w:rsidRPr="002E5DDE" w:rsidRDefault="002C4BDF" w:rsidP="0060691C">
            <w:pPr>
              <w:pStyle w:val="TableBody"/>
              <w:keepNext/>
            </w:pPr>
            <w:r w:rsidRPr="002E5DDE">
              <w:t>Public forum on the draft decision</w:t>
            </w:r>
          </w:p>
        </w:tc>
        <w:tc>
          <w:tcPr>
            <w:tcW w:w="4251" w:type="dxa"/>
          </w:tcPr>
          <w:p w14:paraId="75B9C497" w14:textId="77777777" w:rsidR="002C4BDF" w:rsidRPr="002E5DDE" w:rsidRDefault="002C4BDF" w:rsidP="0060691C">
            <w:pPr>
              <w:pStyle w:val="TableBody"/>
              <w:keepNext/>
            </w:pPr>
            <w:r>
              <w:t>31</w:t>
            </w:r>
            <w:r w:rsidRPr="002E5DDE">
              <w:t xml:space="preserve"> March 2025</w:t>
            </w:r>
          </w:p>
        </w:tc>
      </w:tr>
      <w:tr w:rsidR="002C4BDF" w:rsidRPr="00097B2D" w14:paraId="1274D48C" w14:textId="77777777" w:rsidTr="0060691C">
        <w:trPr>
          <w:cnfStyle w:val="000000100000" w:firstRow="0" w:lastRow="0" w:firstColumn="0" w:lastColumn="0" w:oddVBand="0" w:evenVBand="0" w:oddHBand="1" w:evenHBand="0" w:firstRowFirstColumn="0" w:firstRowLastColumn="0" w:lastRowFirstColumn="0" w:lastRowLastColumn="0"/>
        </w:trPr>
        <w:tc>
          <w:tcPr>
            <w:tcW w:w="5387" w:type="dxa"/>
          </w:tcPr>
          <w:p w14:paraId="0F05AE57" w14:textId="77777777" w:rsidR="002C4BDF" w:rsidRPr="002E5DDE" w:rsidRDefault="002C4BDF" w:rsidP="0060691C">
            <w:pPr>
              <w:pStyle w:val="TableBody"/>
              <w:keepNext/>
            </w:pPr>
            <w:r w:rsidRPr="002E5DDE">
              <w:t xml:space="preserve">Consultation period on the draft decision </w:t>
            </w:r>
          </w:p>
        </w:tc>
        <w:tc>
          <w:tcPr>
            <w:tcW w:w="4251" w:type="dxa"/>
          </w:tcPr>
          <w:p w14:paraId="67FDE631" w14:textId="77777777" w:rsidR="002C4BDF" w:rsidRPr="002E5DDE" w:rsidRDefault="002C4BDF" w:rsidP="0060691C">
            <w:pPr>
              <w:pStyle w:val="TableBody"/>
              <w:keepNext/>
            </w:pPr>
            <w:r w:rsidRPr="002E5DDE">
              <w:t>13 March – 11 April 2025</w:t>
            </w:r>
          </w:p>
        </w:tc>
      </w:tr>
      <w:tr w:rsidR="002C4BDF" w:rsidRPr="00097B2D" w14:paraId="24848261" w14:textId="77777777" w:rsidTr="0060691C">
        <w:trPr>
          <w:cnfStyle w:val="000000010000" w:firstRow="0" w:lastRow="0" w:firstColumn="0" w:lastColumn="0" w:oddVBand="0" w:evenVBand="0" w:oddHBand="0" w:evenHBand="1" w:firstRowFirstColumn="0" w:firstRowLastColumn="0" w:lastRowFirstColumn="0" w:lastRowLastColumn="0"/>
        </w:trPr>
        <w:tc>
          <w:tcPr>
            <w:tcW w:w="5387" w:type="dxa"/>
          </w:tcPr>
          <w:p w14:paraId="270AC42B" w14:textId="77777777" w:rsidR="002C4BDF" w:rsidRPr="002E5DDE" w:rsidRDefault="002C4BDF" w:rsidP="0060691C">
            <w:pPr>
              <w:pStyle w:val="TableBody"/>
              <w:keepNext/>
            </w:pPr>
            <w:r w:rsidRPr="002E5DDE">
              <w:t>Final decision and determination</w:t>
            </w:r>
          </w:p>
        </w:tc>
        <w:tc>
          <w:tcPr>
            <w:tcW w:w="4251" w:type="dxa"/>
          </w:tcPr>
          <w:p w14:paraId="63148022" w14:textId="0D394959" w:rsidR="002C4BDF" w:rsidRPr="002E5DDE" w:rsidRDefault="00702C8A" w:rsidP="0060691C">
            <w:pPr>
              <w:pStyle w:val="TableBody"/>
              <w:keepNext/>
            </w:pPr>
            <w:r w:rsidRPr="00F53D89">
              <w:t>2</w:t>
            </w:r>
            <w:r w:rsidR="003346CA">
              <w:t>1</w:t>
            </w:r>
            <w:r w:rsidR="002C4BDF" w:rsidRPr="002E5DDE">
              <w:t xml:space="preserve"> May 2025</w:t>
            </w:r>
          </w:p>
        </w:tc>
      </w:tr>
      <w:tr w:rsidR="00A81FF6" w:rsidRPr="00097B2D" w14:paraId="5CF769FD" w14:textId="77777777" w:rsidTr="0060691C">
        <w:trPr>
          <w:cnfStyle w:val="000000100000" w:firstRow="0" w:lastRow="0" w:firstColumn="0" w:lastColumn="0" w:oddVBand="0" w:evenVBand="0" w:oddHBand="1" w:evenHBand="0" w:firstRowFirstColumn="0" w:firstRowLastColumn="0" w:lastRowFirstColumn="0" w:lastRowLastColumn="0"/>
        </w:trPr>
        <w:tc>
          <w:tcPr>
            <w:tcW w:w="5387" w:type="dxa"/>
          </w:tcPr>
          <w:p w14:paraId="25DE2456" w14:textId="67DF9347" w:rsidR="00A81FF6" w:rsidRPr="00FF238F" w:rsidRDefault="00A81FF6" w:rsidP="0060691C">
            <w:pPr>
              <w:pStyle w:val="TableBody"/>
              <w:keepNext/>
            </w:pPr>
            <w:r w:rsidRPr="00FF238F">
              <w:t>Prices take effect</w:t>
            </w:r>
          </w:p>
        </w:tc>
        <w:tc>
          <w:tcPr>
            <w:tcW w:w="4251" w:type="dxa"/>
          </w:tcPr>
          <w:p w14:paraId="5624CDC9" w14:textId="3CCE9C51" w:rsidR="00A81FF6" w:rsidRPr="00FF238F" w:rsidRDefault="00EC1146" w:rsidP="0060691C">
            <w:pPr>
              <w:pStyle w:val="TableBody"/>
              <w:keepNext/>
            </w:pPr>
            <w:r w:rsidRPr="00FF238F">
              <w:t>1 July 2025</w:t>
            </w:r>
          </w:p>
        </w:tc>
      </w:tr>
    </w:tbl>
    <w:p w14:paraId="30466BB4" w14:textId="77777777" w:rsidR="002C4BDF" w:rsidRDefault="002C4BDF" w:rsidP="005375CE">
      <w:r>
        <w:br w:type="page"/>
      </w:r>
    </w:p>
    <w:p w14:paraId="4A5FEFE1" w14:textId="38EEFF34" w:rsidR="00710792" w:rsidRDefault="00710792" w:rsidP="00710792">
      <w:pPr>
        <w:pStyle w:val="Heading1"/>
      </w:pPr>
      <w:bookmarkStart w:id="12" w:name="_Ref192181732"/>
      <w:bookmarkStart w:id="13" w:name="_Toc198808315"/>
      <w:r>
        <w:lastRenderedPageBreak/>
        <w:t>Summary</w:t>
      </w:r>
      <w:bookmarkEnd w:id="11"/>
      <w:bookmarkEnd w:id="12"/>
      <w:bookmarkEnd w:id="13"/>
    </w:p>
    <w:p w14:paraId="4A51DFB0" w14:textId="2116614C" w:rsidR="00C15C55" w:rsidRPr="00C15C55" w:rsidRDefault="00A34377" w:rsidP="00C15C55">
      <w:r>
        <w:t xml:space="preserve">This document sets out our </w:t>
      </w:r>
      <w:r w:rsidR="001416DF">
        <w:t>final</w:t>
      </w:r>
      <w:r>
        <w:t xml:space="preserve"> decision for the 2025–26 Victorian Default Offer. </w:t>
      </w:r>
    </w:p>
    <w:p w14:paraId="7A11F964" w14:textId="64379A8A" w:rsidR="00473426" w:rsidRPr="002E5DDE" w:rsidRDefault="00473426" w:rsidP="005E0D98">
      <w:pPr>
        <w:pStyle w:val="Pull-outBullet1"/>
        <w:pBdr>
          <w:bottom w:val="single" w:sz="48" w:space="4" w:color="B2CFDC" w:themeColor="text2" w:themeTint="66"/>
        </w:pBdr>
        <w:ind w:left="482"/>
      </w:pPr>
      <w:r w:rsidRPr="00C42755">
        <w:t xml:space="preserve">Our </w:t>
      </w:r>
      <w:r w:rsidR="001416DF">
        <w:t>final</w:t>
      </w:r>
      <w:r w:rsidRPr="00C42755">
        <w:t xml:space="preserve"> decision </w:t>
      </w:r>
      <w:r w:rsidR="009B5433">
        <w:t xml:space="preserve">results in </w:t>
      </w:r>
      <w:r w:rsidR="009B5433" w:rsidRPr="006B392D">
        <w:t xml:space="preserve">relatively flat </w:t>
      </w:r>
      <w:r w:rsidRPr="006B392D">
        <w:t>average bills</w:t>
      </w:r>
      <w:r w:rsidRPr="00C42755">
        <w:t xml:space="preserve"> for Victorian Default Offer customers in 2025–26 compared to </w:t>
      </w:r>
      <w:r w:rsidRPr="002E5DDE">
        <w:t>2024–25.</w:t>
      </w:r>
    </w:p>
    <w:p w14:paraId="6DD21167" w14:textId="4B6042F8" w:rsidR="0006318E" w:rsidRPr="002E5DDE" w:rsidRDefault="004656ED" w:rsidP="005E0D98">
      <w:pPr>
        <w:pStyle w:val="Pull-outBullet1"/>
        <w:pBdr>
          <w:bottom w:val="single" w:sz="48" w:space="4" w:color="B2CFDC" w:themeColor="text2" w:themeTint="66"/>
        </w:pBdr>
        <w:ind w:left="482"/>
      </w:pPr>
      <w:r w:rsidRPr="002E5DDE">
        <w:t xml:space="preserve">For domestic customers on </w:t>
      </w:r>
      <w:r w:rsidR="00BD5604">
        <w:t>a</w:t>
      </w:r>
      <w:r w:rsidRPr="002E5DDE">
        <w:t xml:space="preserve"> flat tariff,</w:t>
      </w:r>
      <w:r w:rsidR="0092009B" w:rsidRPr="002E5DDE" w:rsidDel="00665F63">
        <w:t xml:space="preserve"> </w:t>
      </w:r>
      <w:r w:rsidRPr="002E5DDE">
        <w:t xml:space="preserve">the Victorian Default Offer will be </w:t>
      </w:r>
      <w:r w:rsidR="003D7217" w:rsidRPr="002E5DDE">
        <w:t>$</w:t>
      </w:r>
      <w:r w:rsidR="001E44F2" w:rsidRPr="006B392D">
        <w:t>2</w:t>
      </w:r>
      <w:r w:rsidR="00D559E1" w:rsidRPr="006B392D">
        <w:t>0</w:t>
      </w:r>
      <w:r w:rsidR="003D7217" w:rsidRPr="002E5DDE">
        <w:t xml:space="preserve"> </w:t>
      </w:r>
      <w:r w:rsidR="0092009B" w:rsidRPr="002E5DDE">
        <w:t>(</w:t>
      </w:r>
      <w:r w:rsidR="003D7217" w:rsidRPr="002E5DDE">
        <w:t xml:space="preserve">or </w:t>
      </w:r>
      <w:r w:rsidR="001E44F2" w:rsidRPr="006B392D">
        <w:t>one</w:t>
      </w:r>
      <w:r w:rsidR="00A26A0A">
        <w:t xml:space="preserve"> </w:t>
      </w:r>
      <w:r w:rsidRPr="002E5DDE">
        <w:t>per cent</w:t>
      </w:r>
      <w:r w:rsidR="00495E0C">
        <w:t>)</w:t>
      </w:r>
      <w:r w:rsidRPr="002E5DDE">
        <w:t xml:space="preserve"> </w:t>
      </w:r>
      <w:r w:rsidRPr="006B392D">
        <w:t>higher</w:t>
      </w:r>
      <w:r w:rsidR="0092009B" w:rsidRPr="002E5DDE">
        <w:t xml:space="preserve"> than in 2024–25</w:t>
      </w:r>
      <w:r w:rsidRPr="002E5DDE">
        <w:t xml:space="preserve"> (</w:t>
      </w:r>
      <w:r w:rsidR="00296ACA" w:rsidRPr="002E5DDE">
        <w:t xml:space="preserve">based on an </w:t>
      </w:r>
      <w:r w:rsidRPr="002E5DDE">
        <w:t>average of the five distribution zones</w:t>
      </w:r>
      <w:r w:rsidR="00DF2807" w:rsidRPr="002E5DDE">
        <w:t xml:space="preserve"> and assuming annual usage of 4,000 kilowatt hours</w:t>
      </w:r>
      <w:r w:rsidR="00AA28E3" w:rsidRPr="002E5DDE">
        <w:t>)</w:t>
      </w:r>
      <w:r w:rsidR="00FB3C5F" w:rsidRPr="002E5DDE">
        <w:t>.</w:t>
      </w:r>
      <w:r w:rsidR="00AA28E3" w:rsidRPr="002E5DDE">
        <w:t xml:space="preserve"> </w:t>
      </w:r>
    </w:p>
    <w:p w14:paraId="050C3856" w14:textId="36511640" w:rsidR="007227D3" w:rsidRPr="002E5DDE" w:rsidRDefault="00EF55AA" w:rsidP="005E0D98">
      <w:pPr>
        <w:pStyle w:val="Pull-outBullet1"/>
        <w:pBdr>
          <w:bottom w:val="single" w:sz="48" w:space="4" w:color="B2CFDC" w:themeColor="text2" w:themeTint="66"/>
        </w:pBdr>
        <w:ind w:left="482"/>
      </w:pPr>
      <w:r w:rsidRPr="002E5DDE">
        <w:t xml:space="preserve">Our </w:t>
      </w:r>
      <w:r w:rsidR="00BC40D7">
        <w:t>final</w:t>
      </w:r>
      <w:r w:rsidRPr="002E5DDE">
        <w:t xml:space="preserve"> decision shows the change</w:t>
      </w:r>
      <w:r w:rsidR="000B5FFC" w:rsidRPr="002E5DDE">
        <w:t>s</w:t>
      </w:r>
      <w:r w:rsidRPr="002E5DDE">
        <w:t xml:space="preserve"> in</w:t>
      </w:r>
      <w:r w:rsidR="007227D3" w:rsidRPr="002E5DDE">
        <w:t xml:space="preserve"> </w:t>
      </w:r>
      <w:r w:rsidR="00704EA7" w:rsidRPr="002E5DDE">
        <w:t xml:space="preserve">domestic </w:t>
      </w:r>
      <w:r w:rsidR="0006318E" w:rsidRPr="002E5DDE">
        <w:t xml:space="preserve">Victorian Default Offer </w:t>
      </w:r>
      <w:r w:rsidR="00D8668D" w:rsidRPr="002E5DDE">
        <w:t xml:space="preserve">customer </w:t>
      </w:r>
      <w:r w:rsidR="007227D3" w:rsidRPr="002E5DDE">
        <w:t xml:space="preserve">bills range from </w:t>
      </w:r>
      <w:r w:rsidR="007227D3" w:rsidRPr="006B392D">
        <w:t>$</w:t>
      </w:r>
      <w:r w:rsidR="00A26FCC" w:rsidRPr="006B392D">
        <w:t>2</w:t>
      </w:r>
      <w:r w:rsidR="005474A6" w:rsidRPr="006B392D">
        <w:t>6</w:t>
      </w:r>
      <w:r w:rsidR="007227D3" w:rsidRPr="006B392D">
        <w:t xml:space="preserve"> lower in </w:t>
      </w:r>
      <w:r w:rsidR="00ED2076" w:rsidRPr="006B392D">
        <w:t>the Jemena</w:t>
      </w:r>
      <w:r w:rsidR="00BA1F5B" w:rsidRPr="006B392D">
        <w:t xml:space="preserve"> </w:t>
      </w:r>
      <w:r w:rsidR="007227D3" w:rsidRPr="006B392D">
        <w:t>area</w:t>
      </w:r>
      <w:r w:rsidR="00AD1D44" w:rsidRPr="006B392D">
        <w:t>,</w:t>
      </w:r>
      <w:r w:rsidR="007227D3" w:rsidRPr="006B392D">
        <w:t xml:space="preserve"> </w:t>
      </w:r>
      <w:r w:rsidR="00296ACA" w:rsidRPr="006B392D">
        <w:t>to</w:t>
      </w:r>
      <w:r w:rsidR="007227D3" w:rsidRPr="006B392D">
        <w:t xml:space="preserve"> $</w:t>
      </w:r>
      <w:r w:rsidR="00ED2076" w:rsidRPr="006B392D">
        <w:t>9</w:t>
      </w:r>
      <w:r w:rsidR="007C281D" w:rsidRPr="006B392D">
        <w:t>0</w:t>
      </w:r>
      <w:r w:rsidR="007227D3" w:rsidRPr="006B392D">
        <w:t xml:space="preserve"> higher in </w:t>
      </w:r>
      <w:r w:rsidR="00563CCC" w:rsidRPr="006B392D">
        <w:t xml:space="preserve">the </w:t>
      </w:r>
      <w:r w:rsidR="009934B9" w:rsidRPr="006B392D">
        <w:t>CitiPower</w:t>
      </w:r>
      <w:r w:rsidR="00563CCC" w:rsidRPr="006B392D">
        <w:t xml:space="preserve"> area</w:t>
      </w:r>
      <w:r w:rsidR="007227D3" w:rsidRPr="002E5DDE">
        <w:t xml:space="preserve"> (based on annual usage of 4,000 kilowatt hours).</w:t>
      </w:r>
    </w:p>
    <w:p w14:paraId="427E6308" w14:textId="375155B4" w:rsidR="004656ED" w:rsidRPr="002E5DDE" w:rsidRDefault="004656ED" w:rsidP="005E0D98">
      <w:pPr>
        <w:pStyle w:val="Pull-outBullet1"/>
        <w:pBdr>
          <w:bottom w:val="single" w:sz="48" w:space="4" w:color="B2CFDC" w:themeColor="text2" w:themeTint="66"/>
        </w:pBdr>
        <w:ind w:left="482"/>
      </w:pPr>
      <w:r w:rsidRPr="002E5DDE">
        <w:t xml:space="preserve">For small business customers on </w:t>
      </w:r>
      <w:r w:rsidR="00BD5604">
        <w:t>a</w:t>
      </w:r>
      <w:r w:rsidRPr="002E5DDE">
        <w:t xml:space="preserve"> flat tariff,</w:t>
      </w:r>
      <w:r w:rsidR="00296ACA" w:rsidRPr="002E5DDE" w:rsidDel="00665F63">
        <w:t xml:space="preserve"> </w:t>
      </w:r>
      <w:r w:rsidR="00296ACA" w:rsidRPr="002E5DDE">
        <w:t xml:space="preserve">the </w:t>
      </w:r>
      <w:r w:rsidRPr="002E5DDE">
        <w:t xml:space="preserve">Victorian Default Offer will be </w:t>
      </w:r>
      <w:r w:rsidR="00BA6614" w:rsidRPr="002E5DDE">
        <w:t>$</w:t>
      </w:r>
      <w:r w:rsidR="0094562B" w:rsidRPr="006B392D">
        <w:t>9</w:t>
      </w:r>
      <w:r w:rsidR="00BE0D63" w:rsidRPr="006B392D">
        <w:t>0</w:t>
      </w:r>
      <w:r w:rsidR="00BA6614" w:rsidRPr="002E5DDE">
        <w:t xml:space="preserve"> </w:t>
      </w:r>
      <w:r w:rsidR="003141C1" w:rsidRPr="002E5DDE">
        <w:t>(</w:t>
      </w:r>
      <w:r w:rsidR="00BA6614" w:rsidRPr="002E5DDE">
        <w:t xml:space="preserve">or </w:t>
      </w:r>
      <w:r w:rsidR="004E6FBC" w:rsidRPr="006B392D">
        <w:t>three</w:t>
      </w:r>
      <w:r w:rsidRPr="002E5DDE">
        <w:t> per cent</w:t>
      </w:r>
      <w:r w:rsidR="00C94C2C">
        <w:t>)</w:t>
      </w:r>
      <w:r w:rsidRPr="002E5DDE">
        <w:t xml:space="preserve"> </w:t>
      </w:r>
      <w:r w:rsidRPr="006B392D">
        <w:t>higher</w:t>
      </w:r>
      <w:r w:rsidR="003141C1" w:rsidRPr="002E5DDE">
        <w:t xml:space="preserve"> than in 2024–25</w:t>
      </w:r>
      <w:r w:rsidRPr="002E5DDE">
        <w:t xml:space="preserve"> (</w:t>
      </w:r>
      <w:r w:rsidR="003141C1" w:rsidRPr="002E5DDE">
        <w:t xml:space="preserve">based on an </w:t>
      </w:r>
      <w:r w:rsidRPr="002E5DDE">
        <w:t xml:space="preserve">average of the five distribution zones and based on annual usage of 10,000 kilowatt hours). </w:t>
      </w:r>
    </w:p>
    <w:p w14:paraId="6A94BF1E" w14:textId="3833B53F" w:rsidR="00E40592" w:rsidRPr="002E5DDE" w:rsidRDefault="00E40592" w:rsidP="005E0D98">
      <w:pPr>
        <w:pStyle w:val="Pull-outBullet1"/>
        <w:pBdr>
          <w:bottom w:val="single" w:sz="48" w:space="4" w:color="B2CFDC" w:themeColor="text2" w:themeTint="66"/>
        </w:pBdr>
        <w:ind w:left="482"/>
      </w:pPr>
      <w:r w:rsidRPr="002E5DDE">
        <w:t xml:space="preserve">Our </w:t>
      </w:r>
      <w:r w:rsidR="00BC40D7">
        <w:t>final</w:t>
      </w:r>
      <w:r w:rsidRPr="002E5DDE">
        <w:t xml:space="preserve"> decision shows the </w:t>
      </w:r>
      <w:r w:rsidR="00CB46CD">
        <w:t>increase</w:t>
      </w:r>
      <w:r w:rsidR="000B5FFC" w:rsidRPr="002E5DDE">
        <w:t>s</w:t>
      </w:r>
      <w:r w:rsidRPr="002E5DDE">
        <w:t xml:space="preserve"> in small business Victorian Default Offer </w:t>
      </w:r>
      <w:r w:rsidR="00C43A58">
        <w:t xml:space="preserve">customer </w:t>
      </w:r>
      <w:r w:rsidRPr="002E5DDE">
        <w:t>bills rang</w:t>
      </w:r>
      <w:r w:rsidR="000B5FFC" w:rsidRPr="002E5DDE">
        <w:t>e</w:t>
      </w:r>
      <w:r w:rsidRPr="002E5DDE">
        <w:t xml:space="preserve"> from </w:t>
      </w:r>
      <w:r w:rsidRPr="006B392D">
        <w:t>$</w:t>
      </w:r>
      <w:r w:rsidR="00D441DD" w:rsidRPr="006B392D">
        <w:t>1</w:t>
      </w:r>
      <w:r w:rsidR="008F43A7" w:rsidRPr="006B392D">
        <w:t>0</w:t>
      </w:r>
      <w:r w:rsidRPr="006B392D">
        <w:t xml:space="preserve"> in </w:t>
      </w:r>
      <w:r w:rsidR="0030584B" w:rsidRPr="006B392D">
        <w:t xml:space="preserve">the </w:t>
      </w:r>
      <w:r w:rsidR="00154FD9" w:rsidRPr="006B392D">
        <w:t>AusNet</w:t>
      </w:r>
      <w:r w:rsidRPr="006B392D">
        <w:t xml:space="preserve"> area</w:t>
      </w:r>
      <w:r w:rsidR="00E3420A" w:rsidRPr="006B392D">
        <w:t>,</w:t>
      </w:r>
      <w:r w:rsidRPr="006B392D">
        <w:t xml:space="preserve"> </w:t>
      </w:r>
      <w:r w:rsidR="000003B1" w:rsidRPr="006B392D">
        <w:t>to</w:t>
      </w:r>
      <w:r w:rsidRPr="006B392D">
        <w:t xml:space="preserve"> $</w:t>
      </w:r>
      <w:r w:rsidR="009475B0">
        <w:t>17</w:t>
      </w:r>
      <w:r w:rsidR="00575848">
        <w:t>7</w:t>
      </w:r>
      <w:r w:rsidR="00B000C0">
        <w:t xml:space="preserve"> </w:t>
      </w:r>
      <w:r w:rsidRPr="006B392D">
        <w:t xml:space="preserve">in </w:t>
      </w:r>
      <w:r w:rsidR="00392A48" w:rsidRPr="006B392D">
        <w:t xml:space="preserve">the </w:t>
      </w:r>
      <w:r w:rsidR="0072088C" w:rsidRPr="006B392D">
        <w:t>Powercor</w:t>
      </w:r>
      <w:r w:rsidRPr="002E5DDE">
        <w:t xml:space="preserve"> </w:t>
      </w:r>
      <w:r w:rsidR="00392A48">
        <w:t>area</w:t>
      </w:r>
      <w:r w:rsidRPr="002E5DDE">
        <w:t xml:space="preserve"> (based on annual usage of </w:t>
      </w:r>
      <w:r w:rsidR="00C22D29" w:rsidRPr="002E5DDE">
        <w:t>10</w:t>
      </w:r>
      <w:r w:rsidRPr="002E5DDE">
        <w:t>,000 kilowatt hours).</w:t>
      </w:r>
    </w:p>
    <w:p w14:paraId="56F6BA4F" w14:textId="73D969B4" w:rsidR="00B9319A" w:rsidRDefault="004656ED" w:rsidP="005E0D98">
      <w:pPr>
        <w:pStyle w:val="Pull-outBullet1"/>
        <w:pBdr>
          <w:bottom w:val="single" w:sz="48" w:space="4" w:color="B2CFDC" w:themeColor="text2" w:themeTint="66"/>
        </w:pBdr>
        <w:ind w:left="482"/>
      </w:pPr>
      <w:r w:rsidRPr="002E5DDE" w:rsidDel="00647DEF">
        <w:t>T</w:t>
      </w:r>
      <w:r w:rsidRPr="002E5DDE">
        <w:t xml:space="preserve">he </w:t>
      </w:r>
      <w:r w:rsidR="00191C78" w:rsidRPr="00440F0F">
        <w:t xml:space="preserve">slight </w:t>
      </w:r>
      <w:r w:rsidR="00B4570D" w:rsidRPr="00440F0F">
        <w:t xml:space="preserve">overall </w:t>
      </w:r>
      <w:r w:rsidRPr="00440F0F">
        <w:t>increase</w:t>
      </w:r>
      <w:r w:rsidRPr="002E5DDE">
        <w:t xml:space="preserve"> in </w:t>
      </w:r>
      <w:r w:rsidR="000003B1" w:rsidRPr="002E5DDE">
        <w:t>Victorian Default Offer</w:t>
      </w:r>
      <w:r w:rsidRPr="002E5DDE">
        <w:t xml:space="preserve"> </w:t>
      </w:r>
      <w:r w:rsidR="00687A52">
        <w:t xml:space="preserve">prices </w:t>
      </w:r>
      <w:r w:rsidR="00BD586A">
        <w:t>in 2025</w:t>
      </w:r>
      <w:r w:rsidR="001F3CBB">
        <w:t>–</w:t>
      </w:r>
      <w:r w:rsidR="00BD586A">
        <w:t xml:space="preserve">26 </w:t>
      </w:r>
      <w:r w:rsidRPr="002E5DDE">
        <w:t xml:space="preserve">is </w:t>
      </w:r>
      <w:r w:rsidR="00A46724">
        <w:t xml:space="preserve">mostly </w:t>
      </w:r>
      <w:r w:rsidR="008A2904" w:rsidRPr="00440F0F">
        <w:t xml:space="preserve">driven by </w:t>
      </w:r>
      <w:r w:rsidR="00237670" w:rsidRPr="00440F0F">
        <w:t>higher</w:t>
      </w:r>
      <w:r w:rsidR="008A2904" w:rsidRPr="00440F0F">
        <w:t xml:space="preserve"> </w:t>
      </w:r>
      <w:r w:rsidRPr="00440F0F">
        <w:t>network</w:t>
      </w:r>
      <w:r w:rsidR="00E3420A" w:rsidRPr="00440F0F">
        <w:t xml:space="preserve"> costs</w:t>
      </w:r>
      <w:r w:rsidRPr="00440F0F">
        <w:t xml:space="preserve">. </w:t>
      </w:r>
      <w:r w:rsidR="00105B50" w:rsidRPr="00440F0F">
        <w:t>These costs are pass</w:t>
      </w:r>
      <w:r w:rsidR="001D51CC" w:rsidRPr="00440F0F">
        <w:t>-</w:t>
      </w:r>
      <w:r w:rsidR="00105B50" w:rsidRPr="00440F0F">
        <w:t xml:space="preserve">through costs reflecting network tariffs </w:t>
      </w:r>
      <w:r w:rsidR="008446C4" w:rsidRPr="00440F0F">
        <w:t xml:space="preserve">and </w:t>
      </w:r>
      <w:r w:rsidR="00651C29" w:rsidRPr="00440F0F">
        <w:t>m</w:t>
      </w:r>
      <w:r w:rsidR="0047765E" w:rsidRPr="00440F0F">
        <w:t>etering charges</w:t>
      </w:r>
      <w:r w:rsidR="00105B50" w:rsidRPr="00440F0F">
        <w:t xml:space="preserve"> </w:t>
      </w:r>
      <w:r w:rsidR="001F3CBB" w:rsidRPr="00440F0F">
        <w:t>submitted to</w:t>
      </w:r>
      <w:r w:rsidR="00105B50" w:rsidRPr="00440F0F">
        <w:t xml:space="preserve"> the Australian Energy Regulator.</w:t>
      </w:r>
      <w:r w:rsidR="00105B50">
        <w:t xml:space="preserve"> </w:t>
      </w:r>
    </w:p>
    <w:p w14:paraId="265E5A9A" w14:textId="48CC6D59" w:rsidR="00ED18E3" w:rsidRDefault="00D130F3" w:rsidP="005E0D98">
      <w:pPr>
        <w:pStyle w:val="Pull-outBullet1"/>
        <w:pBdr>
          <w:bottom w:val="single" w:sz="48" w:space="4" w:color="B2CFDC" w:themeColor="text2" w:themeTint="66"/>
        </w:pBdr>
        <w:ind w:left="482"/>
      </w:pPr>
      <w:r w:rsidRPr="00D130F3">
        <w:t>Our final decision results in slightly higher average bills for Victorian Default Offer customers than estimated in our draft decision. This is due to increases in wholesale</w:t>
      </w:r>
      <w:r w:rsidR="00ED18E3">
        <w:t xml:space="preserve"> future contract prices </w:t>
      </w:r>
      <w:r w:rsidR="00B03BE9">
        <w:t xml:space="preserve">between our draft and final </w:t>
      </w:r>
      <w:r w:rsidRPr="00D130F3">
        <w:t>decision, resulting in a slight increase to the wholesale electricity cost component</w:t>
      </w:r>
      <w:r w:rsidR="00966A6C">
        <w:t>.</w:t>
      </w:r>
      <w:r w:rsidR="00BA3DB1">
        <w:t xml:space="preserve"> </w:t>
      </w:r>
    </w:p>
    <w:p w14:paraId="79D19F86" w14:textId="5A138E04" w:rsidR="0086249D" w:rsidRDefault="0086249D" w:rsidP="005E0D98">
      <w:pPr>
        <w:pStyle w:val="Pull-outBullet1"/>
        <w:pBdr>
          <w:bottom w:val="single" w:sz="48" w:space="4" w:color="B2CFDC" w:themeColor="text2" w:themeTint="66"/>
        </w:pBdr>
        <w:ind w:left="482"/>
      </w:pPr>
      <w:r w:rsidRPr="00440F0F">
        <w:t>Overall, most other Victorian Default Offer cost components have remained relatively constant</w:t>
      </w:r>
      <w:r w:rsidR="003561EA" w:rsidRPr="00440F0F">
        <w:t xml:space="preserve">, noting </w:t>
      </w:r>
      <w:r w:rsidR="00EE30D9" w:rsidRPr="00440F0F">
        <w:t xml:space="preserve">environmental costs </w:t>
      </w:r>
      <w:r w:rsidR="00151459" w:rsidRPr="00440F0F">
        <w:t xml:space="preserve">in </w:t>
      </w:r>
      <w:r w:rsidR="00785BD5" w:rsidRPr="00440F0F">
        <w:t>representative</w:t>
      </w:r>
      <w:r w:rsidR="00EE30D9" w:rsidRPr="00440F0F">
        <w:t xml:space="preserve"> domestic and small business customer bills</w:t>
      </w:r>
      <w:r w:rsidR="00C33AB4" w:rsidRPr="00440F0F">
        <w:t xml:space="preserve"> decreased </w:t>
      </w:r>
      <w:r w:rsidR="001626DE" w:rsidRPr="00440F0F">
        <w:t xml:space="preserve">in our </w:t>
      </w:r>
      <w:r w:rsidR="00F03250" w:rsidRPr="00440F0F">
        <w:t>final</w:t>
      </w:r>
      <w:r w:rsidR="001626DE" w:rsidRPr="00440F0F">
        <w:t xml:space="preserve"> decision</w:t>
      </w:r>
      <w:r w:rsidR="00440F0F" w:rsidRPr="00440F0F">
        <w:t xml:space="preserve"> mainly due to lower liability in Commonwealth programs and the removal of the social cost of carbon</w:t>
      </w:r>
      <w:r w:rsidR="00844019">
        <w:t>.</w:t>
      </w:r>
    </w:p>
    <w:p w14:paraId="357831CC" w14:textId="11524DA2" w:rsidR="004C3F76" w:rsidRDefault="00020D8E">
      <w:pPr>
        <w:pStyle w:val="Pull-outBullet1"/>
        <w:pBdr>
          <w:bottom w:val="single" w:sz="48" w:space="4" w:color="B2CFDC" w:themeColor="text2" w:themeTint="66"/>
        </w:pBdr>
        <w:ind w:left="482"/>
      </w:pPr>
      <w:r w:rsidRPr="00A95034">
        <w:t>In our draft decision w</w:t>
      </w:r>
      <w:r w:rsidR="00391234" w:rsidRPr="00A95034">
        <w:t>e</w:t>
      </w:r>
      <w:r w:rsidR="00844019" w:rsidRPr="00A95034" w:rsidDel="00D67F32">
        <w:t xml:space="preserve"> </w:t>
      </w:r>
      <w:r w:rsidR="00391234" w:rsidRPr="00A95034">
        <w:t>refined our</w:t>
      </w:r>
      <w:r w:rsidR="000261F1" w:rsidRPr="00A95034">
        <w:t xml:space="preserve"> methodology</w:t>
      </w:r>
      <w:r w:rsidR="00707565" w:rsidRPr="00A95034">
        <w:t xml:space="preserve"> for</w:t>
      </w:r>
      <w:r w:rsidR="000261F1" w:rsidRPr="00A95034">
        <w:t xml:space="preserve"> </w:t>
      </w:r>
      <w:r w:rsidR="00E60A55" w:rsidRPr="00A95034">
        <w:t>forecasting</w:t>
      </w:r>
      <w:r w:rsidR="000261F1" w:rsidRPr="00A95034">
        <w:t xml:space="preserve"> </w:t>
      </w:r>
      <w:r w:rsidR="00EB70A7" w:rsidRPr="00A95034">
        <w:t xml:space="preserve">wholesale </w:t>
      </w:r>
      <w:r w:rsidR="00F61394" w:rsidRPr="00A95034">
        <w:t>electr</w:t>
      </w:r>
      <w:r w:rsidR="00A1030C" w:rsidRPr="00A95034">
        <w:t>i</w:t>
      </w:r>
      <w:r w:rsidR="00F61394" w:rsidRPr="00A95034">
        <w:t>city</w:t>
      </w:r>
      <w:r w:rsidR="00866FA1" w:rsidRPr="00A95034">
        <w:t xml:space="preserve"> costs</w:t>
      </w:r>
      <w:r w:rsidR="00BA6617" w:rsidRPr="00A95034">
        <w:t xml:space="preserve"> </w:t>
      </w:r>
      <w:r w:rsidR="00701C33" w:rsidRPr="00A95034">
        <w:t>from our approach in previous default offers.</w:t>
      </w:r>
      <w:r w:rsidR="00BA6617" w:rsidRPr="00A95034">
        <w:t xml:space="preserve"> </w:t>
      </w:r>
      <w:r w:rsidR="00701C33" w:rsidRPr="00A95034">
        <w:t xml:space="preserve">We now </w:t>
      </w:r>
      <w:r w:rsidR="007D14D6" w:rsidRPr="00A95034">
        <w:t>us</w:t>
      </w:r>
      <w:r w:rsidR="00701C33" w:rsidRPr="00A95034">
        <w:t>e</w:t>
      </w:r>
      <w:r w:rsidR="007D14D6" w:rsidRPr="00A95034">
        <w:t xml:space="preserve"> load only </w:t>
      </w:r>
      <w:r w:rsidR="00D710C7" w:rsidRPr="00A95034">
        <w:t xml:space="preserve">interval </w:t>
      </w:r>
      <w:r w:rsidR="00413FBF" w:rsidRPr="00A95034">
        <w:t xml:space="preserve">metering </w:t>
      </w:r>
      <w:r w:rsidR="00D710C7" w:rsidRPr="00A95034">
        <w:t>data</w:t>
      </w:r>
      <w:r w:rsidR="002E3A7F" w:rsidRPr="00A95034">
        <w:t xml:space="preserve"> (excluding exports)</w:t>
      </w:r>
      <w:r w:rsidR="00D710C7" w:rsidRPr="00A95034">
        <w:t xml:space="preserve"> </w:t>
      </w:r>
      <w:r w:rsidR="000A57C7" w:rsidRPr="00A95034">
        <w:t>to</w:t>
      </w:r>
      <w:r w:rsidR="00D710C7" w:rsidRPr="00A95034">
        <w:t xml:space="preserve"> estimat</w:t>
      </w:r>
      <w:r w:rsidR="000A57C7" w:rsidRPr="00A95034">
        <w:t>e</w:t>
      </w:r>
      <w:r w:rsidR="00D710C7" w:rsidRPr="00A95034">
        <w:t xml:space="preserve"> customer</w:t>
      </w:r>
      <w:r w:rsidR="000A57C7" w:rsidRPr="00A95034">
        <w:t xml:space="preserve"> load profiles</w:t>
      </w:r>
      <w:r w:rsidR="002C54C2" w:rsidRPr="00A95034">
        <w:t>.</w:t>
      </w:r>
      <w:r w:rsidR="00F1698E" w:rsidRPr="00A95034">
        <w:t xml:space="preserve"> </w:t>
      </w:r>
      <w:r w:rsidR="00796557" w:rsidRPr="00A95034">
        <w:t>This</w:t>
      </w:r>
      <w:r w:rsidR="00AD0936" w:rsidRPr="00A95034">
        <w:t xml:space="preserve"> reflects</w:t>
      </w:r>
      <w:r w:rsidR="007B72F9" w:rsidRPr="00A95034">
        <w:t xml:space="preserve"> new </w:t>
      </w:r>
      <w:r w:rsidR="004D19A5" w:rsidRPr="00A95034">
        <w:t xml:space="preserve">data </w:t>
      </w:r>
      <w:r w:rsidR="007B72F9" w:rsidRPr="00A95034">
        <w:t xml:space="preserve">that has become available which improves our estimate of </w:t>
      </w:r>
      <w:r w:rsidR="00626841" w:rsidRPr="00A95034">
        <w:t xml:space="preserve">efficient </w:t>
      </w:r>
      <w:r w:rsidR="007B72F9" w:rsidRPr="00A95034">
        <w:t>retailer</w:t>
      </w:r>
      <w:r w:rsidR="00254F28" w:rsidRPr="00A95034">
        <w:t xml:space="preserve"> </w:t>
      </w:r>
      <w:r w:rsidR="007B72F9" w:rsidRPr="00A95034">
        <w:t>costs</w:t>
      </w:r>
      <w:r w:rsidR="004656ED" w:rsidRPr="000B7FB5">
        <w:t>.</w:t>
      </w:r>
      <w:r w:rsidR="004D19A5">
        <w:t xml:space="preserve"> </w:t>
      </w:r>
      <w:r w:rsidR="00F30042">
        <w:t xml:space="preserve">We have continued this approach for our final decision. </w:t>
      </w:r>
    </w:p>
    <w:p w14:paraId="6DC583F5" w14:textId="0D048883" w:rsidR="00275BA7" w:rsidRPr="001D7FF1" w:rsidRDefault="00385C03" w:rsidP="008C086D">
      <w:pPr>
        <w:pStyle w:val="Pull-outBullet1"/>
        <w:pBdr>
          <w:bottom w:val="single" w:sz="48" w:space="4" w:color="B2CFDC" w:themeColor="text2" w:themeTint="66"/>
        </w:pBdr>
        <w:ind w:left="482"/>
      </w:pPr>
      <w:r>
        <w:lastRenderedPageBreak/>
        <w:t xml:space="preserve">Our use of a load only </w:t>
      </w:r>
      <w:r w:rsidR="00517C3B" w:rsidRPr="001D7FF1">
        <w:t>profile</w:t>
      </w:r>
      <w:r w:rsidR="00621265" w:rsidRPr="001D7FF1">
        <w:t>, combined with the recent legislative change to remove the mand</w:t>
      </w:r>
      <w:r w:rsidR="00874DCA" w:rsidRPr="001D7FF1">
        <w:t>atory regulated minimum feed-in tariff</w:t>
      </w:r>
      <w:r w:rsidR="00B43273" w:rsidRPr="001D7FF1">
        <w:t>,</w:t>
      </w:r>
      <w:r w:rsidR="00436BD8" w:rsidRPr="001D7FF1">
        <w:t xml:space="preserve"> </w:t>
      </w:r>
      <w:r w:rsidR="00262072" w:rsidRPr="001D7FF1">
        <w:t>means we have now</w:t>
      </w:r>
      <w:r w:rsidR="00A95034" w:rsidRPr="001D7FF1">
        <w:t xml:space="preserve"> accounted for </w:t>
      </w:r>
      <w:r w:rsidR="00213246" w:rsidRPr="001D7FF1">
        <w:t>a</w:t>
      </w:r>
      <w:r w:rsidR="00A95034" w:rsidRPr="001D7FF1">
        <w:t xml:space="preserve"> wholesale electricity cost of exports in our final decision</w:t>
      </w:r>
      <w:r w:rsidR="003134B4" w:rsidRPr="001D7FF1">
        <w:t>.</w:t>
      </w:r>
    </w:p>
    <w:p w14:paraId="75679FEF" w14:textId="5F47F412" w:rsidR="00F029E9" w:rsidRDefault="0095653D" w:rsidP="008C086D">
      <w:pPr>
        <w:pStyle w:val="Pull-outBullet1"/>
        <w:pBdr>
          <w:bottom w:val="single" w:sz="48" w:space="4" w:color="B2CFDC" w:themeColor="text2" w:themeTint="66"/>
        </w:pBdr>
        <w:ind w:left="482"/>
      </w:pPr>
      <w:r w:rsidRPr="001D7FF1">
        <w:t xml:space="preserve">The </w:t>
      </w:r>
      <w:r w:rsidR="00391872" w:rsidRPr="001D7FF1">
        <w:t xml:space="preserve">wholesale </w:t>
      </w:r>
      <w:r w:rsidR="00324D7F" w:rsidRPr="001D7FF1">
        <w:t>electr</w:t>
      </w:r>
      <w:r w:rsidR="004D7ACC" w:rsidRPr="001D7FF1">
        <w:t>i</w:t>
      </w:r>
      <w:r w:rsidR="00324D7F" w:rsidRPr="001D7FF1">
        <w:t xml:space="preserve">city </w:t>
      </w:r>
      <w:r w:rsidR="00391872" w:rsidRPr="001D7FF1">
        <w:t>cost comp</w:t>
      </w:r>
      <w:r w:rsidR="007832C0" w:rsidRPr="001D7FF1">
        <w:t>o</w:t>
      </w:r>
      <w:r w:rsidR="00391872" w:rsidRPr="001D7FF1">
        <w:t>nent</w:t>
      </w:r>
      <w:r w:rsidR="00777162" w:rsidRPr="001D7FF1">
        <w:t xml:space="preserve"> </w:t>
      </w:r>
      <w:r w:rsidR="00170B40" w:rsidRPr="001D7FF1">
        <w:t xml:space="preserve">is </w:t>
      </w:r>
      <w:r w:rsidR="00CD1C8D" w:rsidRPr="001D7FF1">
        <w:t>slighter higher</w:t>
      </w:r>
      <w:r w:rsidR="00170B40" w:rsidRPr="001D7FF1">
        <w:t xml:space="preserve"> in</w:t>
      </w:r>
      <w:r w:rsidR="005A55BE" w:rsidRPr="001D7FF1">
        <w:t xml:space="preserve"> the</w:t>
      </w:r>
      <w:r w:rsidR="005A55BE" w:rsidRPr="00537A10">
        <w:t xml:space="preserve"> 2025</w:t>
      </w:r>
      <w:r w:rsidR="00BA5C02" w:rsidRPr="00537A10">
        <w:t>–</w:t>
      </w:r>
      <w:r w:rsidR="005A55BE" w:rsidRPr="00537A10">
        <w:t>26 Victorian Default Offer</w:t>
      </w:r>
      <w:r w:rsidR="008252F9" w:rsidRPr="00537A10">
        <w:t xml:space="preserve"> for </w:t>
      </w:r>
      <w:r w:rsidR="005B27E1" w:rsidRPr="00537A10">
        <w:t xml:space="preserve">average </w:t>
      </w:r>
      <w:r w:rsidR="008252F9" w:rsidRPr="00537A10">
        <w:t>domestic customers</w:t>
      </w:r>
      <w:r w:rsidR="00114C54" w:rsidRPr="00537A10">
        <w:t xml:space="preserve"> compared to 202</w:t>
      </w:r>
      <w:r w:rsidR="41D2DB77" w:rsidRPr="00537A10">
        <w:t>4</w:t>
      </w:r>
      <w:r w:rsidR="00114C54" w:rsidRPr="00537A10">
        <w:t>–25</w:t>
      </w:r>
      <w:r w:rsidR="006B24A2" w:rsidRPr="00537A10">
        <w:t>.</w:t>
      </w:r>
      <w:r w:rsidR="004316E2" w:rsidRPr="00537A10">
        <w:t xml:space="preserve"> </w:t>
      </w:r>
      <w:r w:rsidR="00114C54" w:rsidRPr="00537A10">
        <w:t>W</w:t>
      </w:r>
      <w:r w:rsidR="00F029E9" w:rsidRPr="00537A10">
        <w:t>holesale electricity cost</w:t>
      </w:r>
      <w:r w:rsidR="00141138" w:rsidRPr="00537A10">
        <w:t xml:space="preserve"> movements</w:t>
      </w:r>
      <w:r w:rsidR="00A35876" w:rsidRPr="00537A10">
        <w:t xml:space="preserve"> </w:t>
      </w:r>
      <w:r w:rsidR="001E15E3" w:rsidRPr="00537A10">
        <w:t xml:space="preserve">vary across </w:t>
      </w:r>
      <w:r w:rsidR="00332E57" w:rsidRPr="00537A10">
        <w:t xml:space="preserve">Victoria’s five </w:t>
      </w:r>
      <w:r w:rsidR="001E15E3" w:rsidRPr="00537A10">
        <w:t>distribution zones</w:t>
      </w:r>
      <w:r w:rsidR="00F029E9" w:rsidRPr="00F029E9">
        <w:t>.</w:t>
      </w:r>
    </w:p>
    <w:p w14:paraId="2F432137" w14:textId="6836EDBE" w:rsidR="001026D2" w:rsidRDefault="002271DC" w:rsidP="00C1349B">
      <w:pPr>
        <w:pStyle w:val="Pull-outBullet1"/>
        <w:pBdr>
          <w:bottom w:val="single" w:sz="48" w:space="4" w:color="B2CFDC" w:themeColor="text2" w:themeTint="66"/>
        </w:pBdr>
        <w:ind w:left="482"/>
      </w:pPr>
      <w:r>
        <w:t>Consistent with our draft decision</w:t>
      </w:r>
      <w:r w:rsidR="0094661B">
        <w:t>,</w:t>
      </w:r>
      <w:r w:rsidR="001026D2">
        <w:t xml:space="preserve"> we have</w:t>
      </w:r>
      <w:r w:rsidR="001026D2" w:rsidRPr="00D65D2E">
        <w:t xml:space="preserve"> </w:t>
      </w:r>
      <w:r w:rsidR="0094661B" w:rsidRPr="00D65D2E">
        <w:t>reduce</w:t>
      </w:r>
      <w:r w:rsidR="00637F29" w:rsidRPr="00D65D2E">
        <w:t>d</w:t>
      </w:r>
      <w:r w:rsidR="0094661B" w:rsidRPr="00D65D2E">
        <w:t xml:space="preserve"> the retail operating margin to </w:t>
      </w:r>
      <w:r w:rsidR="00BE4A70">
        <w:t>5</w:t>
      </w:r>
      <w:r w:rsidR="000211AB" w:rsidRPr="00D65D2E">
        <w:t xml:space="preserve"> per cent</w:t>
      </w:r>
      <w:r w:rsidR="0094661B" w:rsidRPr="00D65D2E">
        <w:t xml:space="preserve"> of the total Victorian Default Offer cost stack</w:t>
      </w:r>
      <w:r w:rsidR="00EE48E1" w:rsidRPr="00D65D2E">
        <w:t>, down from 5.3</w:t>
      </w:r>
      <w:r w:rsidR="00403CB7" w:rsidRPr="00D65D2E">
        <w:t xml:space="preserve"> per cent</w:t>
      </w:r>
      <w:r w:rsidR="00EE48E1" w:rsidRPr="00D65D2E">
        <w:t xml:space="preserve"> in 2024</w:t>
      </w:r>
      <w:r w:rsidR="00807765" w:rsidRPr="00D65D2E">
        <w:t>–</w:t>
      </w:r>
      <w:r w:rsidR="00EE48E1" w:rsidRPr="00D65D2E">
        <w:t>25</w:t>
      </w:r>
      <w:r w:rsidR="00C625E2" w:rsidRPr="00D65D2E">
        <w:t>.</w:t>
      </w:r>
      <w:r w:rsidR="0094661B">
        <w:t xml:space="preserve"> </w:t>
      </w:r>
    </w:p>
    <w:p w14:paraId="64C09AAE" w14:textId="0EF4B2C6" w:rsidR="004656ED" w:rsidRPr="002E5DDE" w:rsidRDefault="00C34905" w:rsidP="00C1349B">
      <w:pPr>
        <w:pStyle w:val="Pull-outBullet1"/>
        <w:pBdr>
          <w:bottom w:val="single" w:sz="48" w:space="4" w:color="B2CFDC" w:themeColor="text2" w:themeTint="66"/>
        </w:pBdr>
        <w:ind w:left="482"/>
      </w:pPr>
      <w:r w:rsidRPr="00654513">
        <w:t>The final decision</w:t>
      </w:r>
      <w:r w:rsidR="00156089" w:rsidRPr="00654513">
        <w:t xml:space="preserve"> has</w:t>
      </w:r>
      <w:r w:rsidR="004656ED" w:rsidRPr="00654513">
        <w:t xml:space="preserve"> </w:t>
      </w:r>
      <w:r w:rsidR="00EA7761" w:rsidRPr="00654513">
        <w:t>use</w:t>
      </w:r>
      <w:r w:rsidR="00C77796" w:rsidRPr="00654513">
        <w:t>d</w:t>
      </w:r>
      <w:r w:rsidR="00EA7761" w:rsidRPr="00654513">
        <w:t xml:space="preserve"> </w:t>
      </w:r>
      <w:r w:rsidR="004656ED" w:rsidRPr="00654513">
        <w:t>update</w:t>
      </w:r>
      <w:r w:rsidR="00EA7761" w:rsidRPr="00654513">
        <w:t>d</w:t>
      </w:r>
      <w:r w:rsidR="004656ED" w:rsidRPr="00654513" w:rsidDel="00076677">
        <w:t xml:space="preserve"> </w:t>
      </w:r>
      <w:r w:rsidR="00AB070F" w:rsidRPr="00654513">
        <w:t xml:space="preserve">data </w:t>
      </w:r>
      <w:r w:rsidR="00613130" w:rsidRPr="00654513">
        <w:t>inputs</w:t>
      </w:r>
      <w:r w:rsidR="00C410D0" w:rsidRPr="00654513">
        <w:t xml:space="preserve"> where available</w:t>
      </w:r>
      <w:r w:rsidR="00076677" w:rsidRPr="00654513">
        <w:t xml:space="preserve"> to determine the </w:t>
      </w:r>
      <w:r w:rsidR="0057148C" w:rsidRPr="00654513">
        <w:t>2025</w:t>
      </w:r>
      <w:r w:rsidR="003C1CA2" w:rsidRPr="00654513">
        <w:t>–</w:t>
      </w:r>
      <w:r w:rsidR="0057148C" w:rsidRPr="00654513">
        <w:t>26 Victorian Default Offer cost stack</w:t>
      </w:r>
      <w:r w:rsidR="004656ED" w:rsidRPr="002E5DDE">
        <w:t>.</w:t>
      </w:r>
    </w:p>
    <w:p w14:paraId="0DF1E9E0" w14:textId="32C2145E" w:rsidR="00902ACE" w:rsidRPr="002E5DDE" w:rsidRDefault="00902ACE" w:rsidP="00902ACE">
      <w:pPr>
        <w:pStyle w:val="Heading2"/>
      </w:pPr>
      <w:bookmarkStart w:id="14" w:name="_Toc160817004"/>
      <w:bookmarkStart w:id="15" w:name="_Toc191027345"/>
      <w:bookmarkStart w:id="16" w:name="_Toc198808316"/>
      <w:r w:rsidRPr="002E5DDE">
        <w:t xml:space="preserve">The Victorian Default Offer </w:t>
      </w:r>
      <w:bookmarkEnd w:id="14"/>
      <w:bookmarkEnd w:id="15"/>
      <w:r w:rsidR="00644AC0">
        <w:t>provid</w:t>
      </w:r>
      <w:r w:rsidR="0052529A">
        <w:t>es</w:t>
      </w:r>
      <w:r w:rsidR="00644AC0">
        <w:t xml:space="preserve"> a safeguard for customers</w:t>
      </w:r>
      <w:bookmarkEnd w:id="16"/>
    </w:p>
    <w:p w14:paraId="5B3A824B" w14:textId="67F1D746" w:rsidR="00080222" w:rsidRDefault="00CB3D85" w:rsidP="00EB0134">
      <w:r>
        <w:t>The</w:t>
      </w:r>
      <w:r w:rsidR="00AD5A51">
        <w:t xml:space="preserve"> objective </w:t>
      </w:r>
      <w:r>
        <w:t>of the Vic</w:t>
      </w:r>
      <w:r w:rsidR="00A25AC6">
        <w:t>t</w:t>
      </w:r>
      <w:r>
        <w:t xml:space="preserve">orian Default Offer </w:t>
      </w:r>
      <w:r w:rsidR="00AD5A51">
        <w:t>is to provide</w:t>
      </w:r>
      <w:r w:rsidR="001414B8">
        <w:t xml:space="preserve"> a simple, trusted and reasonably priced electricity option that safeguards consumers unable or unwilling to engage in the electricity retail market.</w:t>
      </w:r>
      <w:r w:rsidR="001865EB">
        <w:rPr>
          <w:rStyle w:val="FootnoteReference"/>
        </w:rPr>
        <w:footnoteReference w:id="2"/>
      </w:r>
      <w:r w:rsidR="00A923DF">
        <w:t xml:space="preserve"> </w:t>
      </w:r>
      <w:r w:rsidR="001414B8">
        <w:t xml:space="preserve">The Victorian Default Offer </w:t>
      </w:r>
      <w:r w:rsidR="007672AC">
        <w:t>sets</w:t>
      </w:r>
      <w:r w:rsidR="001414B8">
        <w:t xml:space="preserve"> the maximum price</w:t>
      </w:r>
      <w:r w:rsidR="007672AC">
        <w:t>s</w:t>
      </w:r>
      <w:r w:rsidR="001414B8">
        <w:t xml:space="preserve"> a retailer can charge for electr</w:t>
      </w:r>
      <w:r w:rsidR="00C12C50">
        <w:t>i</w:t>
      </w:r>
      <w:r w:rsidR="001414B8">
        <w:t>city sold to domestic and small business customers in Victoria</w:t>
      </w:r>
      <w:r w:rsidR="009B4674">
        <w:t>,</w:t>
      </w:r>
      <w:r w:rsidR="001414B8">
        <w:t xml:space="preserve"> </w:t>
      </w:r>
      <w:r w:rsidR="0052529A">
        <w:t xml:space="preserve">who are </w:t>
      </w:r>
      <w:r w:rsidR="001414B8">
        <w:t>on a standing offer.</w:t>
      </w:r>
      <w:r w:rsidR="002A34CA" w:rsidRPr="002E5DDE">
        <w:rPr>
          <w:rStyle w:val="FootnoteReference"/>
        </w:rPr>
        <w:footnoteReference w:id="3"/>
      </w:r>
      <w:r w:rsidR="002A34CA" w:rsidRPr="002E5DDE">
        <w:t xml:space="preserve"> </w:t>
      </w:r>
    </w:p>
    <w:p w14:paraId="6656DDF0" w14:textId="00247757" w:rsidR="005E1A47" w:rsidRPr="00D556BA" w:rsidRDefault="005E1A47" w:rsidP="00610F02">
      <w:pPr>
        <w:pStyle w:val="Heading3"/>
      </w:pPr>
      <w:r w:rsidRPr="00D556BA">
        <w:t>Standing offers</w:t>
      </w:r>
    </w:p>
    <w:p w14:paraId="34E5D66A" w14:textId="0FA8997B" w:rsidR="00E81D34" w:rsidRDefault="00E81D34" w:rsidP="00E81D34">
      <w:r>
        <w:t xml:space="preserve">The Victorian Default Offer applies to standing offers only. Standing offers </w:t>
      </w:r>
      <w:r w:rsidDel="0059734A">
        <w:t xml:space="preserve">for electricity </w:t>
      </w:r>
      <w:r>
        <w:t xml:space="preserve">are offers to supply and sell electricity that electricity retailers must make available to domestic and small business customers under section 35 of the </w:t>
      </w:r>
      <w:r w:rsidRPr="00D93F38">
        <w:rPr>
          <w:i/>
          <w:iCs/>
        </w:rPr>
        <w:t>Electricity Industry Act 2000</w:t>
      </w:r>
      <w:r>
        <w:t xml:space="preserve">. A standing offer will apply if a customer has: </w:t>
      </w:r>
    </w:p>
    <w:p w14:paraId="1ED22F2B" w14:textId="77777777" w:rsidR="005E1A47" w:rsidRPr="000C674A" w:rsidRDefault="005E1A47" w:rsidP="00D556BA">
      <w:pPr>
        <w:pStyle w:val="ListBullet"/>
        <w:numPr>
          <w:ilvl w:val="0"/>
          <w:numId w:val="66"/>
        </w:numPr>
      </w:pPr>
      <w:r w:rsidRPr="000C674A">
        <w:t>never signed up for an electricity contract</w:t>
      </w:r>
    </w:p>
    <w:p w14:paraId="00683661" w14:textId="77777777" w:rsidR="005E1A47" w:rsidRPr="000C674A" w:rsidRDefault="005E1A47" w:rsidP="00D556BA">
      <w:pPr>
        <w:pStyle w:val="ListBullet"/>
        <w:numPr>
          <w:ilvl w:val="0"/>
          <w:numId w:val="66"/>
        </w:numPr>
      </w:pPr>
      <w:proofErr w:type="gramStart"/>
      <w:r w:rsidRPr="000C674A">
        <w:t>entered into</w:t>
      </w:r>
      <w:proofErr w:type="gramEnd"/>
      <w:r w:rsidRPr="000C674A">
        <w:t xml:space="preserve"> an electricity contract, cancelled the contract within the cooling-off period, but continues to use electricity without </w:t>
      </w:r>
      <w:proofErr w:type="gramStart"/>
      <w:r w:rsidRPr="000C674A">
        <w:t>entering into</w:t>
      </w:r>
      <w:proofErr w:type="gramEnd"/>
      <w:r w:rsidRPr="000C674A">
        <w:t xml:space="preserve"> a new contract</w:t>
      </w:r>
    </w:p>
    <w:p w14:paraId="38FACBBB" w14:textId="77777777" w:rsidR="005E1A47" w:rsidRPr="000C674A" w:rsidRDefault="005E1A47" w:rsidP="00D556BA">
      <w:pPr>
        <w:pStyle w:val="ListBullet"/>
        <w:numPr>
          <w:ilvl w:val="0"/>
          <w:numId w:val="66"/>
        </w:numPr>
      </w:pPr>
      <w:r w:rsidRPr="000C674A">
        <w:t xml:space="preserve">moved into a new address and uses electricity without </w:t>
      </w:r>
      <w:proofErr w:type="gramStart"/>
      <w:r w:rsidRPr="000C674A">
        <w:t>entering into</w:t>
      </w:r>
      <w:proofErr w:type="gramEnd"/>
      <w:r w:rsidRPr="000C674A">
        <w:t xml:space="preserve"> a contract</w:t>
      </w:r>
    </w:p>
    <w:p w14:paraId="08668A06" w14:textId="77777777" w:rsidR="005E1A47" w:rsidRPr="002E5DDE" w:rsidRDefault="005E1A47" w:rsidP="00D556BA">
      <w:pPr>
        <w:pStyle w:val="ListBullet"/>
        <w:numPr>
          <w:ilvl w:val="0"/>
          <w:numId w:val="66"/>
        </w:numPr>
      </w:pPr>
      <w:r w:rsidRPr="000C674A">
        <w:t xml:space="preserve">specifically </w:t>
      </w:r>
      <w:r w:rsidRPr="002E5DDE">
        <w:t>asked for a standing offer</w:t>
      </w:r>
    </w:p>
    <w:p w14:paraId="60C9B5CF" w14:textId="77777777" w:rsidR="005E1A47" w:rsidRPr="00F52FD1" w:rsidRDefault="005E1A47" w:rsidP="00D556BA">
      <w:pPr>
        <w:pStyle w:val="ListBullet"/>
        <w:numPr>
          <w:ilvl w:val="0"/>
          <w:numId w:val="66"/>
        </w:numPr>
      </w:pPr>
      <w:r w:rsidRPr="00F52FD1">
        <w:t xml:space="preserve">moved onto a standing offer after their market offer contract came to an end. </w:t>
      </w:r>
    </w:p>
    <w:p w14:paraId="3550B7CB" w14:textId="45768367" w:rsidR="005E1A47" w:rsidRPr="00F52FD1" w:rsidRDefault="005E1A47" w:rsidP="00DC70D3">
      <w:r w:rsidRPr="00F52FD1">
        <w:lastRenderedPageBreak/>
        <w:t xml:space="preserve">Most customers are not on standing offers and are not directly affected by this decision. In Victoria around </w:t>
      </w:r>
      <w:r w:rsidR="00AA59A7" w:rsidRPr="00F52FD1">
        <w:t>34</w:t>
      </w:r>
      <w:r w:rsidR="004E1D73" w:rsidRPr="00F52FD1">
        <w:t>8</w:t>
      </w:r>
      <w:r w:rsidR="00AA59A7" w:rsidRPr="00F52FD1">
        <w:t>,000</w:t>
      </w:r>
      <w:r w:rsidRPr="00F52FD1">
        <w:t xml:space="preserve"> (or </w:t>
      </w:r>
      <w:r w:rsidR="00AA59A7" w:rsidRPr="00F52FD1">
        <w:t>12</w:t>
      </w:r>
      <w:r w:rsidR="005800EA" w:rsidRPr="00F52FD1">
        <w:t xml:space="preserve"> </w:t>
      </w:r>
      <w:r w:rsidRPr="00F52FD1">
        <w:t xml:space="preserve">per cent of) households and </w:t>
      </w:r>
      <w:r w:rsidR="00E007CC" w:rsidRPr="00F52FD1">
        <w:t>5</w:t>
      </w:r>
      <w:r w:rsidR="00EF15EF" w:rsidRPr="00F52FD1">
        <w:t>5</w:t>
      </w:r>
      <w:r w:rsidR="00E007CC" w:rsidRPr="00F52FD1">
        <w:t>,000</w:t>
      </w:r>
      <w:r w:rsidRPr="00F52FD1">
        <w:t xml:space="preserve"> (or </w:t>
      </w:r>
      <w:r w:rsidR="00E007CC" w:rsidRPr="00F52FD1">
        <w:t>19</w:t>
      </w:r>
      <w:r w:rsidRPr="00F52FD1">
        <w:t xml:space="preserve"> per cent of) small businesses are on standing offers.</w:t>
      </w:r>
      <w:r w:rsidRPr="00F52FD1">
        <w:rPr>
          <w:rStyle w:val="FootnoteReference"/>
        </w:rPr>
        <w:footnoteReference w:id="4"/>
      </w:r>
      <w:r w:rsidRPr="00F52FD1">
        <w:t xml:space="preserve"> </w:t>
      </w:r>
    </w:p>
    <w:p w14:paraId="05F964A0" w14:textId="6285BEFB" w:rsidR="0092360A" w:rsidRPr="00F52FD1" w:rsidRDefault="0092360A" w:rsidP="00610F02">
      <w:pPr>
        <w:pStyle w:val="Heading3"/>
      </w:pPr>
      <w:r w:rsidRPr="00F52FD1">
        <w:t>Embedded network customers</w:t>
      </w:r>
    </w:p>
    <w:p w14:paraId="4F7B80F5" w14:textId="6E9BCDBF" w:rsidR="00DC70D3" w:rsidRDefault="00236615" w:rsidP="00DC70D3">
      <w:r w:rsidRPr="00F52FD1">
        <w:t xml:space="preserve">The Victorian Default Offer also applies as a maximum price for most embedded network customers (covering around </w:t>
      </w:r>
      <w:r w:rsidR="008405AF" w:rsidRPr="00F52FD1">
        <w:t>1</w:t>
      </w:r>
      <w:r w:rsidR="00F575A8" w:rsidRPr="00F52FD1">
        <w:t>90</w:t>
      </w:r>
      <w:r w:rsidR="008405AF" w:rsidRPr="00F52FD1">
        <w:t>,000</w:t>
      </w:r>
      <w:r w:rsidRPr="00F52FD1">
        <w:t xml:space="preserve"> customers</w:t>
      </w:r>
      <w:r w:rsidRPr="00236615">
        <w:t>).</w:t>
      </w:r>
      <w:r w:rsidR="00AB1E22">
        <w:rPr>
          <w:rStyle w:val="FootnoteReference"/>
        </w:rPr>
        <w:footnoteReference w:id="5"/>
      </w:r>
      <w:r w:rsidRPr="00236615">
        <w:t xml:space="preserve"> Electricity providers in embedded networks may set prices below the Victorian Default Offer. Embedded networks supply electricity for many domestic and small business customers in apartment buildings, caravan parks</w:t>
      </w:r>
      <w:r w:rsidR="00156089">
        <w:t>, retirement villages</w:t>
      </w:r>
      <w:r w:rsidRPr="00236615">
        <w:t xml:space="preserve"> or office spaces.</w:t>
      </w:r>
    </w:p>
    <w:p w14:paraId="1C2E1CFC" w14:textId="6647E2FD" w:rsidR="003638EB" w:rsidRDefault="006266D7" w:rsidP="003638EB">
      <w:pPr>
        <w:pStyle w:val="Heading2"/>
      </w:pPr>
      <w:bookmarkStart w:id="17" w:name="_Toc198808317"/>
      <w:bookmarkStart w:id="18" w:name="_Toc160817007"/>
      <w:bookmarkStart w:id="19" w:name="_Toc191027348"/>
      <w:r>
        <w:t>T</w:t>
      </w:r>
      <w:r w:rsidR="001331C8">
        <w:t>he Victorian Default Offer</w:t>
      </w:r>
      <w:r w:rsidR="003638EB">
        <w:t xml:space="preserve"> </w:t>
      </w:r>
      <w:r>
        <w:t xml:space="preserve">is </w:t>
      </w:r>
      <w:r w:rsidR="003638EB">
        <w:t xml:space="preserve">based on efficient </w:t>
      </w:r>
      <w:r>
        <w:t xml:space="preserve">retailer </w:t>
      </w:r>
      <w:r w:rsidR="003638EB">
        <w:t>costs</w:t>
      </w:r>
      <w:bookmarkEnd w:id="17"/>
    </w:p>
    <w:p w14:paraId="301AA785" w14:textId="583547E6" w:rsidR="003638EB" w:rsidRDefault="007D7E16" w:rsidP="003638EB">
      <w:r w:rsidRPr="007D7E16">
        <w:t xml:space="preserve">The Victorian Default Offer was introduced by the Victorian Government in 2019 by an order made under section 13 of the </w:t>
      </w:r>
      <w:r w:rsidRPr="00AB38A6">
        <w:rPr>
          <w:i/>
        </w:rPr>
        <w:t xml:space="preserve">Electricity Industry Act </w:t>
      </w:r>
      <w:r w:rsidRPr="007D7E16">
        <w:t>(pricing order).</w:t>
      </w:r>
      <w:r w:rsidR="00E35A20">
        <w:rPr>
          <w:rStyle w:val="FootnoteReference"/>
        </w:rPr>
        <w:footnoteReference w:id="6"/>
      </w:r>
      <w:r w:rsidRPr="007D7E16">
        <w:t xml:space="preserve"> Under the pricing order, we </w:t>
      </w:r>
      <w:r w:rsidR="00A65C77">
        <w:t>must</w:t>
      </w:r>
      <w:r w:rsidR="001C2341">
        <w:t xml:space="preserve"> </w:t>
      </w:r>
      <w:r w:rsidR="00545CAC">
        <w:t>set</w:t>
      </w:r>
      <w:r w:rsidR="001C2341">
        <w:t xml:space="preserve"> </w:t>
      </w:r>
      <w:r w:rsidR="00072F3B">
        <w:t xml:space="preserve">the </w:t>
      </w:r>
      <w:r w:rsidRPr="007D7E16">
        <w:t xml:space="preserve">Victorian Default Offer </w:t>
      </w:r>
      <w:r w:rsidR="00493D92">
        <w:t xml:space="preserve">each year, </w:t>
      </w:r>
      <w:r w:rsidR="005655BD">
        <w:t>based on</w:t>
      </w:r>
      <w:r w:rsidR="00B8113B">
        <w:t xml:space="preserve"> </w:t>
      </w:r>
      <w:r w:rsidR="003638EB">
        <w:t>the efficient costs of the sale of electricity by a retailer</w:t>
      </w:r>
      <w:r w:rsidR="00C17F37">
        <w:t>, having regard to specific cost comp</w:t>
      </w:r>
      <w:r w:rsidR="00026FDF">
        <w:t>o</w:t>
      </w:r>
      <w:r w:rsidR="00C17F37">
        <w:t>nents</w:t>
      </w:r>
      <w:r w:rsidR="003638EB">
        <w:t>.</w:t>
      </w:r>
      <w:r w:rsidR="00AB38A6" w:rsidRPr="00AB38A6">
        <w:rPr>
          <w:rStyle w:val="FootnoteReference"/>
        </w:rPr>
        <w:t xml:space="preserve"> </w:t>
      </w:r>
      <w:r w:rsidR="00AB38A6">
        <w:rPr>
          <w:rStyle w:val="FootnoteReference"/>
        </w:rPr>
        <w:footnoteReference w:id="7"/>
      </w:r>
      <w:r w:rsidR="00AB38A6">
        <w:t xml:space="preserve"> </w:t>
      </w:r>
      <w:r w:rsidR="00834A17">
        <w:rPr>
          <w:rStyle w:val="FootnoteReference"/>
        </w:rPr>
        <w:footnoteReference w:id="8"/>
      </w:r>
      <w:r w:rsidR="003638EB">
        <w:t xml:space="preserve"> </w:t>
      </w:r>
    </w:p>
    <w:p w14:paraId="5530D537" w14:textId="03EB3BDA" w:rsidR="00955807" w:rsidRDefault="00A150FA" w:rsidP="003638EB">
      <w:r>
        <w:t xml:space="preserve">In </w:t>
      </w:r>
      <w:r w:rsidR="002B691A">
        <w:t>setting</w:t>
      </w:r>
      <w:r>
        <w:t xml:space="preserve"> th</w:t>
      </w:r>
      <w:r w:rsidR="00410C77">
        <w:t xml:space="preserve">e </w:t>
      </w:r>
      <w:r>
        <w:t>Victorian Default Offer, we are guided by requirements set out in the pricing order.</w:t>
      </w:r>
      <w:r w:rsidR="003503CB">
        <w:t xml:space="preserve"> This includes</w:t>
      </w:r>
      <w:r w:rsidR="00E5205C">
        <w:t xml:space="preserve"> adopt</w:t>
      </w:r>
      <w:r w:rsidR="003503CB">
        <w:t>ing</w:t>
      </w:r>
      <w:r w:rsidR="00E5205C">
        <w:t xml:space="preserve"> an approach and methodology that best</w:t>
      </w:r>
      <w:r w:rsidR="009B32AE">
        <w:t xml:space="preserve"> meets </w:t>
      </w:r>
      <w:r w:rsidR="006A4B01">
        <w:t xml:space="preserve">a range of </w:t>
      </w:r>
      <w:r w:rsidR="009B32AE">
        <w:t xml:space="preserve">objectives </w:t>
      </w:r>
      <w:r w:rsidR="00C05ED8">
        <w:t>(</w:t>
      </w:r>
      <w:r w:rsidR="00E60CD7">
        <w:t xml:space="preserve">detailed in </w:t>
      </w:r>
      <w:r w:rsidR="00C05ED8">
        <w:t xml:space="preserve">Appendix F) </w:t>
      </w:r>
      <w:r w:rsidR="009B32AE">
        <w:t>including</w:t>
      </w:r>
      <w:r w:rsidR="00590F4D">
        <w:t>:</w:t>
      </w:r>
    </w:p>
    <w:p w14:paraId="12C0B726" w14:textId="57A0F706" w:rsidR="002020DE" w:rsidRDefault="002020DE" w:rsidP="00F15C1B">
      <w:pPr>
        <w:pStyle w:val="ListBullet"/>
        <w:numPr>
          <w:ilvl w:val="0"/>
          <w:numId w:val="67"/>
        </w:numPr>
      </w:pPr>
      <w:r>
        <w:t>providing a simple, trusted and reasonably priced electricity option that safeguards consumers who are unable or unwilling to engage in the electricity retail market</w:t>
      </w:r>
      <w:r>
        <w:rPr>
          <w:rStyle w:val="FootnoteReference"/>
        </w:rPr>
        <w:footnoteReference w:id="9"/>
      </w:r>
      <w:r>
        <w:t xml:space="preserve">  </w:t>
      </w:r>
    </w:p>
    <w:p w14:paraId="5A033692" w14:textId="4116467B" w:rsidR="00955807" w:rsidRDefault="00381048" w:rsidP="00F15C1B">
      <w:pPr>
        <w:pStyle w:val="ListBullet"/>
        <w:numPr>
          <w:ilvl w:val="0"/>
          <w:numId w:val="67"/>
        </w:numPr>
      </w:pPr>
      <w:r>
        <w:t xml:space="preserve">promoting </w:t>
      </w:r>
      <w:r w:rsidR="00955807" w:rsidRPr="00F15C1B">
        <w:t>the long</w:t>
      </w:r>
      <w:r w:rsidR="005A67DF">
        <w:t>-</w:t>
      </w:r>
      <w:r w:rsidR="00955807" w:rsidRPr="00F15C1B">
        <w:t>term interests of Victorian consumers</w:t>
      </w:r>
      <w:r w:rsidR="00410C77">
        <w:rPr>
          <w:rStyle w:val="FootnoteReference"/>
        </w:rPr>
        <w:footnoteReference w:id="10"/>
      </w:r>
      <w:r w:rsidR="00E5205C">
        <w:t xml:space="preserve"> </w:t>
      </w:r>
    </w:p>
    <w:p w14:paraId="61EAAEDD" w14:textId="264385BE" w:rsidR="005A2AB3" w:rsidRDefault="00CE4B83" w:rsidP="00F15C1B">
      <w:pPr>
        <w:pStyle w:val="ListBullet"/>
        <w:numPr>
          <w:ilvl w:val="0"/>
          <w:numId w:val="67"/>
        </w:numPr>
      </w:pPr>
      <w:r>
        <w:t xml:space="preserve">promoting </w:t>
      </w:r>
      <w:r w:rsidR="005A2AB3" w:rsidRPr="005A2AB3">
        <w:t>the development of full retail competition</w:t>
      </w:r>
      <w:r w:rsidR="00410C77">
        <w:rPr>
          <w:rStyle w:val="FootnoteReference"/>
        </w:rPr>
        <w:footnoteReference w:id="11"/>
      </w:r>
    </w:p>
    <w:p w14:paraId="0AC5CB6B" w14:textId="53957C59" w:rsidR="00356EA8" w:rsidRDefault="00356EA8" w:rsidP="00F15C1B">
      <w:pPr>
        <w:pStyle w:val="ListBullet"/>
        <w:numPr>
          <w:ilvl w:val="0"/>
          <w:numId w:val="67"/>
        </w:numPr>
      </w:pPr>
      <w:r>
        <w:lastRenderedPageBreak/>
        <w:t>protecting consumers</w:t>
      </w:r>
      <w:r w:rsidR="00CE14A8">
        <w:t>.</w:t>
      </w:r>
      <w:r w:rsidR="00C05ED8">
        <w:rPr>
          <w:rStyle w:val="FootnoteReference"/>
        </w:rPr>
        <w:footnoteReference w:id="12"/>
      </w:r>
    </w:p>
    <w:p w14:paraId="09996718" w14:textId="7CFDFA97" w:rsidR="003638EB" w:rsidRDefault="003638EB" w:rsidP="003638EB">
      <w:r>
        <w:t xml:space="preserve">Setting prices </w:t>
      </w:r>
      <w:r w:rsidR="00EC0CC1">
        <w:t>in the Victorian Default Offer</w:t>
      </w:r>
      <w:r>
        <w:t xml:space="preserve"> based on efficient costs means </w:t>
      </w:r>
      <w:r w:rsidRPr="00690BEB">
        <w:t>customers have access to a reasonable price</w:t>
      </w:r>
      <w:r w:rsidR="00D3515D">
        <w:t xml:space="preserve"> that </w:t>
      </w:r>
      <w:r w:rsidRPr="00690BEB">
        <w:t xml:space="preserve">reflects retailers’ </w:t>
      </w:r>
      <w:r w:rsidR="007739C6" w:rsidRPr="00690BEB">
        <w:t>efficient</w:t>
      </w:r>
      <w:r w:rsidRPr="00690BEB">
        <w:t xml:space="preserve"> costs</w:t>
      </w:r>
      <w:r w:rsidRPr="009A6D12">
        <w:t>.</w:t>
      </w:r>
      <w:r>
        <w:t xml:space="preserve"> Setting a price below efficient costs may mean, in the longer term, less retail competition and less investment in the industry. </w:t>
      </w:r>
      <w:r w:rsidR="00DB69AC">
        <w:t>As a</w:t>
      </w:r>
      <w:r>
        <w:t xml:space="preserve"> result</w:t>
      </w:r>
      <w:r w:rsidR="004E4B5D">
        <w:t>,</w:t>
      </w:r>
      <w:r>
        <w:t xml:space="preserve"> </w:t>
      </w:r>
      <w:r w:rsidR="004E4B5D">
        <w:t>there</w:t>
      </w:r>
      <w:r>
        <w:t xml:space="preserve"> would likely be less innovation </w:t>
      </w:r>
      <w:r w:rsidR="0040578B">
        <w:t xml:space="preserve">focused on delivering customer value, while the reliability of </w:t>
      </w:r>
      <w:r>
        <w:t>electricity services</w:t>
      </w:r>
      <w:r w:rsidR="0040578B">
        <w:t xml:space="preserve"> could also suffer</w:t>
      </w:r>
      <w:r>
        <w:t xml:space="preserve">. This would not be in the long-term interests of Victorian consumers. </w:t>
      </w:r>
    </w:p>
    <w:p w14:paraId="543C972E" w14:textId="2EBD0330" w:rsidR="00A923DF" w:rsidRDefault="00A923DF" w:rsidP="00A923DF">
      <w:pPr>
        <w:pStyle w:val="Heading2"/>
      </w:pPr>
      <w:bookmarkStart w:id="20" w:name="_Toc160817006"/>
      <w:bookmarkStart w:id="21" w:name="_Toc191027347"/>
      <w:bookmarkStart w:id="22" w:name="_Toc198808318"/>
      <w:r>
        <w:t>The Victorian Default Offer acts as a comparison price</w:t>
      </w:r>
      <w:bookmarkEnd w:id="20"/>
      <w:bookmarkEnd w:id="21"/>
      <w:bookmarkEnd w:id="22"/>
    </w:p>
    <w:p w14:paraId="338097FA" w14:textId="6B47D277" w:rsidR="00A923DF" w:rsidRPr="00BB3FF6" w:rsidRDefault="152E930E" w:rsidP="00A923DF">
      <w:r>
        <w:t>Most</w:t>
      </w:r>
      <w:r w:rsidR="00A923DF">
        <w:t xml:space="preserve"> Victorians</w:t>
      </w:r>
      <w:r w:rsidR="00A923DF" w:rsidRPr="00BB3FF6">
        <w:t xml:space="preserve"> are on market </w:t>
      </w:r>
      <w:r w:rsidR="00A923DF">
        <w:t>offers</w:t>
      </w:r>
      <w:r w:rsidR="00A923DF" w:rsidRPr="00BB3FF6">
        <w:t xml:space="preserve">, not standing offers. </w:t>
      </w:r>
      <w:r w:rsidR="00A923DF">
        <w:t>Most m</w:t>
      </w:r>
      <w:r w:rsidR="00A923DF" w:rsidRPr="00BB3FF6">
        <w:t xml:space="preserve">arket offers </w:t>
      </w:r>
      <w:r w:rsidR="00A923DF">
        <w:t>are available at</w:t>
      </w:r>
      <w:r w:rsidR="00A923DF" w:rsidRPr="00BB3FF6">
        <w:t xml:space="preserve"> prices below the Victorian Default Offer. </w:t>
      </w:r>
    </w:p>
    <w:p w14:paraId="67532A9C" w14:textId="1954D3C3" w:rsidR="00A923DF" w:rsidRDefault="00A923DF" w:rsidP="00A923DF">
      <w:r w:rsidRPr="00BB3FF6">
        <w:t xml:space="preserve">The Victorian Default Offer </w:t>
      </w:r>
      <w:r w:rsidR="00324F3D">
        <w:t xml:space="preserve">is </w:t>
      </w:r>
      <w:r w:rsidR="00FD374D">
        <w:t xml:space="preserve">therefore </w:t>
      </w:r>
      <w:r w:rsidR="00324F3D">
        <w:t>also</w:t>
      </w:r>
      <w:r>
        <w:t xml:space="preserve"> a </w:t>
      </w:r>
      <w:r w:rsidR="00EE5F32">
        <w:t xml:space="preserve">reference </w:t>
      </w:r>
      <w:r>
        <w:t xml:space="preserve">price for these </w:t>
      </w:r>
      <w:r w:rsidRPr="00BB3FF6">
        <w:t>market</w:t>
      </w:r>
      <w:r>
        <w:t xml:space="preserve"> offers.</w:t>
      </w:r>
      <w:r w:rsidRPr="00BB3FF6">
        <w:t xml:space="preserve"> </w:t>
      </w:r>
      <w:r>
        <w:t>R</w:t>
      </w:r>
      <w:r w:rsidRPr="00BB3FF6">
        <w:t xml:space="preserve">etailers </w:t>
      </w:r>
      <w:r>
        <w:t>must</w:t>
      </w:r>
      <w:r w:rsidRPr="00BB3FF6">
        <w:t xml:space="preserve"> </w:t>
      </w:r>
      <w:r>
        <w:t>compare their</w:t>
      </w:r>
      <w:r w:rsidRPr="00BB3FF6">
        <w:t xml:space="preserve"> market offer</w:t>
      </w:r>
      <w:r>
        <w:t xml:space="preserve"> prices</w:t>
      </w:r>
      <w:r w:rsidRPr="00BB3FF6">
        <w:t xml:space="preserve"> </w:t>
      </w:r>
      <w:r>
        <w:t>to Victorian Default Offer prices when advertising</w:t>
      </w:r>
      <w:r w:rsidRPr="00BB3FF6">
        <w:t>.</w:t>
      </w:r>
      <w:r w:rsidR="00311963">
        <w:rPr>
          <w:rStyle w:val="FootnoteReference"/>
        </w:rPr>
        <w:footnoteReference w:id="13"/>
      </w:r>
      <w:r w:rsidRPr="00BB3FF6">
        <w:t xml:space="preserve"> This enables customers to easily compare market offer prices </w:t>
      </w:r>
      <w:r>
        <w:t xml:space="preserve">with our benchmark prices </w:t>
      </w:r>
      <w:r w:rsidRPr="00BB3FF6">
        <w:t>and choose a plan that best suits their needs.</w:t>
      </w:r>
      <w:r>
        <w:t xml:space="preserve"> </w:t>
      </w:r>
    </w:p>
    <w:p w14:paraId="0F4FD241" w14:textId="4CE3162F" w:rsidR="00902ACE" w:rsidRDefault="00902ACE" w:rsidP="00902ACE">
      <w:pPr>
        <w:pStyle w:val="Heading2"/>
      </w:pPr>
      <w:bookmarkStart w:id="23" w:name="_Toc198808319"/>
      <w:r w:rsidRPr="00C14E97">
        <w:t xml:space="preserve">We must </w:t>
      </w:r>
      <w:bookmarkEnd w:id="18"/>
      <w:bookmarkEnd w:id="19"/>
      <w:r w:rsidR="007D7A4A" w:rsidRPr="00C14E97">
        <w:t>determine Victorian Default Offer</w:t>
      </w:r>
      <w:r w:rsidR="00C126F7" w:rsidRPr="00C14E97">
        <w:t xml:space="preserve"> </w:t>
      </w:r>
      <w:r w:rsidR="003A7583" w:rsidRPr="00C14E97">
        <w:t xml:space="preserve">prices </w:t>
      </w:r>
      <w:r w:rsidR="009D5BAC">
        <w:t>in</w:t>
      </w:r>
      <w:r w:rsidR="00C126F7" w:rsidRPr="00C14E97">
        <w:t xml:space="preserve"> May each year</w:t>
      </w:r>
      <w:bookmarkEnd w:id="23"/>
      <w:r w:rsidR="007D7A4A" w:rsidRPr="00C14E97">
        <w:t xml:space="preserve"> </w:t>
      </w:r>
    </w:p>
    <w:p w14:paraId="5F671DFE" w14:textId="7721E070" w:rsidR="00513690" w:rsidRDefault="00513690" w:rsidP="00513690">
      <w:r>
        <w:t>Our first determination of Victorian Default Offer prices came into effect on 1 January 2020. We have been responsible for setting Victorian Default Offer prices annually since then.</w:t>
      </w:r>
    </w:p>
    <w:p w14:paraId="0441D159" w14:textId="655BB6EC" w:rsidR="00902ACE" w:rsidRPr="002E5DDE" w:rsidRDefault="00902ACE" w:rsidP="00513690">
      <w:r>
        <w:t xml:space="preserve">We released our </w:t>
      </w:r>
      <w:r w:rsidR="00291638">
        <w:t>last</w:t>
      </w:r>
      <w:r w:rsidRPr="00723C07">
        <w:t xml:space="preserve"> determination on </w:t>
      </w:r>
      <w:r w:rsidRPr="00FA0423">
        <w:t>20 May 2024</w:t>
      </w:r>
      <w:r w:rsidRPr="00723C07">
        <w:t xml:space="preserve"> for the Victorian Default Offer to apply from 1 </w:t>
      </w:r>
      <w:r w:rsidRPr="00FA0423">
        <w:t>July 2024 to 30 June 2025</w:t>
      </w:r>
      <w:r w:rsidR="003C7C1A">
        <w:t xml:space="preserve"> (the </w:t>
      </w:r>
      <w:r w:rsidRPr="00FA0423">
        <w:t>2024–25</w:t>
      </w:r>
      <w:r w:rsidRPr="00723C07">
        <w:t xml:space="preserve"> Victorian Default </w:t>
      </w:r>
      <w:r w:rsidRPr="002E5DDE">
        <w:t>Offer</w:t>
      </w:r>
      <w:r w:rsidR="003C7C1A">
        <w:t>)</w:t>
      </w:r>
      <w:r w:rsidRPr="002E5DDE">
        <w:t xml:space="preserve">. </w:t>
      </w:r>
    </w:p>
    <w:p w14:paraId="6C08EC9D" w14:textId="5C935A36" w:rsidR="00902ACE" w:rsidRPr="002E5DDE" w:rsidRDefault="00902ACE" w:rsidP="00902ACE">
      <w:r w:rsidRPr="008D318C">
        <w:t>Under the pricing order, we must make a new determination for the Victorian Default Offer to apply from 1 July 2025 to 30 June 2026 on or before 24 May 2025.</w:t>
      </w:r>
      <w:r w:rsidRPr="008D318C">
        <w:rPr>
          <w:rStyle w:val="FootnoteReference"/>
        </w:rPr>
        <w:footnoteReference w:id="14"/>
      </w:r>
      <w:r w:rsidRPr="008D318C">
        <w:t xml:space="preserve"> We refer to the new pricing arrangements for standing offers to apply from 1 July 2025</w:t>
      </w:r>
      <w:r w:rsidR="00B104CB" w:rsidRPr="008D318C">
        <w:t>,</w:t>
      </w:r>
      <w:r w:rsidRPr="008D318C">
        <w:t xml:space="preserve"> as the 2025–26 Victorian Default Offer.</w:t>
      </w:r>
    </w:p>
    <w:p w14:paraId="611DE76B" w14:textId="752834E2" w:rsidR="00902ACE" w:rsidRPr="005D1F23" w:rsidRDefault="00815E50" w:rsidP="00902ACE">
      <w:pPr>
        <w:pStyle w:val="Heading2"/>
      </w:pPr>
      <w:bookmarkStart w:id="24" w:name="_Toc160817008"/>
      <w:bookmarkStart w:id="25" w:name="_Toc191027349"/>
      <w:bookmarkStart w:id="26" w:name="_Toc198808320"/>
      <w:r>
        <w:t xml:space="preserve">Drivers </w:t>
      </w:r>
      <w:r w:rsidR="009D6D0E">
        <w:t>of</w:t>
      </w:r>
      <w:r w:rsidR="00B16DD7" w:rsidRPr="00866A3F">
        <w:t xml:space="preserve"> the </w:t>
      </w:r>
      <w:r w:rsidR="009D6D0E">
        <w:t>2025–26</w:t>
      </w:r>
      <w:r w:rsidR="006B5908" w:rsidRPr="00866A3F">
        <w:t xml:space="preserve"> </w:t>
      </w:r>
      <w:r w:rsidR="00902ACE" w:rsidRPr="00866A3F">
        <w:t xml:space="preserve">Victorian Default Offer </w:t>
      </w:r>
      <w:bookmarkEnd w:id="24"/>
      <w:bookmarkEnd w:id="25"/>
      <w:r w:rsidR="00902ACE" w:rsidRPr="00866A3F">
        <w:t>price</w:t>
      </w:r>
      <w:r w:rsidR="009D6D0E">
        <w:t xml:space="preserve"> change</w:t>
      </w:r>
      <w:r w:rsidR="00902ACE" w:rsidRPr="00866A3F">
        <w:t>s</w:t>
      </w:r>
      <w:bookmarkEnd w:id="26"/>
      <w:r w:rsidR="001E6B90">
        <w:t xml:space="preserve"> </w:t>
      </w:r>
    </w:p>
    <w:p w14:paraId="5B2620EC" w14:textId="49C6B7AB" w:rsidR="005820F3" w:rsidRDefault="005820F3" w:rsidP="005820F3">
      <w:bookmarkStart w:id="27" w:name="_Hlk119684519"/>
      <w:r w:rsidRPr="00866A3F">
        <w:t>Network costs</w:t>
      </w:r>
      <w:r>
        <w:t xml:space="preserve"> </w:t>
      </w:r>
      <w:bookmarkStart w:id="28" w:name="_Hlk198216068"/>
      <w:r w:rsidRPr="00866A3F">
        <w:t xml:space="preserve">are the </w:t>
      </w:r>
      <w:r w:rsidRPr="00943348">
        <w:t>largest</w:t>
      </w:r>
      <w:r w:rsidRPr="00866A3F">
        <w:t xml:space="preserve"> cost component of the Victorian Default Offer</w:t>
      </w:r>
      <w:r>
        <w:t xml:space="preserve">, </w:t>
      </w:r>
      <w:r w:rsidRPr="00866A3F">
        <w:t xml:space="preserve">comprising around </w:t>
      </w:r>
      <w:r w:rsidR="00CF2E47" w:rsidRPr="00943348">
        <w:t>37</w:t>
      </w:r>
      <w:r w:rsidR="00560ABE">
        <w:t>‍</w:t>
      </w:r>
      <w:r w:rsidR="00CF2E47">
        <w:t xml:space="preserve"> </w:t>
      </w:r>
      <w:r w:rsidRPr="00866A3F">
        <w:t>per cent of the cost stack in 2025–26</w:t>
      </w:r>
      <w:r>
        <w:t>.</w:t>
      </w:r>
      <w:r w:rsidRPr="00866A3F">
        <w:t xml:space="preserve"> </w:t>
      </w:r>
      <w:bookmarkEnd w:id="28"/>
      <w:r>
        <w:t xml:space="preserve">They </w:t>
      </w:r>
      <w:r w:rsidRPr="00866A3F">
        <w:t>represent the costs associated with delivering electricity to customers’ homes and businesses</w:t>
      </w:r>
      <w:r>
        <w:t>.</w:t>
      </w:r>
      <w:r w:rsidRPr="00866A3F">
        <w:t xml:space="preserve"> </w:t>
      </w:r>
    </w:p>
    <w:p w14:paraId="009F6238" w14:textId="294C6CAE" w:rsidR="00A879FE" w:rsidRPr="00866A3F" w:rsidRDefault="004E002C" w:rsidP="00902ACE">
      <w:r w:rsidRPr="00866A3F">
        <w:lastRenderedPageBreak/>
        <w:t xml:space="preserve">For our </w:t>
      </w:r>
      <w:r w:rsidR="005D7634" w:rsidRPr="00866A3F">
        <w:t>final</w:t>
      </w:r>
      <w:r w:rsidRPr="00866A3F">
        <w:t xml:space="preserve"> decision, </w:t>
      </w:r>
      <w:r w:rsidR="00F045E4" w:rsidRPr="00866A3F">
        <w:t>network cost</w:t>
      </w:r>
      <w:r w:rsidR="00E348EF" w:rsidRPr="00866A3F">
        <w:t>s</w:t>
      </w:r>
      <w:r w:rsidR="00CC44DB" w:rsidRPr="00866A3F" w:rsidDel="00881694">
        <w:t xml:space="preserve"> </w:t>
      </w:r>
      <w:r w:rsidR="008B7F74" w:rsidRPr="00866A3F">
        <w:t>for</w:t>
      </w:r>
      <w:r w:rsidR="00BE6684" w:rsidRPr="00866A3F">
        <w:t xml:space="preserve"> </w:t>
      </w:r>
      <w:r w:rsidR="004D2506" w:rsidRPr="00866A3F">
        <w:t xml:space="preserve">domestic customers </w:t>
      </w:r>
      <w:r w:rsidR="00881694" w:rsidRPr="00866A3F">
        <w:t>are</w:t>
      </w:r>
      <w:r w:rsidR="00881694" w:rsidRPr="00866A3F" w:rsidDel="00FC24C8">
        <w:t xml:space="preserve"> </w:t>
      </w:r>
      <w:r w:rsidR="006B2335" w:rsidRPr="00943348">
        <w:t>f</w:t>
      </w:r>
      <w:r w:rsidR="002D4E6F" w:rsidRPr="00943348">
        <w:t>our</w:t>
      </w:r>
      <w:r w:rsidR="005C6AA8" w:rsidRPr="00866A3F">
        <w:t xml:space="preserve"> per cent </w:t>
      </w:r>
      <w:r w:rsidR="00B2373D" w:rsidRPr="00C9426C">
        <w:t>higher</w:t>
      </w:r>
      <w:r w:rsidR="00A61A57" w:rsidRPr="00866A3F">
        <w:t xml:space="preserve"> </w:t>
      </w:r>
      <w:r w:rsidR="006F6F3B" w:rsidRPr="00866A3F">
        <w:t>comp</w:t>
      </w:r>
      <w:r w:rsidR="006664BE" w:rsidRPr="00866A3F">
        <w:t>a</w:t>
      </w:r>
      <w:r w:rsidR="00C73BCB" w:rsidRPr="00866A3F">
        <w:t>red to</w:t>
      </w:r>
      <w:r w:rsidR="00C73BCB" w:rsidRPr="00866A3F" w:rsidDel="00F36120">
        <w:t xml:space="preserve"> </w:t>
      </w:r>
      <w:r w:rsidR="00C73BCB" w:rsidRPr="00866A3F">
        <w:t>2024</w:t>
      </w:r>
      <w:r w:rsidR="00E955D8" w:rsidRPr="00866A3F">
        <w:t>–</w:t>
      </w:r>
      <w:r w:rsidR="00C73BCB" w:rsidRPr="00866A3F">
        <w:t>25</w:t>
      </w:r>
      <w:r w:rsidR="00FC24C8" w:rsidRPr="00866A3F">
        <w:t xml:space="preserve"> (on average</w:t>
      </w:r>
      <w:r w:rsidR="00DC5411" w:rsidRPr="00866A3F">
        <w:t>,</w:t>
      </w:r>
      <w:r w:rsidR="00FC24C8" w:rsidRPr="00866A3F">
        <w:t xml:space="preserve"> across the five distribution zones)</w:t>
      </w:r>
      <w:r w:rsidR="00B63681" w:rsidRPr="00866A3F">
        <w:t>,</w:t>
      </w:r>
      <w:r w:rsidR="000950AB" w:rsidRPr="00866A3F">
        <w:t xml:space="preserve"> and are the </w:t>
      </w:r>
      <w:r w:rsidR="000950AB" w:rsidRPr="00C9426C">
        <w:t>primary driver of increas</w:t>
      </w:r>
      <w:r w:rsidR="00A17604" w:rsidRPr="00C9426C">
        <w:t>e</w:t>
      </w:r>
      <w:r w:rsidR="00CC29AA" w:rsidRPr="00C9426C">
        <w:t>d</w:t>
      </w:r>
      <w:r w:rsidR="00A17604" w:rsidRPr="00866A3F">
        <w:t xml:space="preserve"> </w:t>
      </w:r>
      <w:r w:rsidR="000950AB" w:rsidRPr="00866A3F">
        <w:t>Victorian Default Offer prices</w:t>
      </w:r>
      <w:r w:rsidR="00DF5F19" w:rsidRPr="00866A3F">
        <w:t>.</w:t>
      </w:r>
    </w:p>
    <w:p w14:paraId="28B6B626" w14:textId="1CC56CF8" w:rsidR="005F59BB" w:rsidRDefault="005F59BB" w:rsidP="005F59BB">
      <w:r w:rsidRPr="00866A3F">
        <w:t>Network costs in the Victorian Default Offer are directly passed through from the network tariffs and metering charges approved by the Australian Energy Regulator each year, reflecting its role in regulating networks focused on efficiency and the long-term interests of consumers.</w:t>
      </w:r>
      <w:r w:rsidRPr="00866A3F">
        <w:rPr>
          <w:rStyle w:val="FootnoteReference"/>
        </w:rPr>
        <w:footnoteReference w:id="15"/>
      </w:r>
      <w:r w:rsidRPr="00866A3F" w:rsidDel="00325404">
        <w:t xml:space="preserve"> </w:t>
      </w:r>
      <w:r w:rsidRPr="00866A3F">
        <w:t>The network tariffs and metering charges vary across Victoria’s five distribution zones due to a range of factors</w:t>
      </w:r>
      <w:r>
        <w:t>. They include costs related to:</w:t>
      </w:r>
    </w:p>
    <w:p w14:paraId="0476A381" w14:textId="5CF229C1" w:rsidR="005F59BB" w:rsidRDefault="005F59BB" w:rsidP="0061027A">
      <w:pPr>
        <w:pStyle w:val="ListBullet"/>
      </w:pPr>
      <w:r w:rsidRPr="00866A3F">
        <w:t>geographical scale</w:t>
      </w:r>
    </w:p>
    <w:p w14:paraId="566B3B38" w14:textId="5138ABC7" w:rsidR="005F59BB" w:rsidRDefault="005F59BB" w:rsidP="0061027A">
      <w:pPr>
        <w:pStyle w:val="ListBullet"/>
      </w:pPr>
      <w:r w:rsidRPr="00866A3F">
        <w:t>population dispersion</w:t>
      </w:r>
    </w:p>
    <w:p w14:paraId="6ACBA563" w14:textId="0622C2E5" w:rsidR="005F59BB" w:rsidRDefault="005F59BB" w:rsidP="0061027A">
      <w:pPr>
        <w:pStyle w:val="ListBullet"/>
      </w:pPr>
      <w:r w:rsidRPr="00866A3F">
        <w:t>overall demand</w:t>
      </w:r>
    </w:p>
    <w:p w14:paraId="2194C333" w14:textId="2D3AA499" w:rsidR="005F59BB" w:rsidRDefault="005F59BB" w:rsidP="0061027A">
      <w:pPr>
        <w:pStyle w:val="ListBullet"/>
      </w:pPr>
      <w:r>
        <w:t>and</w:t>
      </w:r>
      <w:r w:rsidRPr="00866A3F">
        <w:t xml:space="preserve"> the age of network</w:t>
      </w:r>
      <w:r>
        <w:t xml:space="preserve"> substations, transformers, lines and other capital equipment</w:t>
      </w:r>
      <w:r w:rsidRPr="00866A3F">
        <w:t xml:space="preserve"> and network investment needs.</w:t>
      </w:r>
      <w:r>
        <w:t xml:space="preserve"> </w:t>
      </w:r>
    </w:p>
    <w:p w14:paraId="39AE5481" w14:textId="3A489596" w:rsidR="0050324E" w:rsidRDefault="00C24D06" w:rsidP="00C24D06">
      <w:r w:rsidRPr="00866A3F">
        <w:t xml:space="preserve">For our </w:t>
      </w:r>
      <w:r w:rsidR="00840355" w:rsidRPr="00866A3F">
        <w:t>final</w:t>
      </w:r>
      <w:r w:rsidRPr="00866A3F">
        <w:t xml:space="preserve"> decision</w:t>
      </w:r>
      <w:r w:rsidR="00C235D0" w:rsidRPr="00866A3F">
        <w:t xml:space="preserve"> (see page </w:t>
      </w:r>
      <w:r w:rsidR="000A37D0">
        <w:fldChar w:fldCharType="begin"/>
      </w:r>
      <w:r w:rsidR="000A37D0">
        <w:instrText xml:space="preserve"> PAGEREF _Ref196820426 \h </w:instrText>
      </w:r>
      <w:r w:rsidR="000A37D0">
        <w:fldChar w:fldCharType="separate"/>
      </w:r>
      <w:r w:rsidR="003E1323">
        <w:rPr>
          <w:noProof/>
        </w:rPr>
        <w:t>22</w:t>
      </w:r>
      <w:r w:rsidR="000A37D0">
        <w:fldChar w:fldCharType="end"/>
      </w:r>
      <w:r w:rsidR="00C235D0" w:rsidRPr="00866A3F">
        <w:t>)</w:t>
      </w:r>
      <w:r w:rsidRPr="00866A3F">
        <w:t xml:space="preserve">, wholesale electricity costs in </w:t>
      </w:r>
      <w:r w:rsidR="00785BD5">
        <w:t>representative</w:t>
      </w:r>
      <w:r w:rsidRPr="00866A3F">
        <w:t xml:space="preserve"> domestic customer bills are </w:t>
      </w:r>
      <w:r w:rsidR="00410E43">
        <w:t>$</w:t>
      </w:r>
      <w:r w:rsidR="00043054">
        <w:t>9</w:t>
      </w:r>
      <w:r w:rsidRPr="00866A3F">
        <w:t xml:space="preserve"> </w:t>
      </w:r>
      <w:r w:rsidR="00B60868" w:rsidRPr="001870A1">
        <w:t>higher</w:t>
      </w:r>
      <w:r w:rsidR="00B60868" w:rsidRPr="00866A3F">
        <w:t xml:space="preserve"> </w:t>
      </w:r>
      <w:r w:rsidRPr="00866A3F">
        <w:t>compared to the 2024–25 Victorian Default Offer (on average, across the five distribution zones).</w:t>
      </w:r>
      <w:r w:rsidR="008D5BF2">
        <w:t xml:space="preserve"> These costs are also </w:t>
      </w:r>
      <w:r w:rsidR="001A6368">
        <w:t>6.</w:t>
      </w:r>
      <w:r w:rsidR="00602B72">
        <w:t>4</w:t>
      </w:r>
      <w:r w:rsidR="008D5BF2">
        <w:t xml:space="preserve"> per cent higher compared to our 2025–26 draft decision due to </w:t>
      </w:r>
      <w:r w:rsidR="001E1C59">
        <w:t xml:space="preserve">our use of updated ASX Energy future contract prices (up to 16 April 2025) which reflects increased contract prices </w:t>
      </w:r>
      <w:r w:rsidR="002806CD">
        <w:t xml:space="preserve">and the inclusion of a wholesale cost of exports </w:t>
      </w:r>
      <w:r w:rsidR="001E1C59">
        <w:t xml:space="preserve">between our draft and final decision. </w:t>
      </w:r>
    </w:p>
    <w:p w14:paraId="31895F70" w14:textId="0A479C5B" w:rsidR="0050324E" w:rsidRDefault="001B5B6E" w:rsidP="00C24D06">
      <w:r>
        <w:t xml:space="preserve">The wholesale electricity cost component of the Victorian Default Offer </w:t>
      </w:r>
      <w:r w:rsidR="00B03E6B">
        <w:t xml:space="preserve">is </w:t>
      </w:r>
      <w:r w:rsidR="00655191" w:rsidRPr="00B86FF0">
        <w:t>slightly higher</w:t>
      </w:r>
      <w:r w:rsidR="00B03E6B">
        <w:t xml:space="preserve"> </w:t>
      </w:r>
      <w:r w:rsidR="00361543">
        <w:t>compared to</w:t>
      </w:r>
      <w:r w:rsidR="009969FC">
        <w:t xml:space="preserve"> </w:t>
      </w:r>
      <w:r w:rsidR="006750DE">
        <w:t>2024–25</w:t>
      </w:r>
      <w:r w:rsidR="008D0CDA">
        <w:t xml:space="preserve"> and </w:t>
      </w:r>
      <w:r w:rsidR="006C3734">
        <w:t>our</w:t>
      </w:r>
      <w:r w:rsidR="00E07A8E">
        <w:t xml:space="preserve"> draft decision for 2025–26</w:t>
      </w:r>
      <w:r w:rsidR="00B04B46">
        <w:t>.</w:t>
      </w:r>
      <w:r w:rsidR="00361543">
        <w:t xml:space="preserve"> </w:t>
      </w:r>
      <w:r w:rsidR="00B04B46">
        <w:t>This is</w:t>
      </w:r>
      <w:r w:rsidR="00A2345E">
        <w:t xml:space="preserve"> an outcome of</w:t>
      </w:r>
      <w:r w:rsidR="00B03E6B">
        <w:t xml:space="preserve"> higher wholesale future contract prices </w:t>
      </w:r>
      <w:r w:rsidR="00EE7BE6">
        <w:t>offsetting the impact of</w:t>
      </w:r>
      <w:r w:rsidR="00C24D06" w:rsidRPr="00866A3F">
        <w:t xml:space="preserve"> our decision to change </w:t>
      </w:r>
      <w:r w:rsidR="00417FE0">
        <w:t>the load profile</w:t>
      </w:r>
      <w:r w:rsidR="00171058">
        <w:t>,</w:t>
      </w:r>
      <w:r w:rsidR="00417FE0">
        <w:t xml:space="preserve"> which lowered daily average prices</w:t>
      </w:r>
      <w:r w:rsidR="0050324E">
        <w:t xml:space="preserve">. </w:t>
      </w:r>
      <w:r w:rsidR="003C373A">
        <w:t xml:space="preserve">We have also included a wholesale electricity cost of exports </w:t>
      </w:r>
      <w:r w:rsidR="00C605BB">
        <w:t xml:space="preserve">which has contributed slightly to this increase. </w:t>
      </w:r>
      <w:r w:rsidR="00D631B8">
        <w:t>Wholesale future contract prices</w:t>
      </w:r>
      <w:r w:rsidR="00F44603">
        <w:t>, a wholesale electricity cost of exports</w:t>
      </w:r>
      <w:r w:rsidR="00D631B8">
        <w:t xml:space="preserve"> and the load profile</w:t>
      </w:r>
      <w:r w:rsidR="00190FC5">
        <w:t xml:space="preserve"> </w:t>
      </w:r>
      <w:r w:rsidR="00FD35B4">
        <w:t xml:space="preserve">had </w:t>
      </w:r>
      <w:r w:rsidR="00190FC5">
        <w:t xml:space="preserve">a balancing </w:t>
      </w:r>
      <w:r w:rsidR="5F2D6953">
        <w:t xml:space="preserve">effect </w:t>
      </w:r>
      <w:r w:rsidR="00D631B8">
        <w:t>in our final decision</w:t>
      </w:r>
      <w:r w:rsidR="00417FE0">
        <w:t xml:space="preserve">. </w:t>
      </w:r>
    </w:p>
    <w:p w14:paraId="3789820D" w14:textId="37E9A09F" w:rsidR="00C24D06" w:rsidRPr="00866A3F" w:rsidRDefault="00285FE3" w:rsidP="00C24D06">
      <w:r>
        <w:t>Our</w:t>
      </w:r>
      <w:r w:rsidR="00417FE0">
        <w:t xml:space="preserve"> </w:t>
      </w:r>
      <w:r w:rsidR="00473D24">
        <w:t xml:space="preserve">proposed </w:t>
      </w:r>
      <w:r w:rsidR="00417FE0">
        <w:t>change</w:t>
      </w:r>
      <w:r w:rsidR="00C24D06" w:rsidRPr="00866A3F">
        <w:t xml:space="preserve"> from using a balanced </w:t>
      </w:r>
      <w:r w:rsidR="00185703" w:rsidRPr="00866A3F">
        <w:t>load (</w:t>
      </w:r>
      <w:r w:rsidR="000F1692" w:rsidRPr="00866A3F">
        <w:t xml:space="preserve">the net </w:t>
      </w:r>
      <w:r w:rsidR="00185703" w:rsidRPr="00866A3F">
        <w:t>of customers</w:t>
      </w:r>
      <w:r w:rsidR="0058044A" w:rsidRPr="00866A3F">
        <w:t>’</w:t>
      </w:r>
      <w:r w:rsidR="00185703" w:rsidRPr="00866A3F">
        <w:t xml:space="preserve"> imports and exports)</w:t>
      </w:r>
      <w:r w:rsidR="00C24D06" w:rsidRPr="00866A3F">
        <w:t xml:space="preserve"> to </w:t>
      </w:r>
      <w:r w:rsidR="00A744B8" w:rsidRPr="00866A3F">
        <w:t xml:space="preserve">a </w:t>
      </w:r>
      <w:r w:rsidR="00C24D06" w:rsidRPr="00866A3F">
        <w:t xml:space="preserve">load only profile </w:t>
      </w:r>
      <w:r w:rsidR="00185703" w:rsidRPr="00866A3F">
        <w:t>(customers</w:t>
      </w:r>
      <w:r w:rsidR="000E47FF" w:rsidRPr="00866A3F">
        <w:t>’</w:t>
      </w:r>
      <w:r w:rsidR="00185703" w:rsidRPr="00866A3F">
        <w:t xml:space="preserve"> imports only) </w:t>
      </w:r>
      <w:r w:rsidR="003E24A8" w:rsidRPr="00866A3F">
        <w:t>to</w:t>
      </w:r>
      <w:r w:rsidR="00C24D06" w:rsidRPr="00866A3F">
        <w:t xml:space="preserve"> </w:t>
      </w:r>
      <w:r w:rsidR="003E24A8" w:rsidRPr="00866A3F">
        <w:t>generate</w:t>
      </w:r>
      <w:r w:rsidR="00C1493B" w:rsidRPr="00866A3F">
        <w:t xml:space="preserve"> the customer load profile</w:t>
      </w:r>
      <w:r w:rsidR="00A17EE9" w:rsidRPr="00866A3F">
        <w:t>s</w:t>
      </w:r>
      <w:r w:rsidR="006B5B92" w:rsidRPr="00866A3F">
        <w:t xml:space="preserve"> used in</w:t>
      </w:r>
      <w:r w:rsidR="000D6650" w:rsidRPr="00866A3F">
        <w:t xml:space="preserve"> </w:t>
      </w:r>
      <w:r w:rsidR="00C24D06" w:rsidRPr="00866A3F">
        <w:t xml:space="preserve">forecasting wholesale electricity costs </w:t>
      </w:r>
      <w:r w:rsidR="00677CDC">
        <w:t xml:space="preserve">was </w:t>
      </w:r>
      <w:r w:rsidR="003E4FD8">
        <w:t>u</w:t>
      </w:r>
      <w:r w:rsidR="00221DCB">
        <w:t>sed</w:t>
      </w:r>
      <w:r w:rsidR="00FE1B9F">
        <w:t xml:space="preserve"> in this final decision </w:t>
      </w:r>
      <w:r w:rsidR="00C24D06" w:rsidRPr="00866A3F">
        <w:t xml:space="preserve">(see page </w:t>
      </w:r>
      <w:r w:rsidR="00842EB7">
        <w:fldChar w:fldCharType="begin"/>
      </w:r>
      <w:r w:rsidR="00842EB7">
        <w:instrText xml:space="preserve"> PAGEREF _Ref192605383 \h </w:instrText>
      </w:r>
      <w:r w:rsidR="00842EB7">
        <w:fldChar w:fldCharType="separate"/>
      </w:r>
      <w:r w:rsidR="003E1323">
        <w:rPr>
          <w:noProof/>
        </w:rPr>
        <w:t>24</w:t>
      </w:r>
      <w:r w:rsidR="00842EB7">
        <w:fldChar w:fldCharType="end"/>
      </w:r>
      <w:r w:rsidR="00C24D06" w:rsidRPr="00866A3F">
        <w:t xml:space="preserve"> for detail</w:t>
      </w:r>
      <w:r w:rsidR="00677CDC">
        <w:t>s</w:t>
      </w:r>
      <w:r w:rsidR="00677CDC" w:rsidRPr="00866A3F">
        <w:t>).</w:t>
      </w:r>
      <w:r w:rsidR="00C24D06" w:rsidRPr="00866A3F">
        <w:t xml:space="preserve"> </w:t>
      </w:r>
    </w:p>
    <w:p w14:paraId="4994CF1B" w14:textId="3A0BAEFF" w:rsidR="00C24D06" w:rsidRPr="00F52FD1" w:rsidRDefault="00B15B4D" w:rsidP="00C24D06">
      <w:r w:rsidRPr="00866A3F">
        <w:t>W</w:t>
      </w:r>
      <w:r w:rsidR="00C24D06" w:rsidRPr="00866A3F">
        <w:t xml:space="preserve">holesale electricity cost movements vary for </w:t>
      </w:r>
      <w:r w:rsidR="00785BD5">
        <w:t>representative</w:t>
      </w:r>
      <w:r w:rsidR="00C24D06" w:rsidRPr="00866A3F">
        <w:t xml:space="preserve"> domestic customer </w:t>
      </w:r>
      <w:r w:rsidR="006A7413" w:rsidRPr="00866A3F">
        <w:t>bills</w:t>
      </w:r>
      <w:r w:rsidR="00C24D06" w:rsidRPr="00866A3F">
        <w:t xml:space="preserve"> across all five Victorian distribution zones. This is because the impact of </w:t>
      </w:r>
      <w:r w:rsidR="00E60635" w:rsidRPr="00866A3F">
        <w:t xml:space="preserve">excluding </w:t>
      </w:r>
      <w:r w:rsidR="00C24D06" w:rsidRPr="00866A3F">
        <w:t xml:space="preserve">solar exports from the </w:t>
      </w:r>
      <w:r w:rsidR="0089256F" w:rsidRPr="00866A3F">
        <w:lastRenderedPageBreak/>
        <w:t xml:space="preserve">customer </w:t>
      </w:r>
      <w:r w:rsidR="00C24D06" w:rsidRPr="00866A3F">
        <w:t xml:space="preserve">load profile </w:t>
      </w:r>
      <w:r w:rsidR="00FB4604" w:rsidRPr="00866A3F">
        <w:t xml:space="preserve">(by moving to a </w:t>
      </w:r>
      <w:r w:rsidR="006E0188" w:rsidRPr="00866A3F">
        <w:t xml:space="preserve">load only </w:t>
      </w:r>
      <w:r w:rsidR="006E0188" w:rsidRPr="00F52FD1">
        <w:t>profile)</w:t>
      </w:r>
      <w:r w:rsidR="00E60635" w:rsidRPr="00F52FD1">
        <w:t xml:space="preserve"> </w:t>
      </w:r>
      <w:r w:rsidR="00C24D06" w:rsidRPr="00F52FD1">
        <w:t xml:space="preserve">is more pronounced in zones with higher solar </w:t>
      </w:r>
      <w:r w:rsidR="00594881" w:rsidRPr="00F52FD1">
        <w:t>uptake</w:t>
      </w:r>
      <w:r w:rsidR="00C24D06" w:rsidRPr="00F52FD1">
        <w:t xml:space="preserve">. </w:t>
      </w:r>
    </w:p>
    <w:p w14:paraId="46E7F4B3" w14:textId="2BAA937F" w:rsidR="00937FB0" w:rsidRPr="00F52FD1" w:rsidRDefault="4C1E35A8" w:rsidP="00937FB0">
      <w:r w:rsidRPr="00F52FD1">
        <w:t>Our</w:t>
      </w:r>
      <w:r w:rsidR="004030B8" w:rsidRPr="00F52FD1">
        <w:t xml:space="preserve"> </w:t>
      </w:r>
      <w:r w:rsidR="00840355" w:rsidRPr="00F52FD1">
        <w:t>final</w:t>
      </w:r>
      <w:r w:rsidR="004030B8" w:rsidRPr="00F52FD1">
        <w:t xml:space="preserve"> decisi</w:t>
      </w:r>
      <w:r w:rsidR="005E47A1" w:rsidRPr="00F52FD1">
        <w:t>on</w:t>
      </w:r>
      <w:r w:rsidR="00C235D0" w:rsidRPr="00F52FD1">
        <w:t xml:space="preserve"> </w:t>
      </w:r>
      <w:r w:rsidR="00937FB0" w:rsidRPr="00F52FD1">
        <w:t xml:space="preserve">has applied a retail operating margin of </w:t>
      </w:r>
      <w:r w:rsidR="00F45AAD">
        <w:t>5</w:t>
      </w:r>
      <w:r w:rsidR="00937FB0" w:rsidRPr="00F52FD1">
        <w:t xml:space="preserve"> per cent of the total Victorian Default Offer cost stack, down from 5.3 per cent in 2024–25 (see page </w:t>
      </w:r>
      <w:r w:rsidR="009D4C88">
        <w:fldChar w:fldCharType="begin"/>
      </w:r>
      <w:r w:rsidR="009D4C88">
        <w:instrText xml:space="preserve"> PAGEREF _Ref196820688 \h </w:instrText>
      </w:r>
      <w:r w:rsidR="009D4C88">
        <w:fldChar w:fldCharType="separate"/>
      </w:r>
      <w:r w:rsidR="003E1323">
        <w:rPr>
          <w:noProof/>
        </w:rPr>
        <w:t>55</w:t>
      </w:r>
      <w:r w:rsidR="009D4C88">
        <w:fldChar w:fldCharType="end"/>
      </w:r>
      <w:r w:rsidR="00937FB0" w:rsidRPr="00F52FD1">
        <w:t>). This reduced margin was set having regard to:</w:t>
      </w:r>
    </w:p>
    <w:p w14:paraId="4BA34241" w14:textId="2EB71E0D" w:rsidR="00937FB0" w:rsidRPr="00F52FD1" w:rsidRDefault="00937FB0" w:rsidP="00D93F38">
      <w:pPr>
        <w:pStyle w:val="ListBullet"/>
      </w:pPr>
      <w:r w:rsidRPr="00F52FD1">
        <w:t>margins set by other Australian regulators</w:t>
      </w:r>
    </w:p>
    <w:p w14:paraId="51319F8A" w14:textId="467F22BA" w:rsidR="00937FB0" w:rsidRPr="00F52FD1" w:rsidRDefault="00937FB0" w:rsidP="00D93F38">
      <w:pPr>
        <w:pStyle w:val="ListBullet"/>
      </w:pPr>
      <w:r w:rsidRPr="00F52FD1">
        <w:t>market offer prices relative to default offer prices</w:t>
      </w:r>
    </w:p>
    <w:p w14:paraId="77C2487F" w14:textId="24015508" w:rsidR="00937FB0" w:rsidRPr="00F52FD1" w:rsidRDefault="00937FB0" w:rsidP="00D93F38">
      <w:pPr>
        <w:pStyle w:val="ListBullet"/>
      </w:pPr>
      <w:r w:rsidRPr="00F52FD1">
        <w:t>the expected returns approach</w:t>
      </w:r>
    </w:p>
    <w:p w14:paraId="73642865" w14:textId="20A6F694" w:rsidR="00937FB0" w:rsidRPr="00F52FD1" w:rsidRDefault="00937FB0" w:rsidP="00D93F38">
      <w:pPr>
        <w:pStyle w:val="ListBullet"/>
      </w:pPr>
      <w:r w:rsidRPr="00F52FD1">
        <w:t xml:space="preserve">retailers’ </w:t>
      </w:r>
      <w:r w:rsidR="00A17A46">
        <w:t>observed</w:t>
      </w:r>
      <w:r w:rsidRPr="00F52FD1">
        <w:t xml:space="preserve"> margins</w:t>
      </w:r>
    </w:p>
    <w:p w14:paraId="646E990F" w14:textId="2771EE34" w:rsidR="00937FB0" w:rsidRPr="00F52FD1" w:rsidRDefault="00937FB0" w:rsidP="00D93F38">
      <w:pPr>
        <w:pStyle w:val="ListBullet"/>
      </w:pPr>
      <w:r w:rsidRPr="00F52FD1">
        <w:t>submissions.</w:t>
      </w:r>
      <w:r w:rsidRPr="00F52FD1">
        <w:rPr>
          <w:rStyle w:val="FootnoteReference"/>
        </w:rPr>
        <w:footnoteReference w:id="16"/>
      </w:r>
    </w:p>
    <w:p w14:paraId="7B03673C" w14:textId="2B1D2945" w:rsidR="00AA2B96" w:rsidRDefault="00AA2B96" w:rsidP="00AA2B96">
      <w:r w:rsidRPr="00866A3F">
        <w:t>Overall, all other cost components of the Victorian Default Offer</w:t>
      </w:r>
      <w:r w:rsidR="006C28CF" w:rsidRPr="00866A3F">
        <w:t>, including retail operating costs,</w:t>
      </w:r>
      <w:r w:rsidRPr="00866A3F">
        <w:t xml:space="preserve"> have remained relatively stable</w:t>
      </w:r>
      <w:r w:rsidR="00251C84">
        <w:t xml:space="preserve"> compared to 2024–25</w:t>
      </w:r>
      <w:r w:rsidR="00CA22BD">
        <w:t>. There were</w:t>
      </w:r>
      <w:r w:rsidRPr="00866A3F">
        <w:t xml:space="preserve"> minor decreases in the environmental costs for </w:t>
      </w:r>
      <w:r w:rsidR="00785BD5">
        <w:t>representative</w:t>
      </w:r>
      <w:r w:rsidRPr="00866A3F">
        <w:t xml:space="preserve"> domestic and small business customer bills </w:t>
      </w:r>
      <w:r w:rsidR="002868C8">
        <w:t>because</w:t>
      </w:r>
      <w:r w:rsidRPr="00866A3F">
        <w:t xml:space="preserve"> of reduced retailer costs associated with Australian Government environmental programs</w:t>
      </w:r>
      <w:r w:rsidR="00A14379">
        <w:t xml:space="preserve"> and the removal of the social cost of carbon</w:t>
      </w:r>
      <w:r w:rsidRPr="00866A3F">
        <w:t>.</w:t>
      </w:r>
    </w:p>
    <w:p w14:paraId="2256B08A" w14:textId="017E6FD8" w:rsidR="00A16C6D" w:rsidRPr="005D57A8" w:rsidRDefault="00D662FA" w:rsidP="00610F02">
      <w:pPr>
        <w:pStyle w:val="Heading2"/>
      </w:pPr>
      <w:bookmarkStart w:id="29" w:name="_Toc198808321"/>
      <w:r w:rsidRPr="005D57A8">
        <w:t>A</w:t>
      </w:r>
      <w:r w:rsidR="000D5C0A" w:rsidRPr="005D57A8">
        <w:t>verage</w:t>
      </w:r>
      <w:r w:rsidR="00A16C6D" w:rsidRPr="005D57A8" w:rsidDel="00BB1CA0">
        <w:t xml:space="preserve"> </w:t>
      </w:r>
      <w:r w:rsidR="00A16C6D" w:rsidRPr="005D57A8" w:rsidDel="000D5C0A">
        <w:t>a</w:t>
      </w:r>
      <w:r w:rsidR="00A16C6D" w:rsidRPr="005D57A8">
        <w:t>nnual bills</w:t>
      </w:r>
      <w:r w:rsidR="00BF636A" w:rsidRPr="005D57A8">
        <w:t xml:space="preserve"> </w:t>
      </w:r>
      <w:r w:rsidRPr="005D57A8">
        <w:t xml:space="preserve">for Victorian Default Offer customers </w:t>
      </w:r>
      <w:r w:rsidR="00F641CE" w:rsidRPr="005D57A8">
        <w:t>will be</w:t>
      </w:r>
      <w:r w:rsidR="00A953DA" w:rsidRPr="005D57A8">
        <w:t xml:space="preserve"> </w:t>
      </w:r>
      <w:r w:rsidR="008B7384" w:rsidRPr="006A7F35">
        <w:t>slightly</w:t>
      </w:r>
      <w:r w:rsidR="00A953DA" w:rsidRPr="006A7F35">
        <w:t xml:space="preserve"> higher</w:t>
      </w:r>
      <w:r w:rsidR="009800CD">
        <w:t xml:space="preserve"> in 2025</w:t>
      </w:r>
      <w:r w:rsidR="00187C5F" w:rsidRPr="00D93F38">
        <w:t>–</w:t>
      </w:r>
      <w:r w:rsidR="00ED3FBD">
        <w:t>‍</w:t>
      </w:r>
      <w:r w:rsidR="009800CD">
        <w:t>26</w:t>
      </w:r>
      <w:r w:rsidR="0092572E">
        <w:t xml:space="preserve"> compared to 2024</w:t>
      </w:r>
      <w:r w:rsidR="00582DDF" w:rsidRPr="00072422">
        <w:t>–</w:t>
      </w:r>
      <w:r w:rsidR="0092572E">
        <w:t>25</w:t>
      </w:r>
      <w:bookmarkEnd w:id="29"/>
    </w:p>
    <w:p w14:paraId="3D020159" w14:textId="5BF0E89D" w:rsidR="00955456" w:rsidRDefault="00955456" w:rsidP="00955456">
      <w:pPr>
        <w:pStyle w:val="Heading3"/>
      </w:pPr>
      <w:r>
        <w:t xml:space="preserve">Average </w:t>
      </w:r>
      <w:r w:rsidR="00AC2152">
        <w:t>domestic</w:t>
      </w:r>
      <w:r>
        <w:t xml:space="preserve"> annual bills </w:t>
      </w:r>
    </w:p>
    <w:p w14:paraId="0C67EA93" w14:textId="3C9C32BA" w:rsidR="0076771F" w:rsidRPr="00F52FD1" w:rsidRDefault="00902ACE" w:rsidP="00902ACE">
      <w:r w:rsidRPr="002E5DDE">
        <w:t xml:space="preserve">The </w:t>
      </w:r>
      <w:r w:rsidRPr="00F52FD1">
        <w:t xml:space="preserve">average annual bill for a </w:t>
      </w:r>
      <w:r w:rsidR="0023071B" w:rsidRPr="00F52FD1">
        <w:t xml:space="preserve">2025–26 </w:t>
      </w:r>
      <w:r w:rsidRPr="00F52FD1">
        <w:t xml:space="preserve">Victorian Default Offer </w:t>
      </w:r>
      <w:r w:rsidR="00045228" w:rsidRPr="00F52FD1">
        <w:t xml:space="preserve">domestic </w:t>
      </w:r>
      <w:r w:rsidRPr="00F52FD1">
        <w:t xml:space="preserve">customer on a flat tariff </w:t>
      </w:r>
      <w:r w:rsidR="00195E50" w:rsidRPr="00F52FD1">
        <w:t>will be</w:t>
      </w:r>
      <w:r w:rsidRPr="00F52FD1">
        <w:t xml:space="preserve"> $</w:t>
      </w:r>
      <w:r w:rsidR="00D133E5" w:rsidRPr="00F52FD1">
        <w:t>1,67</w:t>
      </w:r>
      <w:r w:rsidR="006A7F35" w:rsidRPr="00F52FD1">
        <w:t>5</w:t>
      </w:r>
      <w:r w:rsidR="00C95355" w:rsidRPr="00F52FD1">
        <w:t>. Th</w:t>
      </w:r>
      <w:r w:rsidR="00062A5D" w:rsidRPr="00F52FD1">
        <w:t>is</w:t>
      </w:r>
      <w:r w:rsidR="00906D5A" w:rsidRPr="00F52FD1">
        <w:t xml:space="preserve"> is </w:t>
      </w:r>
      <w:r w:rsidR="00F3706D" w:rsidRPr="00F52FD1">
        <w:t>$</w:t>
      </w:r>
      <w:r w:rsidR="008922D7" w:rsidRPr="00F52FD1">
        <w:t>2</w:t>
      </w:r>
      <w:r w:rsidR="00B94FB9" w:rsidRPr="00F52FD1">
        <w:t>0</w:t>
      </w:r>
      <w:r w:rsidRPr="00F52FD1">
        <w:t xml:space="preserve"> </w:t>
      </w:r>
      <w:r w:rsidR="00906D5A" w:rsidRPr="00F52FD1">
        <w:t>(</w:t>
      </w:r>
      <w:r w:rsidRPr="00F52FD1">
        <w:t xml:space="preserve">or </w:t>
      </w:r>
      <w:r w:rsidR="00623544" w:rsidRPr="00F52FD1">
        <w:t>one</w:t>
      </w:r>
      <w:r w:rsidRPr="00F52FD1">
        <w:t xml:space="preserve"> per cent</w:t>
      </w:r>
      <w:r w:rsidR="00906D5A" w:rsidRPr="00F52FD1">
        <w:t>)</w:t>
      </w:r>
      <w:r w:rsidRPr="00F52FD1">
        <w:t xml:space="preserve"> higher compared to </w:t>
      </w:r>
      <w:r w:rsidR="00301CC8" w:rsidRPr="00F52FD1">
        <w:t>our</w:t>
      </w:r>
      <w:r w:rsidRPr="00F52FD1">
        <w:t xml:space="preserve"> 2024</w:t>
      </w:r>
      <w:r w:rsidR="00F3706D" w:rsidRPr="00F52FD1">
        <w:t>–</w:t>
      </w:r>
      <w:r w:rsidRPr="00F52FD1">
        <w:t>25</w:t>
      </w:r>
      <w:r w:rsidR="00225A93" w:rsidRPr="00F52FD1">
        <w:t xml:space="preserve"> decision</w:t>
      </w:r>
      <w:r w:rsidRPr="00F52FD1">
        <w:t>. This</w:t>
      </w:r>
      <w:r w:rsidR="00C61477" w:rsidRPr="00F52FD1">
        <w:t xml:space="preserve"> </w:t>
      </w:r>
      <w:r w:rsidRPr="00F52FD1">
        <w:t xml:space="preserve">is the average of </w:t>
      </w:r>
      <w:r w:rsidR="00785BD5" w:rsidRPr="00F52FD1">
        <w:t>representative</w:t>
      </w:r>
      <w:r w:rsidRPr="00F52FD1">
        <w:t xml:space="preserve"> </w:t>
      </w:r>
      <w:r w:rsidR="00D117F7" w:rsidRPr="00F52FD1">
        <w:t xml:space="preserve">annual </w:t>
      </w:r>
      <w:r w:rsidRPr="00F52FD1">
        <w:t xml:space="preserve">bills across the five </w:t>
      </w:r>
      <w:r w:rsidR="00EE1B49" w:rsidRPr="00F52FD1">
        <w:t xml:space="preserve">electricity </w:t>
      </w:r>
      <w:r w:rsidRPr="00F52FD1">
        <w:t>distribution zones in Victoria.</w:t>
      </w:r>
      <w:r w:rsidR="004C50E3" w:rsidRPr="00F52FD1">
        <w:rPr>
          <w:rStyle w:val="FootnoteReference"/>
        </w:rPr>
        <w:footnoteReference w:id="17"/>
      </w:r>
      <w:r w:rsidR="0027470B" w:rsidRPr="00F52FD1">
        <w:t xml:space="preserve"> </w:t>
      </w:r>
    </w:p>
    <w:bookmarkEnd w:id="27"/>
    <w:p w14:paraId="6D3675A5" w14:textId="6884400B" w:rsidR="001946CB" w:rsidRPr="002E5DDE" w:rsidRDefault="00047C16" w:rsidP="00902ACE">
      <w:r w:rsidRPr="00F52FD1">
        <w:t>E</w:t>
      </w:r>
      <w:r w:rsidR="001946CB" w:rsidRPr="00F52FD1">
        <w:t>nvironmental costs for the average domestic</w:t>
      </w:r>
      <w:r w:rsidR="001946CB" w:rsidRPr="00970F35">
        <w:t xml:space="preserve"> flat tariff Victorian Default Offer customer have reduced compared to 2024–25 (see Figure 1). </w:t>
      </w:r>
      <w:r w:rsidR="00832DF4" w:rsidRPr="00970F35">
        <w:t>L</w:t>
      </w:r>
      <w:r w:rsidR="001946CB" w:rsidRPr="00970F35">
        <w:t>ower environmental costs, as well as a lower retail operating margin, are offset by the increases in network costs</w:t>
      </w:r>
      <w:r w:rsidR="002B5012">
        <w:t>,</w:t>
      </w:r>
      <w:r w:rsidR="00A818FD" w:rsidRPr="00970F35">
        <w:t xml:space="preserve"> </w:t>
      </w:r>
      <w:r w:rsidR="005602CF" w:rsidRPr="00970F35">
        <w:t xml:space="preserve">retail operating costs </w:t>
      </w:r>
      <w:r w:rsidR="002B5012">
        <w:t>and</w:t>
      </w:r>
      <w:r w:rsidR="004226D8" w:rsidRPr="00970F35">
        <w:t xml:space="preserve"> </w:t>
      </w:r>
      <w:r w:rsidR="00A818FD" w:rsidRPr="00970F35">
        <w:t>wholesale electricity costs</w:t>
      </w:r>
      <w:r w:rsidR="001946CB" w:rsidRPr="00970F35">
        <w:t>.</w:t>
      </w:r>
      <w:r w:rsidR="001946CB" w:rsidRPr="00265A5A">
        <w:t xml:space="preserve"> </w:t>
      </w:r>
    </w:p>
    <w:p w14:paraId="5901EC31" w14:textId="279AC20F" w:rsidR="00902ACE" w:rsidRDefault="00902ACE" w:rsidP="00902ACE">
      <w:pPr>
        <w:pStyle w:val="Figure-Table-BoxHeading"/>
        <w:keepNext/>
      </w:pPr>
      <w:r w:rsidRPr="009C6115">
        <w:lastRenderedPageBreak/>
        <w:t xml:space="preserve">Figure 1: </w:t>
      </w:r>
      <w:r w:rsidR="001966FF">
        <w:t xml:space="preserve">Average </w:t>
      </w:r>
      <w:r w:rsidR="001966FF" w:rsidRPr="002E5DDE">
        <w:t>c</w:t>
      </w:r>
      <w:r w:rsidRPr="002E5DDE">
        <w:t xml:space="preserve">hange in </w:t>
      </w:r>
      <w:r w:rsidR="00DF2FD9" w:rsidRPr="002E5DDE">
        <w:t>2025</w:t>
      </w:r>
      <w:r w:rsidR="00063081" w:rsidRPr="002E5DDE">
        <w:t xml:space="preserve">–26 </w:t>
      </w:r>
      <w:r w:rsidRPr="002E5DDE">
        <w:t>Victorian Default Offer annual bills for domestic customers (assuming annual usage of 4,000 kWh)</w:t>
      </w:r>
      <w:r w:rsidR="00063081" w:rsidRPr="002E5DDE">
        <w:t xml:space="preserve"> compared to 2024–25</w:t>
      </w:r>
    </w:p>
    <w:p w14:paraId="39CEF5A8" w14:textId="50E174D4" w:rsidR="00902ACE" w:rsidRDefault="00326BD1" w:rsidP="00827359">
      <w:pPr>
        <w:keepNext/>
        <w:rPr>
          <w:noProof/>
        </w:rPr>
      </w:pPr>
      <w:r>
        <w:rPr>
          <w:noProof/>
        </w:rPr>
        <w:drawing>
          <wp:inline distT="0" distB="0" distL="0" distR="0" wp14:anchorId="5AD48953" wp14:editId="733C7BB8">
            <wp:extent cx="6120130" cy="3392805"/>
            <wp:effectExtent l="0" t="0" r="0" b="0"/>
            <wp:docPr id="891774629" name="Picture 1" descr="A stacked bar chart showing that the average annual bill for a 2025-26 Victorian default offer domestic customer will be $20 higher compared to our 2024-25 decision. It shows that in both years, wholesale and network costs are the largest components of the Victorian Default Of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74629" name="Picture 1" descr="A stacked bar chart showing that the average annual bill for a 2025-26 Victorian default offer domestic customer will be $20 higher compared to our 2024-25 decision. It shows that in both years, wholesale and network costs are the largest components of the Victorian Default Offer. "/>
                    <pic:cNvPicPr/>
                  </pic:nvPicPr>
                  <pic:blipFill>
                    <a:blip r:embed="rId21">
                      <a:extLst>
                        <a:ext uri="{28A0092B-C50C-407E-A947-70E740481C1C}">
                          <a14:useLocalDpi xmlns:a14="http://schemas.microsoft.com/office/drawing/2010/main" val="0"/>
                        </a:ext>
                      </a:extLst>
                    </a:blip>
                    <a:stretch>
                      <a:fillRect/>
                    </a:stretch>
                  </pic:blipFill>
                  <pic:spPr>
                    <a:xfrm>
                      <a:off x="0" y="0"/>
                      <a:ext cx="6121055" cy="3393318"/>
                    </a:xfrm>
                    <a:prstGeom prst="rect">
                      <a:avLst/>
                    </a:prstGeom>
                  </pic:spPr>
                </pic:pic>
              </a:graphicData>
            </a:graphic>
          </wp:inline>
        </w:drawing>
      </w:r>
    </w:p>
    <w:p w14:paraId="2DDA51A9" w14:textId="293E1490" w:rsidR="00D8440D" w:rsidRDefault="00D8440D" w:rsidP="00D8440D">
      <w:pPr>
        <w:pStyle w:val="Heading3"/>
      </w:pPr>
      <w:r>
        <w:t>Victorian electricity distribution zone comparisons – domestic</w:t>
      </w:r>
    </w:p>
    <w:p w14:paraId="6EA17F89" w14:textId="2CA97F43" w:rsidR="00374901" w:rsidRDefault="00783DEC" w:rsidP="00902ACE">
      <w:r>
        <w:t xml:space="preserve">Figure 1 </w:t>
      </w:r>
      <w:r w:rsidR="00BF18DC">
        <w:t xml:space="preserve">outlines the average </w:t>
      </w:r>
      <w:r w:rsidR="00515337">
        <w:t xml:space="preserve">bill </w:t>
      </w:r>
      <w:r w:rsidR="00BF18DC">
        <w:t>for all domest</w:t>
      </w:r>
      <w:r w:rsidR="00515337">
        <w:t>i</w:t>
      </w:r>
      <w:r w:rsidR="00BF18DC">
        <w:t>c customers</w:t>
      </w:r>
      <w:r w:rsidR="00515337">
        <w:t>. However,</w:t>
      </w:r>
      <w:r w:rsidR="00BF18DC">
        <w:t xml:space="preserve"> m</w:t>
      </w:r>
      <w:r w:rsidR="005F6DE1">
        <w:t>ovements</w:t>
      </w:r>
      <w:r w:rsidR="00902ACE" w:rsidRPr="002E5DDE">
        <w:t xml:space="preserve"> in </w:t>
      </w:r>
      <w:r w:rsidR="00785BD5">
        <w:t>representative</w:t>
      </w:r>
      <w:r w:rsidR="00902ACE" w:rsidRPr="002E5DDE">
        <w:t xml:space="preserve"> </w:t>
      </w:r>
      <w:r w:rsidR="007F6DCA">
        <w:t xml:space="preserve">annual </w:t>
      </w:r>
      <w:r w:rsidR="00902ACE" w:rsidRPr="002E5DDE">
        <w:t xml:space="preserve">bills vary across the five distribution zones in Victoria. </w:t>
      </w:r>
    </w:p>
    <w:p w14:paraId="0AA008F1" w14:textId="13186858" w:rsidR="00D36136" w:rsidRPr="002E5DDE" w:rsidRDefault="00902ACE" w:rsidP="00902ACE">
      <w:r w:rsidRPr="002E5DDE">
        <w:t>Victorian Default Offer domestic customer</w:t>
      </w:r>
      <w:r w:rsidR="003C3B80" w:rsidRPr="002E5DDE">
        <w:t>s</w:t>
      </w:r>
      <w:r w:rsidRPr="002E5DDE">
        <w:t xml:space="preserve"> </w:t>
      </w:r>
      <w:r w:rsidR="007C507C" w:rsidRPr="002E5DDE">
        <w:t xml:space="preserve">will </w:t>
      </w:r>
      <w:r w:rsidR="009A7031" w:rsidRPr="00F263FA">
        <w:t xml:space="preserve">see </w:t>
      </w:r>
      <w:r w:rsidRPr="00F263FA">
        <w:t>bill</w:t>
      </w:r>
      <w:r w:rsidR="009A7031" w:rsidRPr="00F263FA">
        <w:t xml:space="preserve"> change</w:t>
      </w:r>
      <w:r w:rsidRPr="00F263FA">
        <w:t>s rang</w:t>
      </w:r>
      <w:r w:rsidR="009A7031" w:rsidRPr="00F263FA">
        <w:t>ing</w:t>
      </w:r>
      <w:r w:rsidRPr="00F263FA">
        <w:t xml:space="preserve"> from </w:t>
      </w:r>
      <w:r w:rsidR="00716638" w:rsidRPr="00F263FA">
        <w:t>a</w:t>
      </w:r>
      <w:r w:rsidRPr="00F263FA">
        <w:t xml:space="preserve"> $</w:t>
      </w:r>
      <w:r w:rsidR="008939FA" w:rsidRPr="00F263FA">
        <w:t>9</w:t>
      </w:r>
      <w:r w:rsidR="00AE5B13" w:rsidRPr="00F263FA">
        <w:t>0</w:t>
      </w:r>
      <w:r w:rsidR="004E40FF" w:rsidRPr="00F263FA">
        <w:t xml:space="preserve"> increase</w:t>
      </w:r>
      <w:r w:rsidRPr="00F263FA">
        <w:t xml:space="preserve"> (around </w:t>
      </w:r>
      <w:r w:rsidR="00CD2919" w:rsidRPr="00F263FA">
        <w:t>six</w:t>
      </w:r>
      <w:r w:rsidRPr="00F263FA">
        <w:t xml:space="preserve"> per cent) in the </w:t>
      </w:r>
      <w:r w:rsidR="009B5779" w:rsidRPr="00F263FA">
        <w:t>CitiPower</w:t>
      </w:r>
      <w:r w:rsidRPr="00F263FA">
        <w:t xml:space="preserve"> </w:t>
      </w:r>
      <w:r w:rsidR="00FB01FA" w:rsidRPr="00F263FA">
        <w:t>area</w:t>
      </w:r>
      <w:r w:rsidRPr="00F263FA">
        <w:t xml:space="preserve"> to </w:t>
      </w:r>
      <w:r w:rsidR="00FB01FA" w:rsidRPr="00F263FA">
        <w:t xml:space="preserve">decreases of </w:t>
      </w:r>
      <w:r w:rsidRPr="00F263FA">
        <w:t>$</w:t>
      </w:r>
      <w:r w:rsidR="00235278" w:rsidRPr="00F263FA">
        <w:t>2</w:t>
      </w:r>
      <w:r w:rsidR="001135C7" w:rsidRPr="00F263FA">
        <w:t>6</w:t>
      </w:r>
      <w:r w:rsidRPr="00F263FA">
        <w:t xml:space="preserve"> (around </w:t>
      </w:r>
      <w:r w:rsidR="00F57237" w:rsidRPr="00F263FA">
        <w:t>two</w:t>
      </w:r>
      <w:r w:rsidRPr="00F263FA">
        <w:t xml:space="preserve"> per cent) in the </w:t>
      </w:r>
      <w:r w:rsidR="00265181" w:rsidRPr="00F263FA">
        <w:t>Jemena</w:t>
      </w:r>
      <w:r w:rsidRPr="00F263FA">
        <w:t xml:space="preserve"> </w:t>
      </w:r>
      <w:r w:rsidR="00FB01FA" w:rsidRPr="00F263FA">
        <w:t>area</w:t>
      </w:r>
      <w:r w:rsidRPr="00F263FA">
        <w:t xml:space="preserve">. </w:t>
      </w:r>
      <w:r w:rsidR="00871D0B" w:rsidRPr="00F263FA">
        <w:t>CitiPower</w:t>
      </w:r>
      <w:r w:rsidR="00CE14E7" w:rsidRPr="00F263FA">
        <w:t xml:space="preserve"> has the highest forecast increase</w:t>
      </w:r>
      <w:r w:rsidR="00F01770" w:rsidRPr="00F263FA">
        <w:t xml:space="preserve">, </w:t>
      </w:r>
      <w:r w:rsidR="005F3221" w:rsidRPr="00F263FA">
        <w:t xml:space="preserve">however </w:t>
      </w:r>
      <w:r w:rsidR="00F01770" w:rsidRPr="00F263FA">
        <w:t xml:space="preserve">domestic customers in this area continue to have the lowest </w:t>
      </w:r>
      <w:r w:rsidR="00785BD5" w:rsidRPr="00F263FA">
        <w:t>representative</w:t>
      </w:r>
      <w:r w:rsidR="00F01770" w:rsidRPr="00F263FA">
        <w:t xml:space="preserve"> bills in Victor</w:t>
      </w:r>
      <w:r w:rsidR="00417F1F" w:rsidRPr="00F263FA">
        <w:t>i</w:t>
      </w:r>
      <w:r w:rsidR="00F01770" w:rsidRPr="00F263FA">
        <w:t>a.</w:t>
      </w:r>
      <w:r w:rsidR="00F01770" w:rsidRPr="002E5DDE">
        <w:t xml:space="preserve"> </w:t>
      </w:r>
    </w:p>
    <w:p w14:paraId="32E85526" w14:textId="1DFCBCB1" w:rsidR="009D3A41" w:rsidRDefault="00902ACE" w:rsidP="009D3A41">
      <w:r w:rsidRPr="00DF5891">
        <w:t xml:space="preserve">Table </w:t>
      </w:r>
      <w:r w:rsidR="00EA62F1">
        <w:t>2</w:t>
      </w:r>
      <w:r w:rsidRPr="00DF5891">
        <w:t xml:space="preserve"> shows the movement in</w:t>
      </w:r>
      <w:r w:rsidR="00AE537C" w:rsidRPr="00DF5891">
        <w:t xml:space="preserve"> </w:t>
      </w:r>
      <w:r w:rsidR="00785BD5">
        <w:t>representative</w:t>
      </w:r>
      <w:r w:rsidRPr="00DF5891">
        <w:t xml:space="preserve"> annual bills for domestic Victorian Default Offer customers in each zone and on average across the zones</w:t>
      </w:r>
      <w:r w:rsidR="00AE537C" w:rsidRPr="00DF5891">
        <w:t>, as</w:t>
      </w:r>
      <w:r w:rsidRPr="00DF5891">
        <w:t xml:space="preserve"> </w:t>
      </w:r>
      <w:r w:rsidR="00AE537C" w:rsidRPr="00DF5891">
        <w:t>compared to 2024</w:t>
      </w:r>
      <w:r w:rsidR="00842194">
        <w:t>–</w:t>
      </w:r>
      <w:r w:rsidR="00AE537C" w:rsidRPr="00DF5891">
        <w:t xml:space="preserve">25 </w:t>
      </w:r>
      <w:r w:rsidRPr="00DF5891">
        <w:t xml:space="preserve">(assuming </w:t>
      </w:r>
      <w:r w:rsidR="00E21230" w:rsidRPr="00DF5891">
        <w:t>4,000</w:t>
      </w:r>
      <w:r w:rsidR="00B75924">
        <w:t xml:space="preserve"> </w:t>
      </w:r>
      <w:r w:rsidR="00E21230" w:rsidRPr="00DF5891">
        <w:t>kilowatt</w:t>
      </w:r>
      <w:r w:rsidRPr="00DF5891">
        <w:t xml:space="preserve"> hours </w:t>
      </w:r>
      <w:r w:rsidR="00C867BA" w:rsidRPr="00DF5891">
        <w:t xml:space="preserve">annual </w:t>
      </w:r>
      <w:r w:rsidRPr="00DF5891">
        <w:t>usage).</w:t>
      </w:r>
      <w:r w:rsidR="00783D7B" w:rsidRPr="00DF5891">
        <w:t xml:space="preserve"> </w:t>
      </w:r>
    </w:p>
    <w:p w14:paraId="42D899CE" w14:textId="3EB23110" w:rsidR="00BA7F57" w:rsidRDefault="00BA7F57" w:rsidP="00BA7F57">
      <w:pPr>
        <w:pStyle w:val="Figure-Table-BoxHeading"/>
        <w:keepNext/>
        <w:rPr>
          <w:noProof/>
        </w:rPr>
      </w:pPr>
      <w:r>
        <w:rPr>
          <w:noProof/>
        </w:rPr>
        <w:lastRenderedPageBreak/>
        <w:t xml:space="preserve">Table </w:t>
      </w:r>
      <w:r w:rsidR="00EA62F1">
        <w:rPr>
          <w:noProof/>
        </w:rPr>
        <w:t>2</w:t>
      </w:r>
      <w:r>
        <w:rPr>
          <w:noProof/>
        </w:rPr>
        <w:t>: Change in average annual Victorian Default Offer bills for domestic customer</w:t>
      </w:r>
      <w:r w:rsidR="00B23DE7">
        <w:rPr>
          <w:noProof/>
        </w:rPr>
        <w:t>s</w:t>
      </w:r>
      <w:r>
        <w:rPr>
          <w:noProof/>
        </w:rPr>
        <w:t xml:space="preserve"> on flat tariff (nominal assuming 4,000 kWh/year)</w:t>
      </w:r>
      <w:r>
        <w:rPr>
          <w:rStyle w:val="FootnoteReference"/>
          <w:noProof/>
        </w:rPr>
        <w:footnoteReference w:id="18"/>
      </w:r>
    </w:p>
    <w:tbl>
      <w:tblPr>
        <w:tblStyle w:val="TableGrid"/>
        <w:tblW w:w="5000" w:type="pct"/>
        <w:tblLook w:val="04A0" w:firstRow="1" w:lastRow="0" w:firstColumn="1" w:lastColumn="0" w:noHBand="0" w:noVBand="1"/>
      </w:tblPr>
      <w:tblGrid>
        <w:gridCol w:w="1847"/>
        <w:gridCol w:w="1049"/>
        <w:gridCol w:w="1376"/>
        <w:gridCol w:w="1376"/>
        <w:gridCol w:w="1376"/>
        <w:gridCol w:w="1376"/>
        <w:gridCol w:w="1238"/>
      </w:tblGrid>
      <w:tr w:rsidR="00946124" w14:paraId="31DBE9D6" w14:textId="77777777" w:rsidTr="005C4574">
        <w:trPr>
          <w:cnfStyle w:val="100000000000" w:firstRow="1" w:lastRow="0" w:firstColumn="0" w:lastColumn="0" w:oddVBand="0" w:evenVBand="0" w:oddHBand="0" w:evenHBand="0" w:firstRowFirstColumn="0" w:firstRowLastColumn="0" w:lastRowFirstColumn="0" w:lastRowLastColumn="0"/>
        </w:trPr>
        <w:tc>
          <w:tcPr>
            <w:tcW w:w="882" w:type="pct"/>
          </w:tcPr>
          <w:p w14:paraId="132388DB" w14:textId="77777777" w:rsidR="00946124" w:rsidRPr="00082781" w:rsidRDefault="00946124">
            <w:pPr>
              <w:pStyle w:val="TableBold"/>
              <w:keepNext/>
              <w:rPr>
                <w:b/>
              </w:rPr>
            </w:pPr>
          </w:p>
        </w:tc>
        <w:tc>
          <w:tcPr>
            <w:tcW w:w="544" w:type="pct"/>
            <w:tcBorders>
              <w:top w:val="nil"/>
              <w:bottom w:val="nil"/>
            </w:tcBorders>
          </w:tcPr>
          <w:p w14:paraId="5546023D" w14:textId="77777777" w:rsidR="00946124" w:rsidRPr="00082781" w:rsidRDefault="00946124">
            <w:pPr>
              <w:pStyle w:val="TableBold"/>
              <w:keepNext/>
              <w:rPr>
                <w:b/>
              </w:rPr>
            </w:pPr>
            <w:r>
              <w:rPr>
                <w:b/>
              </w:rPr>
              <w:t>AusNet</w:t>
            </w:r>
          </w:p>
        </w:tc>
        <w:tc>
          <w:tcPr>
            <w:tcW w:w="714" w:type="pct"/>
            <w:tcBorders>
              <w:top w:val="nil"/>
              <w:bottom w:val="nil"/>
            </w:tcBorders>
          </w:tcPr>
          <w:p w14:paraId="79D0BF57" w14:textId="77777777" w:rsidR="00946124" w:rsidRPr="00082781" w:rsidRDefault="00946124">
            <w:pPr>
              <w:pStyle w:val="TableBold"/>
              <w:keepNext/>
              <w:rPr>
                <w:b/>
              </w:rPr>
            </w:pPr>
            <w:r>
              <w:rPr>
                <w:b/>
              </w:rPr>
              <w:t>CitiPower</w:t>
            </w:r>
          </w:p>
        </w:tc>
        <w:tc>
          <w:tcPr>
            <w:tcW w:w="714" w:type="pct"/>
            <w:tcBorders>
              <w:top w:val="nil"/>
              <w:bottom w:val="nil"/>
            </w:tcBorders>
          </w:tcPr>
          <w:p w14:paraId="58495CFF" w14:textId="77777777" w:rsidR="00946124" w:rsidRPr="00082781" w:rsidRDefault="00946124">
            <w:pPr>
              <w:pStyle w:val="TableBold"/>
              <w:keepNext/>
              <w:rPr>
                <w:b/>
              </w:rPr>
            </w:pPr>
            <w:r w:rsidRPr="00082781">
              <w:rPr>
                <w:b/>
              </w:rPr>
              <w:t>Jemena</w:t>
            </w:r>
          </w:p>
        </w:tc>
        <w:tc>
          <w:tcPr>
            <w:tcW w:w="714" w:type="pct"/>
            <w:tcBorders>
              <w:top w:val="nil"/>
              <w:bottom w:val="nil"/>
            </w:tcBorders>
          </w:tcPr>
          <w:p w14:paraId="11818E29" w14:textId="77777777" w:rsidR="00946124" w:rsidRPr="00082781" w:rsidRDefault="00946124">
            <w:pPr>
              <w:pStyle w:val="TableBold"/>
              <w:keepNext/>
              <w:rPr>
                <w:b/>
              </w:rPr>
            </w:pPr>
            <w:r w:rsidRPr="00082781">
              <w:rPr>
                <w:b/>
              </w:rPr>
              <w:t>Powercor</w:t>
            </w:r>
          </w:p>
        </w:tc>
        <w:tc>
          <w:tcPr>
            <w:tcW w:w="714" w:type="pct"/>
            <w:tcBorders>
              <w:top w:val="nil"/>
              <w:bottom w:val="nil"/>
            </w:tcBorders>
          </w:tcPr>
          <w:p w14:paraId="32378779" w14:textId="77777777" w:rsidR="00946124" w:rsidRPr="00082781" w:rsidRDefault="00946124">
            <w:pPr>
              <w:pStyle w:val="TableBold"/>
              <w:keepNext/>
              <w:rPr>
                <w:b/>
              </w:rPr>
            </w:pPr>
            <w:r w:rsidRPr="00082781">
              <w:rPr>
                <w:b/>
              </w:rPr>
              <w:t>United Energy</w:t>
            </w:r>
          </w:p>
        </w:tc>
        <w:tc>
          <w:tcPr>
            <w:tcW w:w="716" w:type="pct"/>
            <w:tcBorders>
              <w:top w:val="nil"/>
              <w:bottom w:val="nil"/>
            </w:tcBorders>
          </w:tcPr>
          <w:p w14:paraId="1754F8DD" w14:textId="77777777" w:rsidR="00946124" w:rsidRPr="00082781" w:rsidRDefault="00946124">
            <w:pPr>
              <w:pStyle w:val="TableBold"/>
              <w:keepNext/>
              <w:rPr>
                <w:b/>
              </w:rPr>
            </w:pPr>
            <w:r w:rsidRPr="00082781">
              <w:rPr>
                <w:b/>
              </w:rPr>
              <w:t>Victorian average</w:t>
            </w:r>
          </w:p>
        </w:tc>
      </w:tr>
      <w:tr w:rsidR="009E12BB" w14:paraId="54D20783" w14:textId="77777777" w:rsidTr="005C4574">
        <w:trPr>
          <w:cnfStyle w:val="000000100000" w:firstRow="0" w:lastRow="0" w:firstColumn="0" w:lastColumn="0" w:oddVBand="0" w:evenVBand="0" w:oddHBand="1" w:evenHBand="0" w:firstRowFirstColumn="0" w:firstRowLastColumn="0" w:lastRowFirstColumn="0" w:lastRowLastColumn="0"/>
        </w:trPr>
        <w:tc>
          <w:tcPr>
            <w:tcW w:w="958" w:type="pct"/>
          </w:tcPr>
          <w:p w14:paraId="5CA68F62" w14:textId="50A876B4" w:rsidR="009E12BB" w:rsidRPr="00223B6D" w:rsidRDefault="009E12BB" w:rsidP="009E12BB">
            <w:pPr>
              <w:pStyle w:val="TableBody"/>
              <w:keepNext/>
              <w:rPr>
                <w:b/>
              </w:rPr>
            </w:pPr>
            <w:r w:rsidRPr="00223B6D">
              <w:rPr>
                <w:b/>
              </w:rPr>
              <w:t>2024–25</w:t>
            </w:r>
          </w:p>
          <w:p w14:paraId="7CD777DE" w14:textId="77777777" w:rsidR="009E12BB" w:rsidRPr="009F2A05" w:rsidRDefault="009E12BB" w:rsidP="009E12BB">
            <w:pPr>
              <w:pStyle w:val="TableBody"/>
              <w:keepNext/>
              <w:rPr>
                <w:noProof/>
              </w:rPr>
            </w:pPr>
            <w:r w:rsidRPr="00223B6D">
              <w:rPr>
                <w:b/>
              </w:rPr>
              <w:t>(final decision)</w:t>
            </w:r>
          </w:p>
        </w:tc>
        <w:tc>
          <w:tcPr>
            <w:tcW w:w="474" w:type="pct"/>
            <w:tcBorders>
              <w:top w:val="nil"/>
            </w:tcBorders>
          </w:tcPr>
          <w:p w14:paraId="711E749C" w14:textId="684E2EA2" w:rsidR="009E12BB" w:rsidRPr="009F3A8D" w:rsidRDefault="009E12BB" w:rsidP="009E12BB">
            <w:pPr>
              <w:pStyle w:val="TableBody"/>
              <w:keepNext/>
              <w:jc w:val="center"/>
              <w:rPr>
                <w:noProof/>
              </w:rPr>
            </w:pPr>
            <w:r w:rsidRPr="009F3A8D">
              <w:rPr>
                <w:noProof/>
              </w:rPr>
              <w:t>$</w:t>
            </w:r>
            <w:r w:rsidR="00B77C87">
              <w:rPr>
                <w:noProof/>
              </w:rPr>
              <w:t>1,902</w:t>
            </w:r>
          </w:p>
        </w:tc>
        <w:tc>
          <w:tcPr>
            <w:tcW w:w="714" w:type="pct"/>
            <w:tcBorders>
              <w:top w:val="nil"/>
            </w:tcBorders>
          </w:tcPr>
          <w:p w14:paraId="386C7357" w14:textId="552B45F7" w:rsidR="009E12BB" w:rsidRPr="009F3A8D" w:rsidRDefault="009E12BB" w:rsidP="009E12BB">
            <w:pPr>
              <w:pStyle w:val="TableBody"/>
              <w:keepNext/>
              <w:jc w:val="center"/>
              <w:rPr>
                <w:noProof/>
              </w:rPr>
            </w:pPr>
            <w:r w:rsidRPr="009F3A8D">
              <w:rPr>
                <w:noProof/>
              </w:rPr>
              <w:t>$</w:t>
            </w:r>
            <w:r w:rsidR="00B77C87">
              <w:rPr>
                <w:noProof/>
              </w:rPr>
              <w:t>1,456</w:t>
            </w:r>
          </w:p>
        </w:tc>
        <w:tc>
          <w:tcPr>
            <w:tcW w:w="714" w:type="pct"/>
            <w:tcBorders>
              <w:top w:val="nil"/>
            </w:tcBorders>
          </w:tcPr>
          <w:p w14:paraId="3391B563" w14:textId="2C03A2BE" w:rsidR="009E12BB" w:rsidRPr="009F3A8D" w:rsidRDefault="00B77C87" w:rsidP="009E12BB">
            <w:pPr>
              <w:pStyle w:val="TableBody"/>
              <w:keepNext/>
              <w:jc w:val="center"/>
              <w:rPr>
                <w:noProof/>
              </w:rPr>
            </w:pPr>
            <w:r>
              <w:rPr>
                <w:noProof/>
              </w:rPr>
              <w:t>$1,664</w:t>
            </w:r>
          </w:p>
        </w:tc>
        <w:tc>
          <w:tcPr>
            <w:tcW w:w="714" w:type="pct"/>
            <w:tcBorders>
              <w:top w:val="nil"/>
            </w:tcBorders>
          </w:tcPr>
          <w:p w14:paraId="77E85634" w14:textId="3EC4A549" w:rsidR="009E12BB" w:rsidRPr="009F3A8D" w:rsidRDefault="009E12BB" w:rsidP="009E12BB">
            <w:pPr>
              <w:pStyle w:val="TableBody"/>
              <w:keepNext/>
              <w:jc w:val="center"/>
              <w:rPr>
                <w:noProof/>
              </w:rPr>
            </w:pPr>
            <w:r w:rsidRPr="009F3A8D">
              <w:rPr>
                <w:noProof/>
              </w:rPr>
              <w:t>$</w:t>
            </w:r>
            <w:r w:rsidR="00B77C87">
              <w:rPr>
                <w:noProof/>
              </w:rPr>
              <w:t>1,699</w:t>
            </w:r>
          </w:p>
        </w:tc>
        <w:tc>
          <w:tcPr>
            <w:tcW w:w="714" w:type="pct"/>
            <w:tcBorders>
              <w:top w:val="nil"/>
            </w:tcBorders>
          </w:tcPr>
          <w:p w14:paraId="273FEE6C" w14:textId="2729E6F7" w:rsidR="009E12BB" w:rsidRPr="009F3A8D" w:rsidRDefault="009E12BB" w:rsidP="009E12BB">
            <w:pPr>
              <w:pStyle w:val="TableBody"/>
              <w:keepNext/>
              <w:jc w:val="center"/>
              <w:rPr>
                <w:noProof/>
              </w:rPr>
            </w:pPr>
            <w:r w:rsidRPr="009F3A8D">
              <w:rPr>
                <w:noProof/>
              </w:rPr>
              <w:t>$</w:t>
            </w:r>
            <w:r w:rsidR="00B77C87">
              <w:rPr>
                <w:noProof/>
              </w:rPr>
              <w:t>1,554</w:t>
            </w:r>
          </w:p>
        </w:tc>
        <w:tc>
          <w:tcPr>
            <w:tcW w:w="711" w:type="pct"/>
            <w:tcBorders>
              <w:top w:val="nil"/>
            </w:tcBorders>
          </w:tcPr>
          <w:p w14:paraId="5AAA5D81" w14:textId="7E8AF682" w:rsidR="009E12BB" w:rsidRPr="0043443E" w:rsidRDefault="009E12BB" w:rsidP="009E12BB">
            <w:pPr>
              <w:pStyle w:val="TableBody"/>
              <w:keepNext/>
              <w:jc w:val="center"/>
              <w:rPr>
                <w:b/>
              </w:rPr>
            </w:pPr>
            <w:r w:rsidRPr="0043443E">
              <w:rPr>
                <w:b/>
              </w:rPr>
              <w:t>$</w:t>
            </w:r>
            <w:r w:rsidR="00B77C87" w:rsidRPr="0043443E">
              <w:rPr>
                <w:b/>
              </w:rPr>
              <w:t>1,655</w:t>
            </w:r>
          </w:p>
        </w:tc>
      </w:tr>
      <w:tr w:rsidR="009E12BB" w14:paraId="39B1F926" w14:textId="77777777" w:rsidTr="005C4574">
        <w:trPr>
          <w:cnfStyle w:val="000000010000" w:firstRow="0" w:lastRow="0" w:firstColumn="0" w:lastColumn="0" w:oddVBand="0" w:evenVBand="0" w:oddHBand="0" w:evenHBand="1" w:firstRowFirstColumn="0" w:firstRowLastColumn="0" w:lastRowFirstColumn="0" w:lastRowLastColumn="0"/>
        </w:trPr>
        <w:tc>
          <w:tcPr>
            <w:tcW w:w="958" w:type="pct"/>
          </w:tcPr>
          <w:p w14:paraId="18770AC7" w14:textId="69DEAD2E" w:rsidR="009E12BB" w:rsidRDefault="009E12BB" w:rsidP="009E12BB">
            <w:pPr>
              <w:pStyle w:val="TableBody"/>
              <w:keepNext/>
              <w:rPr>
                <w:b/>
                <w:bCs/>
                <w:noProof/>
              </w:rPr>
            </w:pPr>
            <w:r w:rsidRPr="00082781">
              <w:rPr>
                <w:b/>
                <w:bCs/>
                <w:noProof/>
              </w:rPr>
              <w:t>2025</w:t>
            </w:r>
            <w:r>
              <w:rPr>
                <w:b/>
                <w:bCs/>
                <w:noProof/>
              </w:rPr>
              <w:t>–</w:t>
            </w:r>
            <w:r w:rsidRPr="00082781">
              <w:rPr>
                <w:b/>
                <w:bCs/>
                <w:noProof/>
              </w:rPr>
              <w:t xml:space="preserve">26 </w:t>
            </w:r>
          </w:p>
          <w:p w14:paraId="29E53422" w14:textId="729D508E" w:rsidR="009E12BB" w:rsidRPr="00082781" w:rsidRDefault="009E12BB" w:rsidP="009E12BB">
            <w:pPr>
              <w:pStyle w:val="TableBody"/>
              <w:keepNext/>
              <w:rPr>
                <w:b/>
                <w:bCs/>
                <w:noProof/>
              </w:rPr>
            </w:pPr>
            <w:r w:rsidRPr="00082781">
              <w:rPr>
                <w:b/>
                <w:bCs/>
                <w:noProof/>
              </w:rPr>
              <w:t>(</w:t>
            </w:r>
            <w:r>
              <w:rPr>
                <w:b/>
                <w:bCs/>
                <w:noProof/>
              </w:rPr>
              <w:t>final</w:t>
            </w:r>
            <w:r w:rsidRPr="00082781">
              <w:rPr>
                <w:b/>
                <w:bCs/>
                <w:noProof/>
              </w:rPr>
              <w:t xml:space="preserve"> decision)</w:t>
            </w:r>
          </w:p>
        </w:tc>
        <w:tc>
          <w:tcPr>
            <w:tcW w:w="474" w:type="pct"/>
          </w:tcPr>
          <w:p w14:paraId="590DCCE6" w14:textId="1049A77E" w:rsidR="009E12BB" w:rsidRDefault="009E12BB" w:rsidP="009E12BB">
            <w:pPr>
              <w:pStyle w:val="TableBody"/>
              <w:keepNext/>
              <w:jc w:val="center"/>
              <w:rPr>
                <w:noProof/>
              </w:rPr>
            </w:pPr>
            <w:r w:rsidRPr="00E32C89">
              <w:rPr>
                <w:noProof/>
              </w:rPr>
              <w:t>$</w:t>
            </w:r>
            <w:r w:rsidR="00B56538">
              <w:rPr>
                <w:noProof/>
              </w:rPr>
              <w:t>1,908</w:t>
            </w:r>
          </w:p>
        </w:tc>
        <w:tc>
          <w:tcPr>
            <w:tcW w:w="714" w:type="pct"/>
          </w:tcPr>
          <w:p w14:paraId="017A7783" w14:textId="5FD63557" w:rsidR="009E12BB" w:rsidRDefault="009E12BB" w:rsidP="009E12BB">
            <w:pPr>
              <w:pStyle w:val="TableBody"/>
              <w:keepNext/>
              <w:jc w:val="center"/>
              <w:rPr>
                <w:noProof/>
              </w:rPr>
            </w:pPr>
            <w:r w:rsidRPr="00E32C89">
              <w:rPr>
                <w:noProof/>
              </w:rPr>
              <w:t>$</w:t>
            </w:r>
            <w:r w:rsidR="00B56538">
              <w:rPr>
                <w:noProof/>
              </w:rPr>
              <w:t>1,54</w:t>
            </w:r>
            <w:r w:rsidR="009950C5">
              <w:rPr>
                <w:noProof/>
              </w:rPr>
              <w:t>6</w:t>
            </w:r>
          </w:p>
        </w:tc>
        <w:tc>
          <w:tcPr>
            <w:tcW w:w="714" w:type="pct"/>
          </w:tcPr>
          <w:p w14:paraId="52479BE7" w14:textId="4F3A26E6" w:rsidR="009E12BB" w:rsidRDefault="009E12BB" w:rsidP="009E12BB">
            <w:pPr>
              <w:pStyle w:val="TableBody"/>
              <w:keepNext/>
              <w:jc w:val="center"/>
              <w:rPr>
                <w:noProof/>
              </w:rPr>
            </w:pPr>
            <w:r w:rsidRPr="00E32C89">
              <w:rPr>
                <w:noProof/>
              </w:rPr>
              <w:t>$</w:t>
            </w:r>
            <w:r w:rsidR="00E64EEC">
              <w:rPr>
                <w:noProof/>
              </w:rPr>
              <w:t>1,63</w:t>
            </w:r>
            <w:r w:rsidR="009950C5">
              <w:rPr>
                <w:noProof/>
              </w:rPr>
              <w:t>8</w:t>
            </w:r>
          </w:p>
        </w:tc>
        <w:tc>
          <w:tcPr>
            <w:tcW w:w="714" w:type="pct"/>
          </w:tcPr>
          <w:p w14:paraId="2034D96B" w14:textId="1FF6F7D7" w:rsidR="009E12BB" w:rsidRDefault="009E12BB" w:rsidP="009E12BB">
            <w:pPr>
              <w:pStyle w:val="TableBody"/>
              <w:keepNext/>
              <w:jc w:val="center"/>
              <w:rPr>
                <w:noProof/>
              </w:rPr>
            </w:pPr>
            <w:r w:rsidRPr="00E32C89">
              <w:rPr>
                <w:noProof/>
              </w:rPr>
              <w:t>$</w:t>
            </w:r>
            <w:r w:rsidR="001612B9">
              <w:rPr>
                <w:noProof/>
              </w:rPr>
              <w:t>1,70</w:t>
            </w:r>
            <w:r w:rsidR="0035479A">
              <w:rPr>
                <w:noProof/>
              </w:rPr>
              <w:t>3</w:t>
            </w:r>
          </w:p>
        </w:tc>
        <w:tc>
          <w:tcPr>
            <w:tcW w:w="714" w:type="pct"/>
          </w:tcPr>
          <w:p w14:paraId="26859D6A" w14:textId="74C87068" w:rsidR="009E12BB" w:rsidRDefault="009E12BB" w:rsidP="009E12BB">
            <w:pPr>
              <w:pStyle w:val="TableBody"/>
              <w:keepNext/>
              <w:jc w:val="center"/>
              <w:rPr>
                <w:noProof/>
              </w:rPr>
            </w:pPr>
            <w:r w:rsidRPr="00E32C89">
              <w:rPr>
                <w:noProof/>
              </w:rPr>
              <w:t>$</w:t>
            </w:r>
            <w:r w:rsidR="00DE0299">
              <w:rPr>
                <w:noProof/>
              </w:rPr>
              <w:t>1,5</w:t>
            </w:r>
            <w:r w:rsidR="00884D6B">
              <w:rPr>
                <w:noProof/>
              </w:rPr>
              <w:t>79</w:t>
            </w:r>
          </w:p>
        </w:tc>
        <w:tc>
          <w:tcPr>
            <w:tcW w:w="711" w:type="pct"/>
          </w:tcPr>
          <w:p w14:paraId="6EF4A02E" w14:textId="53E1A1DE" w:rsidR="009E12BB" w:rsidRPr="009E12BB" w:rsidRDefault="009E12BB" w:rsidP="009E12BB">
            <w:pPr>
              <w:pStyle w:val="TableBody"/>
              <w:keepNext/>
              <w:jc w:val="center"/>
              <w:rPr>
                <w:b/>
                <w:bCs/>
              </w:rPr>
            </w:pPr>
            <w:r w:rsidRPr="009E12BB">
              <w:rPr>
                <w:b/>
                <w:bCs/>
                <w:noProof/>
              </w:rPr>
              <w:t>$</w:t>
            </w:r>
            <w:r w:rsidR="00DE0299">
              <w:rPr>
                <w:b/>
                <w:bCs/>
                <w:noProof/>
              </w:rPr>
              <w:t>1</w:t>
            </w:r>
            <w:r w:rsidR="00853C89">
              <w:rPr>
                <w:b/>
                <w:bCs/>
                <w:noProof/>
              </w:rPr>
              <w:t>,67</w:t>
            </w:r>
            <w:r w:rsidR="00AB2ADD">
              <w:rPr>
                <w:b/>
                <w:bCs/>
                <w:noProof/>
              </w:rPr>
              <w:t>5</w:t>
            </w:r>
          </w:p>
        </w:tc>
      </w:tr>
      <w:tr w:rsidR="009E12BB" w14:paraId="2C723CFD" w14:textId="77777777" w:rsidTr="005C4574">
        <w:trPr>
          <w:cnfStyle w:val="000000100000" w:firstRow="0" w:lastRow="0" w:firstColumn="0" w:lastColumn="0" w:oddVBand="0" w:evenVBand="0" w:oddHBand="1" w:evenHBand="0" w:firstRowFirstColumn="0" w:firstRowLastColumn="0" w:lastRowFirstColumn="0" w:lastRowLastColumn="0"/>
        </w:trPr>
        <w:tc>
          <w:tcPr>
            <w:tcW w:w="958" w:type="pct"/>
          </w:tcPr>
          <w:p w14:paraId="7BB00B21" w14:textId="77777777" w:rsidR="009E12BB" w:rsidRPr="00082781" w:rsidRDefault="009E12BB" w:rsidP="009E12BB">
            <w:pPr>
              <w:pStyle w:val="TableBody"/>
              <w:keepNext/>
              <w:rPr>
                <w:b/>
                <w:bCs/>
                <w:noProof/>
              </w:rPr>
            </w:pPr>
            <w:r w:rsidRPr="00082781">
              <w:rPr>
                <w:b/>
                <w:bCs/>
                <w:noProof/>
              </w:rPr>
              <w:t>Change in $</w:t>
            </w:r>
          </w:p>
        </w:tc>
        <w:tc>
          <w:tcPr>
            <w:tcW w:w="474" w:type="pct"/>
          </w:tcPr>
          <w:p w14:paraId="2BA7F982" w14:textId="458AFEE7" w:rsidR="009E12BB" w:rsidRDefault="009E12BB" w:rsidP="009E12BB">
            <w:pPr>
              <w:pStyle w:val="TableBody"/>
              <w:keepNext/>
              <w:jc w:val="center"/>
              <w:rPr>
                <w:noProof/>
              </w:rPr>
            </w:pPr>
            <w:r w:rsidRPr="006F35B7">
              <w:rPr>
                <w:noProof/>
              </w:rPr>
              <w:t>$</w:t>
            </w:r>
            <w:r w:rsidR="004528D4">
              <w:rPr>
                <w:noProof/>
              </w:rPr>
              <w:t>6</w:t>
            </w:r>
          </w:p>
        </w:tc>
        <w:tc>
          <w:tcPr>
            <w:tcW w:w="714" w:type="pct"/>
          </w:tcPr>
          <w:p w14:paraId="661BC844" w14:textId="6256F51A" w:rsidR="009E12BB" w:rsidRDefault="009E12BB" w:rsidP="009E12BB">
            <w:pPr>
              <w:pStyle w:val="TableBody"/>
              <w:keepNext/>
              <w:jc w:val="center"/>
              <w:rPr>
                <w:noProof/>
              </w:rPr>
            </w:pPr>
            <w:r w:rsidRPr="006F35B7">
              <w:rPr>
                <w:noProof/>
              </w:rPr>
              <w:t>$</w:t>
            </w:r>
            <w:r w:rsidR="00BF1ADB">
              <w:rPr>
                <w:noProof/>
              </w:rPr>
              <w:t>9</w:t>
            </w:r>
            <w:r w:rsidR="00AB2ADD">
              <w:rPr>
                <w:noProof/>
              </w:rPr>
              <w:t>0</w:t>
            </w:r>
          </w:p>
        </w:tc>
        <w:tc>
          <w:tcPr>
            <w:tcW w:w="714" w:type="pct"/>
          </w:tcPr>
          <w:p w14:paraId="52DEC2F3" w14:textId="119FE27B" w:rsidR="009E12BB" w:rsidRDefault="00105759" w:rsidP="00E274A7">
            <w:pPr>
              <w:pStyle w:val="TableBody"/>
              <w:keepNext/>
              <w:jc w:val="center"/>
              <w:rPr>
                <w:noProof/>
              </w:rPr>
            </w:pPr>
            <w:r>
              <w:rPr>
                <w:noProof/>
              </w:rPr>
              <w:t>-</w:t>
            </w:r>
            <w:r w:rsidR="009E12BB" w:rsidRPr="006F35B7">
              <w:rPr>
                <w:noProof/>
              </w:rPr>
              <w:t>$</w:t>
            </w:r>
            <w:r w:rsidR="0049099E">
              <w:rPr>
                <w:noProof/>
              </w:rPr>
              <w:t>2</w:t>
            </w:r>
            <w:r w:rsidR="006F57A5">
              <w:rPr>
                <w:noProof/>
              </w:rPr>
              <w:t>6</w:t>
            </w:r>
          </w:p>
        </w:tc>
        <w:tc>
          <w:tcPr>
            <w:tcW w:w="714" w:type="pct"/>
          </w:tcPr>
          <w:p w14:paraId="46E9D3D8" w14:textId="5E51FAFD" w:rsidR="009E12BB" w:rsidRDefault="009E12BB" w:rsidP="009E12BB">
            <w:pPr>
              <w:pStyle w:val="TableBody"/>
              <w:keepNext/>
              <w:jc w:val="center"/>
              <w:rPr>
                <w:noProof/>
              </w:rPr>
            </w:pPr>
            <w:r w:rsidRPr="006F35B7">
              <w:rPr>
                <w:noProof/>
              </w:rPr>
              <w:t>$</w:t>
            </w:r>
            <w:r w:rsidR="006F57A5">
              <w:rPr>
                <w:noProof/>
              </w:rPr>
              <w:t>4</w:t>
            </w:r>
          </w:p>
        </w:tc>
        <w:tc>
          <w:tcPr>
            <w:tcW w:w="714" w:type="pct"/>
          </w:tcPr>
          <w:p w14:paraId="1370F112" w14:textId="2D71C1D0" w:rsidR="009E12BB" w:rsidRDefault="009E12BB" w:rsidP="009E12BB">
            <w:pPr>
              <w:pStyle w:val="TableBody"/>
              <w:keepNext/>
              <w:jc w:val="center"/>
              <w:rPr>
                <w:noProof/>
              </w:rPr>
            </w:pPr>
            <w:r w:rsidRPr="006F35B7">
              <w:rPr>
                <w:noProof/>
              </w:rPr>
              <w:t>$</w:t>
            </w:r>
            <w:r w:rsidR="00D506EA">
              <w:rPr>
                <w:noProof/>
              </w:rPr>
              <w:t>2</w:t>
            </w:r>
            <w:r w:rsidR="006F57A5">
              <w:rPr>
                <w:noProof/>
              </w:rPr>
              <w:t>5</w:t>
            </w:r>
          </w:p>
        </w:tc>
        <w:tc>
          <w:tcPr>
            <w:tcW w:w="711" w:type="pct"/>
          </w:tcPr>
          <w:p w14:paraId="6EDCECB8" w14:textId="59BDD495" w:rsidR="009E12BB" w:rsidRPr="009E12BB" w:rsidRDefault="009E12BB" w:rsidP="009E12BB">
            <w:pPr>
              <w:pStyle w:val="TableBody"/>
              <w:keepNext/>
              <w:jc w:val="center"/>
              <w:rPr>
                <w:b/>
                <w:bCs/>
              </w:rPr>
            </w:pPr>
            <w:r w:rsidRPr="009E12BB">
              <w:rPr>
                <w:b/>
                <w:bCs/>
                <w:noProof/>
              </w:rPr>
              <w:t>$</w:t>
            </w:r>
            <w:r w:rsidR="00D506EA">
              <w:rPr>
                <w:b/>
                <w:bCs/>
                <w:noProof/>
              </w:rPr>
              <w:t>2</w:t>
            </w:r>
            <w:r w:rsidR="006F57A5">
              <w:rPr>
                <w:b/>
                <w:bCs/>
                <w:noProof/>
              </w:rPr>
              <w:t>0</w:t>
            </w:r>
          </w:p>
        </w:tc>
      </w:tr>
      <w:tr w:rsidR="009E12BB" w14:paraId="6A779F8A" w14:textId="77777777" w:rsidTr="005C4574">
        <w:trPr>
          <w:cnfStyle w:val="000000010000" w:firstRow="0" w:lastRow="0" w:firstColumn="0" w:lastColumn="0" w:oddVBand="0" w:evenVBand="0" w:oddHBand="0" w:evenHBand="1" w:firstRowFirstColumn="0" w:firstRowLastColumn="0" w:lastRowFirstColumn="0" w:lastRowLastColumn="0"/>
          <w:trHeight w:val="20"/>
        </w:trPr>
        <w:tc>
          <w:tcPr>
            <w:tcW w:w="958" w:type="pct"/>
          </w:tcPr>
          <w:p w14:paraId="359A9059" w14:textId="77777777" w:rsidR="009E12BB" w:rsidRPr="00082781" w:rsidRDefault="009E12BB" w:rsidP="009E12BB">
            <w:pPr>
              <w:pStyle w:val="TableBody"/>
              <w:keepNext/>
              <w:rPr>
                <w:b/>
                <w:bCs/>
                <w:noProof/>
              </w:rPr>
            </w:pPr>
            <w:r w:rsidRPr="00082781">
              <w:rPr>
                <w:b/>
                <w:bCs/>
                <w:noProof/>
              </w:rPr>
              <w:t>Change in %</w:t>
            </w:r>
          </w:p>
        </w:tc>
        <w:tc>
          <w:tcPr>
            <w:tcW w:w="474" w:type="pct"/>
          </w:tcPr>
          <w:p w14:paraId="05A08964" w14:textId="08DE1E94" w:rsidR="009E12BB" w:rsidRDefault="00312D88" w:rsidP="009E12BB">
            <w:pPr>
              <w:pStyle w:val="TableBody"/>
              <w:keepNext/>
              <w:jc w:val="center"/>
              <w:rPr>
                <w:noProof/>
              </w:rPr>
            </w:pPr>
            <w:r>
              <w:rPr>
                <w:noProof/>
              </w:rPr>
              <w:t>0.3</w:t>
            </w:r>
            <w:r w:rsidR="009E12BB">
              <w:rPr>
                <w:noProof/>
              </w:rPr>
              <w:t>%</w:t>
            </w:r>
          </w:p>
        </w:tc>
        <w:tc>
          <w:tcPr>
            <w:tcW w:w="714" w:type="pct"/>
          </w:tcPr>
          <w:p w14:paraId="7AC379BF" w14:textId="29B3C268" w:rsidR="009E12BB" w:rsidRDefault="00244134" w:rsidP="009E12BB">
            <w:pPr>
              <w:pStyle w:val="TableBody"/>
              <w:keepNext/>
              <w:jc w:val="center"/>
              <w:rPr>
                <w:noProof/>
              </w:rPr>
            </w:pPr>
            <w:r>
              <w:rPr>
                <w:noProof/>
              </w:rPr>
              <w:t>6.</w:t>
            </w:r>
            <w:r w:rsidR="003C144C">
              <w:rPr>
                <w:noProof/>
              </w:rPr>
              <w:t>2</w:t>
            </w:r>
            <w:r w:rsidR="009E12BB" w:rsidRPr="002E59D3">
              <w:rPr>
                <w:noProof/>
              </w:rPr>
              <w:t>%</w:t>
            </w:r>
          </w:p>
        </w:tc>
        <w:tc>
          <w:tcPr>
            <w:tcW w:w="714" w:type="pct"/>
          </w:tcPr>
          <w:p w14:paraId="38228BF9" w14:textId="54110081" w:rsidR="009E12BB" w:rsidRDefault="00244134" w:rsidP="009E12BB">
            <w:pPr>
              <w:pStyle w:val="TableBody"/>
              <w:keepNext/>
              <w:jc w:val="center"/>
              <w:rPr>
                <w:noProof/>
              </w:rPr>
            </w:pPr>
            <w:r>
              <w:rPr>
                <w:noProof/>
              </w:rPr>
              <w:t>-1.</w:t>
            </w:r>
            <w:r w:rsidR="003C144C">
              <w:rPr>
                <w:noProof/>
              </w:rPr>
              <w:t>6</w:t>
            </w:r>
            <w:r w:rsidR="009E12BB" w:rsidRPr="002E59D3">
              <w:rPr>
                <w:noProof/>
              </w:rPr>
              <w:t>%</w:t>
            </w:r>
          </w:p>
        </w:tc>
        <w:tc>
          <w:tcPr>
            <w:tcW w:w="714" w:type="pct"/>
          </w:tcPr>
          <w:p w14:paraId="2060A567" w14:textId="4B56C178" w:rsidR="009E12BB" w:rsidRDefault="00D6457F" w:rsidP="009E12BB">
            <w:pPr>
              <w:pStyle w:val="TableBody"/>
              <w:keepNext/>
              <w:jc w:val="center"/>
              <w:rPr>
                <w:noProof/>
              </w:rPr>
            </w:pPr>
            <w:r>
              <w:rPr>
                <w:noProof/>
              </w:rPr>
              <w:t>0.</w:t>
            </w:r>
            <w:r w:rsidR="002B3DD4">
              <w:rPr>
                <w:noProof/>
              </w:rPr>
              <w:t>2</w:t>
            </w:r>
            <w:r w:rsidR="009E12BB" w:rsidRPr="002E59D3">
              <w:rPr>
                <w:noProof/>
              </w:rPr>
              <w:t>%</w:t>
            </w:r>
          </w:p>
        </w:tc>
        <w:tc>
          <w:tcPr>
            <w:tcW w:w="714" w:type="pct"/>
          </w:tcPr>
          <w:p w14:paraId="36B62102" w14:textId="6D46A354" w:rsidR="009E12BB" w:rsidRDefault="00D6457F" w:rsidP="009E12BB">
            <w:pPr>
              <w:pStyle w:val="TableBody"/>
              <w:keepNext/>
              <w:jc w:val="center"/>
              <w:rPr>
                <w:noProof/>
              </w:rPr>
            </w:pPr>
            <w:r>
              <w:rPr>
                <w:noProof/>
              </w:rPr>
              <w:t>1.</w:t>
            </w:r>
            <w:r w:rsidR="002B3DD4">
              <w:rPr>
                <w:noProof/>
              </w:rPr>
              <w:t>6</w:t>
            </w:r>
            <w:r w:rsidR="009E12BB" w:rsidRPr="002E59D3">
              <w:rPr>
                <w:noProof/>
              </w:rPr>
              <w:t>%</w:t>
            </w:r>
          </w:p>
        </w:tc>
        <w:tc>
          <w:tcPr>
            <w:tcW w:w="711" w:type="pct"/>
          </w:tcPr>
          <w:p w14:paraId="041D133C" w14:textId="7656C3E2" w:rsidR="009E12BB" w:rsidRPr="0056186A" w:rsidRDefault="00D6457F" w:rsidP="009E12BB">
            <w:pPr>
              <w:pStyle w:val="TableBody"/>
              <w:keepNext/>
              <w:jc w:val="center"/>
              <w:rPr>
                <w:b/>
              </w:rPr>
            </w:pPr>
            <w:r>
              <w:rPr>
                <w:b/>
                <w:bCs/>
                <w:noProof/>
              </w:rPr>
              <w:t>1.2</w:t>
            </w:r>
            <w:r w:rsidR="009E12BB" w:rsidRPr="0056186A">
              <w:rPr>
                <w:b/>
                <w:bCs/>
                <w:noProof/>
              </w:rPr>
              <w:t>%</w:t>
            </w:r>
          </w:p>
        </w:tc>
      </w:tr>
    </w:tbl>
    <w:p w14:paraId="1B221F11" w14:textId="77777777" w:rsidR="002D2AF6" w:rsidRPr="00E348EF" w:rsidRDefault="002D2AF6" w:rsidP="00EA62F1">
      <w:pPr>
        <w:pStyle w:val="Heading3"/>
      </w:pPr>
      <w:r>
        <w:t xml:space="preserve">Average small business annual bills </w:t>
      </w:r>
    </w:p>
    <w:p w14:paraId="56DDFCB8" w14:textId="1773B998" w:rsidR="004B2229" w:rsidRPr="00F52FD1" w:rsidRDefault="004B2229" w:rsidP="002D2AF6">
      <w:r w:rsidRPr="004B2229">
        <w:t xml:space="preserve">The average annual bill for a 2025–26 Victorian Default Offer </w:t>
      </w:r>
      <w:r>
        <w:t>small</w:t>
      </w:r>
      <w:r w:rsidRPr="004B2229">
        <w:t xml:space="preserve"> </w:t>
      </w:r>
      <w:r w:rsidR="005D3F29">
        <w:t xml:space="preserve">business </w:t>
      </w:r>
      <w:r w:rsidRPr="004B2229">
        <w:t xml:space="preserve">customer on a flat tariff </w:t>
      </w:r>
      <w:r w:rsidRPr="00F52FD1">
        <w:t>will be $</w:t>
      </w:r>
      <w:r w:rsidR="00075605" w:rsidRPr="00F52FD1">
        <w:t>3,</w:t>
      </w:r>
      <w:r w:rsidR="007C134E" w:rsidRPr="00F52FD1">
        <w:t>62</w:t>
      </w:r>
      <w:r w:rsidR="003B73E0" w:rsidRPr="00F52FD1">
        <w:t>0</w:t>
      </w:r>
      <w:r w:rsidRPr="00F52FD1">
        <w:t>. This is $</w:t>
      </w:r>
      <w:r w:rsidR="007C134E" w:rsidRPr="00F52FD1">
        <w:t>9</w:t>
      </w:r>
      <w:r w:rsidR="000C423D" w:rsidRPr="00F52FD1">
        <w:t>0</w:t>
      </w:r>
      <w:r w:rsidRPr="00F52FD1">
        <w:t xml:space="preserve"> (or </w:t>
      </w:r>
      <w:r w:rsidR="002E1B52" w:rsidRPr="00F52FD1">
        <w:t>three</w:t>
      </w:r>
      <w:r w:rsidRPr="00F52FD1">
        <w:t xml:space="preserve"> per cent) highe</w:t>
      </w:r>
      <w:r w:rsidR="00876280" w:rsidRPr="00F52FD1">
        <w:t>r</w:t>
      </w:r>
      <w:r w:rsidRPr="00F52FD1">
        <w:t xml:space="preserve"> compared to our 2024–25 decision. This is the average of </w:t>
      </w:r>
      <w:r w:rsidR="00785BD5" w:rsidRPr="00F52FD1">
        <w:t>representative</w:t>
      </w:r>
      <w:r w:rsidRPr="00F52FD1">
        <w:t xml:space="preserve"> annual bills across the five electricity distribution zones in Victoria</w:t>
      </w:r>
      <w:r w:rsidR="00F85BD0" w:rsidRPr="00F52FD1">
        <w:t>.</w:t>
      </w:r>
    </w:p>
    <w:p w14:paraId="244AF56A" w14:textId="7A7E757D" w:rsidR="00BA7F57" w:rsidRPr="005D1F23" w:rsidRDefault="00734BBB" w:rsidP="00902ACE">
      <w:r w:rsidRPr="00F52FD1">
        <w:t xml:space="preserve">Network costs and </w:t>
      </w:r>
      <w:r w:rsidR="002D2AF6" w:rsidRPr="00F52FD1">
        <w:t>wholesale electricity cos</w:t>
      </w:r>
      <w:r w:rsidRPr="00F52FD1">
        <w:t>ts</w:t>
      </w:r>
      <w:r w:rsidR="002D2AF6" w:rsidRPr="00F52FD1">
        <w:t xml:space="preserve"> for the average small business flat tariff 2025–26 Victorian Default Offer customer increased compared to</w:t>
      </w:r>
      <w:r w:rsidR="002D2AF6" w:rsidRPr="00DD418D">
        <w:t xml:space="preserve"> 2024–25 (see Figure 2).</w:t>
      </w:r>
      <w:r w:rsidR="002D2AF6" w:rsidRPr="00DD418D">
        <w:rPr>
          <w:rStyle w:val="FootnoteReference"/>
        </w:rPr>
        <w:footnoteReference w:id="19"/>
      </w:r>
      <w:r w:rsidR="002D2AF6" w:rsidRPr="00DD418D">
        <w:t xml:space="preserve"> Increases in </w:t>
      </w:r>
      <w:r w:rsidRPr="00DD418D">
        <w:t>these</w:t>
      </w:r>
      <w:r w:rsidR="002D2AF6" w:rsidRPr="00DD418D">
        <w:t xml:space="preserve"> costs are the main contributors to increased bills overall.</w:t>
      </w:r>
      <w:r w:rsidR="002D2AF6" w:rsidRPr="005E3698">
        <w:t xml:space="preserve"> </w:t>
      </w:r>
    </w:p>
    <w:p w14:paraId="0178AD5B" w14:textId="7D7A414A" w:rsidR="00902ACE" w:rsidRDefault="00123E9B" w:rsidP="00902ACE">
      <w:pPr>
        <w:pStyle w:val="Figure-Table-BoxHeading"/>
        <w:keepNext/>
      </w:pPr>
      <w:r w:rsidRPr="006E2E02">
        <w:lastRenderedPageBreak/>
        <w:t>Figure</w:t>
      </w:r>
      <w:r w:rsidR="00902ACE" w:rsidRPr="006E2E02">
        <w:t xml:space="preserve"> 2: Change </w:t>
      </w:r>
      <w:r w:rsidR="00902ACE" w:rsidRPr="002E5DDE">
        <w:t xml:space="preserve">in </w:t>
      </w:r>
      <w:r w:rsidRPr="002E5DDE">
        <w:t xml:space="preserve">2025–26 </w:t>
      </w:r>
      <w:r w:rsidR="00902ACE" w:rsidRPr="002E5DDE">
        <w:t>Victorian Default Offer annual bills for small business customer</w:t>
      </w:r>
      <w:r w:rsidR="002A5669" w:rsidRPr="002E5DDE">
        <w:t>s</w:t>
      </w:r>
      <w:r w:rsidR="00902ACE" w:rsidRPr="002E5DDE">
        <w:t xml:space="preserve"> (assuming annual usage of 10,000 kWh)</w:t>
      </w:r>
      <w:r w:rsidRPr="002E5DDE">
        <w:t xml:space="preserve"> compared to 2024–25</w:t>
      </w:r>
    </w:p>
    <w:p w14:paraId="24DC6901" w14:textId="03C619B5" w:rsidR="006E54B5" w:rsidRDefault="50AFF88C" w:rsidP="00902ACE">
      <w:pPr>
        <w:pStyle w:val="Figure-Table-BoxHeading"/>
        <w:keepNext/>
      </w:pPr>
      <w:r>
        <w:rPr>
          <w:noProof/>
        </w:rPr>
        <w:drawing>
          <wp:inline distT="0" distB="0" distL="0" distR="0" wp14:anchorId="61D4E96D" wp14:editId="52E93101">
            <wp:extent cx="6120130" cy="3368675"/>
            <wp:effectExtent l="0" t="0" r="0" b="3175"/>
            <wp:docPr id="1466072343" name="Picture 1" descr="A stacked bar chart showing that the average annual bill for a 2025–26 Victorian Default Offer small business customer on a flat tariff will be $90 higher compared to our 2024-25 decision. It shows that in both years, whole and network costs are the largest components of the Victorian Default Of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6120130" cy="3368675"/>
                    </a:xfrm>
                    <a:prstGeom prst="rect">
                      <a:avLst/>
                    </a:prstGeom>
                  </pic:spPr>
                </pic:pic>
              </a:graphicData>
            </a:graphic>
          </wp:inline>
        </w:drawing>
      </w:r>
    </w:p>
    <w:p w14:paraId="26BA7567" w14:textId="26027883" w:rsidR="009375EB" w:rsidRDefault="009375EB" w:rsidP="00FC3E3B">
      <w:pPr>
        <w:pStyle w:val="Heading3"/>
      </w:pPr>
      <w:bookmarkStart w:id="31" w:name="_Toc121143902"/>
      <w:r>
        <w:t>Victorian electricity distribution zone comparisons – small business</w:t>
      </w:r>
    </w:p>
    <w:p w14:paraId="2D79BD42" w14:textId="6217C56F" w:rsidR="00902ACE" w:rsidRDefault="00902ACE" w:rsidP="00902ACE">
      <w:r w:rsidRPr="002E5DDE">
        <w:t xml:space="preserve">Changes in </w:t>
      </w:r>
      <w:r w:rsidR="00785BD5">
        <w:t>representative</w:t>
      </w:r>
      <w:r w:rsidRPr="002E5DDE">
        <w:t xml:space="preserve"> </w:t>
      </w:r>
      <w:r w:rsidR="00E05E25" w:rsidRPr="002E5DDE">
        <w:t>small business customer</w:t>
      </w:r>
      <w:r w:rsidRPr="002E5DDE">
        <w:t xml:space="preserve"> bills compared to the 2024</w:t>
      </w:r>
      <w:r w:rsidR="003464E9" w:rsidRPr="002E5DDE">
        <w:t>–</w:t>
      </w:r>
      <w:r w:rsidRPr="002E5DDE">
        <w:t xml:space="preserve">25 Victorian Default Offer vary across the five distribution zones in Victoria. </w:t>
      </w:r>
      <w:r w:rsidRPr="003703CF">
        <w:t xml:space="preserve">Victorian Default Offer small business customer bills range from </w:t>
      </w:r>
      <w:r w:rsidRPr="003A770C">
        <w:t>increases of $</w:t>
      </w:r>
      <w:r w:rsidR="006B6BEE" w:rsidRPr="003A770C">
        <w:t>1</w:t>
      </w:r>
      <w:r w:rsidR="00ED7E36" w:rsidRPr="003A770C">
        <w:t>0</w:t>
      </w:r>
      <w:r w:rsidRPr="003A770C">
        <w:t xml:space="preserve"> (</w:t>
      </w:r>
      <w:r w:rsidR="004854AF" w:rsidRPr="003A770C">
        <w:t>less than one</w:t>
      </w:r>
      <w:r w:rsidRPr="003A770C">
        <w:t xml:space="preserve"> per cent) in the </w:t>
      </w:r>
      <w:r w:rsidR="007C08BE" w:rsidRPr="003A770C">
        <w:t>AusNet</w:t>
      </w:r>
      <w:r w:rsidR="00E007B4" w:rsidRPr="003A770C">
        <w:t xml:space="preserve"> area</w:t>
      </w:r>
      <w:r w:rsidRPr="003A770C">
        <w:t xml:space="preserve"> to $</w:t>
      </w:r>
      <w:r w:rsidR="004957E5" w:rsidRPr="003A770C">
        <w:t>17</w:t>
      </w:r>
      <w:r w:rsidR="00AE71BF" w:rsidRPr="003A770C">
        <w:t>7</w:t>
      </w:r>
      <w:r w:rsidR="004957E5" w:rsidRPr="003A770C">
        <w:t xml:space="preserve"> </w:t>
      </w:r>
      <w:r w:rsidRPr="003A770C">
        <w:t xml:space="preserve">(around </w:t>
      </w:r>
      <w:r w:rsidR="0073705B" w:rsidRPr="003A770C">
        <w:t>five</w:t>
      </w:r>
      <w:r w:rsidRPr="003A770C">
        <w:t xml:space="preserve"> per cent) in the </w:t>
      </w:r>
      <w:r w:rsidR="003F79DC" w:rsidRPr="003A770C">
        <w:t xml:space="preserve">Powercor </w:t>
      </w:r>
      <w:r w:rsidR="00BE6774" w:rsidRPr="003A770C">
        <w:t>area</w:t>
      </w:r>
      <w:r w:rsidRPr="003A770C">
        <w:t xml:space="preserve">. The difference in </w:t>
      </w:r>
      <w:r w:rsidR="00785BD5" w:rsidRPr="003A770C">
        <w:t>representative</w:t>
      </w:r>
      <w:r w:rsidRPr="003A770C">
        <w:t xml:space="preserve"> annual bills across distribution zones is mainly due to </w:t>
      </w:r>
      <w:r w:rsidR="00037125" w:rsidRPr="003A770C">
        <w:t>differing</w:t>
      </w:r>
      <w:r w:rsidRPr="003A770C">
        <w:t xml:space="preserve"> network tariffs</w:t>
      </w:r>
      <w:r w:rsidR="00B30464" w:rsidRPr="003A770C">
        <w:t xml:space="preserve"> and wholesale electricity costs</w:t>
      </w:r>
      <w:r w:rsidRPr="003A770C">
        <w:t>.</w:t>
      </w:r>
      <w:r>
        <w:t xml:space="preserve"> </w:t>
      </w:r>
    </w:p>
    <w:p w14:paraId="325E4A28" w14:textId="565925C5" w:rsidR="00902ACE" w:rsidRDefault="00902ACE" w:rsidP="00902ACE">
      <w:r>
        <w:t xml:space="preserve">Table </w:t>
      </w:r>
      <w:r w:rsidR="0007793A">
        <w:t>3</w:t>
      </w:r>
      <w:r>
        <w:t xml:space="preserve"> shows the movement</w:t>
      </w:r>
      <w:r w:rsidDel="00A71FE1">
        <w:t xml:space="preserve"> </w:t>
      </w:r>
      <w:r w:rsidR="00FD5961">
        <w:t xml:space="preserve">of </w:t>
      </w:r>
      <w:r w:rsidR="00785BD5">
        <w:t>representative</w:t>
      </w:r>
      <w:r>
        <w:t xml:space="preserve"> annual bills for small business Victorian Default Offer customers in each zone and on average across zones (assuming </w:t>
      </w:r>
      <w:r w:rsidR="009B3955">
        <w:t>10,000-kilowatt</w:t>
      </w:r>
      <w:r>
        <w:t xml:space="preserve"> hours </w:t>
      </w:r>
      <w:r w:rsidR="003502C4">
        <w:t xml:space="preserve">annual </w:t>
      </w:r>
      <w:r>
        <w:t xml:space="preserve">usage). </w:t>
      </w:r>
    </w:p>
    <w:p w14:paraId="664FB310" w14:textId="60D847C3" w:rsidR="00902ACE" w:rsidRDefault="00902ACE" w:rsidP="00827359">
      <w:pPr>
        <w:pStyle w:val="Figure-Table-BoxHeading"/>
        <w:keepNext/>
        <w:rPr>
          <w:noProof/>
        </w:rPr>
      </w:pPr>
      <w:r>
        <w:rPr>
          <w:noProof/>
        </w:rPr>
        <w:lastRenderedPageBreak/>
        <w:t xml:space="preserve">Table </w:t>
      </w:r>
      <w:r w:rsidR="0007793A">
        <w:rPr>
          <w:noProof/>
        </w:rPr>
        <w:t>3</w:t>
      </w:r>
      <w:r>
        <w:rPr>
          <w:noProof/>
        </w:rPr>
        <w:t xml:space="preserve">: Change in average annual Victorian Default Offer bills for small business </w:t>
      </w:r>
      <w:r w:rsidR="002A5669">
        <w:rPr>
          <w:noProof/>
        </w:rPr>
        <w:t>customer</w:t>
      </w:r>
      <w:r w:rsidR="00CB60C9">
        <w:rPr>
          <w:noProof/>
        </w:rPr>
        <w:t>s</w:t>
      </w:r>
      <w:r w:rsidR="00D42307">
        <w:rPr>
          <w:noProof/>
        </w:rPr>
        <w:t xml:space="preserve"> on </w:t>
      </w:r>
      <w:r>
        <w:rPr>
          <w:noProof/>
        </w:rPr>
        <w:t>flat tariff (nominal assuming 10,000 kWh/year)</w:t>
      </w:r>
      <w:r>
        <w:rPr>
          <w:rStyle w:val="FootnoteReference"/>
          <w:noProof/>
        </w:rPr>
        <w:footnoteReference w:id="20"/>
      </w:r>
    </w:p>
    <w:tbl>
      <w:tblPr>
        <w:tblStyle w:val="TableGrid"/>
        <w:tblW w:w="5000" w:type="pct"/>
        <w:tblLook w:val="04A0" w:firstRow="1" w:lastRow="0" w:firstColumn="1" w:lastColumn="0" w:noHBand="0" w:noVBand="1"/>
      </w:tblPr>
      <w:tblGrid>
        <w:gridCol w:w="1847"/>
        <w:gridCol w:w="1049"/>
        <w:gridCol w:w="1376"/>
        <w:gridCol w:w="1376"/>
        <w:gridCol w:w="1376"/>
        <w:gridCol w:w="1376"/>
        <w:gridCol w:w="1238"/>
      </w:tblGrid>
      <w:tr w:rsidR="00902ACE" w14:paraId="543FD454" w14:textId="77777777" w:rsidTr="00AB07EC">
        <w:trPr>
          <w:cnfStyle w:val="100000000000" w:firstRow="1" w:lastRow="0" w:firstColumn="0" w:lastColumn="0" w:oddVBand="0" w:evenVBand="0" w:oddHBand="0" w:evenHBand="0" w:firstRowFirstColumn="0" w:firstRowLastColumn="0" w:lastRowFirstColumn="0" w:lastRowLastColumn="0"/>
        </w:trPr>
        <w:tc>
          <w:tcPr>
            <w:tcW w:w="882" w:type="pct"/>
          </w:tcPr>
          <w:p w14:paraId="1A955CCC" w14:textId="77777777" w:rsidR="00902ACE" w:rsidRPr="00082781" w:rsidRDefault="00902ACE" w:rsidP="00C568BB">
            <w:pPr>
              <w:pStyle w:val="TableBold"/>
              <w:keepNext/>
              <w:rPr>
                <w:b/>
                <w:bCs/>
                <w:noProof/>
              </w:rPr>
            </w:pPr>
          </w:p>
        </w:tc>
        <w:tc>
          <w:tcPr>
            <w:tcW w:w="544" w:type="pct"/>
          </w:tcPr>
          <w:p w14:paraId="6F15B029" w14:textId="0EDE36FE" w:rsidR="00902ACE" w:rsidRPr="00082781" w:rsidRDefault="00871D0B" w:rsidP="00C568BB">
            <w:pPr>
              <w:pStyle w:val="TableBold"/>
              <w:keepNext/>
              <w:rPr>
                <w:b/>
                <w:bCs/>
                <w:noProof/>
              </w:rPr>
            </w:pPr>
            <w:r>
              <w:rPr>
                <w:b/>
                <w:bCs/>
                <w:noProof/>
              </w:rPr>
              <w:t>AusNet</w:t>
            </w:r>
          </w:p>
        </w:tc>
        <w:tc>
          <w:tcPr>
            <w:tcW w:w="714" w:type="pct"/>
          </w:tcPr>
          <w:p w14:paraId="2E13FB9F" w14:textId="4229DACB" w:rsidR="00902ACE" w:rsidRPr="00082781" w:rsidRDefault="00871D0B" w:rsidP="00C568BB">
            <w:pPr>
              <w:pStyle w:val="TableBold"/>
              <w:keepNext/>
              <w:rPr>
                <w:b/>
                <w:bCs/>
                <w:noProof/>
              </w:rPr>
            </w:pPr>
            <w:r>
              <w:rPr>
                <w:b/>
                <w:bCs/>
                <w:noProof/>
              </w:rPr>
              <w:t>CitiPower</w:t>
            </w:r>
          </w:p>
        </w:tc>
        <w:tc>
          <w:tcPr>
            <w:tcW w:w="714" w:type="pct"/>
          </w:tcPr>
          <w:p w14:paraId="4FA8DDCD" w14:textId="77777777" w:rsidR="00902ACE" w:rsidRPr="00082781" w:rsidRDefault="00902ACE" w:rsidP="00C568BB">
            <w:pPr>
              <w:pStyle w:val="TableBold"/>
              <w:keepNext/>
              <w:rPr>
                <w:b/>
                <w:bCs/>
                <w:noProof/>
              </w:rPr>
            </w:pPr>
            <w:r w:rsidRPr="00082781">
              <w:rPr>
                <w:b/>
                <w:bCs/>
                <w:noProof/>
              </w:rPr>
              <w:t>Jemena</w:t>
            </w:r>
          </w:p>
        </w:tc>
        <w:tc>
          <w:tcPr>
            <w:tcW w:w="714" w:type="pct"/>
          </w:tcPr>
          <w:p w14:paraId="1C51CF8D" w14:textId="77777777" w:rsidR="00902ACE" w:rsidRPr="00082781" w:rsidRDefault="00902ACE" w:rsidP="00C568BB">
            <w:pPr>
              <w:pStyle w:val="TableBold"/>
              <w:keepNext/>
              <w:rPr>
                <w:b/>
                <w:bCs/>
                <w:noProof/>
              </w:rPr>
            </w:pPr>
            <w:r w:rsidRPr="00082781">
              <w:rPr>
                <w:b/>
                <w:bCs/>
                <w:noProof/>
              </w:rPr>
              <w:t>Powercor</w:t>
            </w:r>
          </w:p>
        </w:tc>
        <w:tc>
          <w:tcPr>
            <w:tcW w:w="714" w:type="pct"/>
          </w:tcPr>
          <w:p w14:paraId="0994120B" w14:textId="77777777" w:rsidR="00902ACE" w:rsidRPr="00082781" w:rsidRDefault="00902ACE" w:rsidP="00C568BB">
            <w:pPr>
              <w:pStyle w:val="TableBold"/>
              <w:keepNext/>
              <w:rPr>
                <w:b/>
                <w:bCs/>
                <w:noProof/>
              </w:rPr>
            </w:pPr>
            <w:r w:rsidRPr="00082781">
              <w:rPr>
                <w:b/>
                <w:bCs/>
                <w:noProof/>
              </w:rPr>
              <w:t>United Energy</w:t>
            </w:r>
          </w:p>
        </w:tc>
        <w:tc>
          <w:tcPr>
            <w:tcW w:w="716" w:type="pct"/>
          </w:tcPr>
          <w:p w14:paraId="1084DDDB" w14:textId="77777777" w:rsidR="00902ACE" w:rsidRPr="00082781" w:rsidRDefault="00902ACE" w:rsidP="00C568BB">
            <w:pPr>
              <w:pStyle w:val="TableBold"/>
              <w:keepNext/>
              <w:rPr>
                <w:b/>
                <w:bCs/>
                <w:noProof/>
              </w:rPr>
            </w:pPr>
            <w:r w:rsidRPr="00082781">
              <w:rPr>
                <w:b/>
                <w:bCs/>
                <w:noProof/>
              </w:rPr>
              <w:t>Victorian average</w:t>
            </w:r>
          </w:p>
        </w:tc>
      </w:tr>
      <w:tr w:rsidR="00662E37" w14:paraId="59DD5F01" w14:textId="77777777" w:rsidTr="00AB07EC">
        <w:trPr>
          <w:cnfStyle w:val="000000100000" w:firstRow="0" w:lastRow="0" w:firstColumn="0" w:lastColumn="0" w:oddVBand="0" w:evenVBand="0" w:oddHBand="1" w:evenHBand="0" w:firstRowFirstColumn="0" w:firstRowLastColumn="0" w:lastRowFirstColumn="0" w:lastRowLastColumn="0"/>
        </w:trPr>
        <w:tc>
          <w:tcPr>
            <w:tcW w:w="958" w:type="pct"/>
          </w:tcPr>
          <w:p w14:paraId="2FC17614" w14:textId="1EA6BD17" w:rsidR="00662E37" w:rsidRPr="0043443E" w:rsidRDefault="00662E37" w:rsidP="00662E37">
            <w:pPr>
              <w:pStyle w:val="TableBody"/>
              <w:keepNext/>
              <w:rPr>
                <w:b/>
              </w:rPr>
            </w:pPr>
            <w:r w:rsidRPr="0043443E">
              <w:rPr>
                <w:b/>
              </w:rPr>
              <w:t>2024–25</w:t>
            </w:r>
          </w:p>
          <w:p w14:paraId="2BDBB5C2" w14:textId="77777777" w:rsidR="00662E37" w:rsidRPr="00AB07EC" w:rsidRDefault="00662E37" w:rsidP="00662E37">
            <w:pPr>
              <w:pStyle w:val="TableBody"/>
              <w:keepNext/>
            </w:pPr>
            <w:r w:rsidRPr="0043443E">
              <w:rPr>
                <w:b/>
              </w:rPr>
              <w:t>(final decision)</w:t>
            </w:r>
          </w:p>
        </w:tc>
        <w:tc>
          <w:tcPr>
            <w:tcW w:w="474" w:type="pct"/>
          </w:tcPr>
          <w:p w14:paraId="26D89ACF" w14:textId="016B3477" w:rsidR="00662E37" w:rsidRDefault="00662E37" w:rsidP="00662E37">
            <w:pPr>
              <w:pStyle w:val="TableBody"/>
              <w:keepNext/>
              <w:rPr>
                <w:noProof/>
              </w:rPr>
            </w:pPr>
            <w:r w:rsidRPr="00AB07EC">
              <w:rPr>
                <w:noProof/>
              </w:rPr>
              <w:t>$</w:t>
            </w:r>
            <w:r w:rsidR="00AB07EC">
              <w:rPr>
                <w:noProof/>
              </w:rPr>
              <w:t>4,388</w:t>
            </w:r>
          </w:p>
        </w:tc>
        <w:tc>
          <w:tcPr>
            <w:tcW w:w="714" w:type="pct"/>
          </w:tcPr>
          <w:p w14:paraId="5EB7CE0A" w14:textId="10C98E6D" w:rsidR="00662E37" w:rsidRDefault="00662E37" w:rsidP="00662E37">
            <w:pPr>
              <w:pStyle w:val="TableBody"/>
              <w:keepNext/>
              <w:rPr>
                <w:noProof/>
              </w:rPr>
            </w:pPr>
            <w:r w:rsidRPr="00AB07EC">
              <w:rPr>
                <w:noProof/>
              </w:rPr>
              <w:t>$</w:t>
            </w:r>
            <w:r w:rsidR="00AB07EC">
              <w:rPr>
                <w:noProof/>
              </w:rPr>
              <w:t>3,025</w:t>
            </w:r>
          </w:p>
        </w:tc>
        <w:tc>
          <w:tcPr>
            <w:tcW w:w="714" w:type="pct"/>
          </w:tcPr>
          <w:p w14:paraId="4C68437A" w14:textId="3F907B60" w:rsidR="00662E37" w:rsidRDefault="00662E37" w:rsidP="00662E37">
            <w:pPr>
              <w:pStyle w:val="TableBody"/>
              <w:keepNext/>
              <w:rPr>
                <w:noProof/>
              </w:rPr>
            </w:pPr>
            <w:r w:rsidRPr="00AB07EC">
              <w:rPr>
                <w:noProof/>
              </w:rPr>
              <w:t>$</w:t>
            </w:r>
            <w:r w:rsidR="00126D12">
              <w:rPr>
                <w:noProof/>
              </w:rPr>
              <w:t>3,695</w:t>
            </w:r>
          </w:p>
        </w:tc>
        <w:tc>
          <w:tcPr>
            <w:tcW w:w="714" w:type="pct"/>
          </w:tcPr>
          <w:p w14:paraId="56F18419" w14:textId="0A699AC4" w:rsidR="00662E37" w:rsidRDefault="00662E37" w:rsidP="00662E37">
            <w:pPr>
              <w:pStyle w:val="TableBody"/>
              <w:keepNext/>
              <w:rPr>
                <w:noProof/>
              </w:rPr>
            </w:pPr>
            <w:r w:rsidRPr="00AB07EC">
              <w:rPr>
                <w:noProof/>
              </w:rPr>
              <w:t>$</w:t>
            </w:r>
            <w:r w:rsidR="00126D12">
              <w:rPr>
                <w:noProof/>
              </w:rPr>
              <w:t>3,331</w:t>
            </w:r>
          </w:p>
        </w:tc>
        <w:tc>
          <w:tcPr>
            <w:tcW w:w="714" w:type="pct"/>
          </w:tcPr>
          <w:p w14:paraId="0A6598B0" w14:textId="5F1B8C89" w:rsidR="00662E37" w:rsidRDefault="00662E37" w:rsidP="00662E37">
            <w:pPr>
              <w:pStyle w:val="TableBody"/>
              <w:keepNext/>
              <w:rPr>
                <w:noProof/>
              </w:rPr>
            </w:pPr>
            <w:r w:rsidRPr="00AB07EC">
              <w:rPr>
                <w:noProof/>
              </w:rPr>
              <w:t>$</w:t>
            </w:r>
            <w:r w:rsidR="00126D12">
              <w:rPr>
                <w:noProof/>
              </w:rPr>
              <w:t>3,212</w:t>
            </w:r>
          </w:p>
        </w:tc>
        <w:tc>
          <w:tcPr>
            <w:tcW w:w="711" w:type="pct"/>
          </w:tcPr>
          <w:p w14:paraId="769F5719" w14:textId="25FC13D6" w:rsidR="00662E37" w:rsidRPr="0043443E" w:rsidRDefault="00662E37" w:rsidP="00662E37">
            <w:pPr>
              <w:pStyle w:val="TableBody"/>
              <w:keepNext/>
              <w:rPr>
                <w:b/>
              </w:rPr>
            </w:pPr>
            <w:r w:rsidRPr="0043443E">
              <w:rPr>
                <w:b/>
              </w:rPr>
              <w:t>$</w:t>
            </w:r>
            <w:r w:rsidR="00126D12" w:rsidRPr="0043443E">
              <w:rPr>
                <w:b/>
              </w:rPr>
              <w:t>3,530</w:t>
            </w:r>
          </w:p>
        </w:tc>
      </w:tr>
      <w:tr w:rsidR="00662E37" w14:paraId="5CCF3011" w14:textId="77777777" w:rsidTr="00AB07EC">
        <w:trPr>
          <w:cnfStyle w:val="000000010000" w:firstRow="0" w:lastRow="0" w:firstColumn="0" w:lastColumn="0" w:oddVBand="0" w:evenVBand="0" w:oddHBand="0" w:evenHBand="1" w:firstRowFirstColumn="0" w:firstRowLastColumn="0" w:lastRowFirstColumn="0" w:lastRowLastColumn="0"/>
        </w:trPr>
        <w:tc>
          <w:tcPr>
            <w:tcW w:w="958" w:type="pct"/>
          </w:tcPr>
          <w:p w14:paraId="1C928C32" w14:textId="7DB0ED19" w:rsidR="00662E37" w:rsidRDefault="00662E37" w:rsidP="00662E37">
            <w:pPr>
              <w:pStyle w:val="TableBody"/>
              <w:keepNext/>
              <w:rPr>
                <w:b/>
                <w:bCs/>
                <w:noProof/>
              </w:rPr>
            </w:pPr>
            <w:r w:rsidRPr="00082781">
              <w:rPr>
                <w:b/>
                <w:bCs/>
                <w:noProof/>
              </w:rPr>
              <w:t>2025</w:t>
            </w:r>
            <w:r>
              <w:rPr>
                <w:b/>
                <w:bCs/>
                <w:noProof/>
              </w:rPr>
              <w:t>–</w:t>
            </w:r>
            <w:r w:rsidRPr="00082781">
              <w:rPr>
                <w:b/>
                <w:bCs/>
                <w:noProof/>
              </w:rPr>
              <w:t xml:space="preserve">26 </w:t>
            </w:r>
          </w:p>
          <w:p w14:paraId="3D19240B" w14:textId="2289044A" w:rsidR="00662E37" w:rsidRPr="00082781" w:rsidRDefault="00662E37" w:rsidP="00662E37">
            <w:pPr>
              <w:pStyle w:val="TableBody"/>
              <w:keepNext/>
              <w:rPr>
                <w:b/>
                <w:bCs/>
                <w:noProof/>
              </w:rPr>
            </w:pPr>
            <w:r w:rsidRPr="00082781">
              <w:rPr>
                <w:b/>
                <w:bCs/>
                <w:noProof/>
              </w:rPr>
              <w:t>(</w:t>
            </w:r>
            <w:r>
              <w:rPr>
                <w:b/>
                <w:bCs/>
                <w:noProof/>
              </w:rPr>
              <w:t>final</w:t>
            </w:r>
            <w:r w:rsidRPr="00082781">
              <w:rPr>
                <w:b/>
                <w:bCs/>
                <w:noProof/>
              </w:rPr>
              <w:t xml:space="preserve"> decision)</w:t>
            </w:r>
          </w:p>
        </w:tc>
        <w:tc>
          <w:tcPr>
            <w:tcW w:w="474" w:type="pct"/>
          </w:tcPr>
          <w:p w14:paraId="08889796" w14:textId="4F616A33" w:rsidR="00662E37" w:rsidRDefault="00662E37" w:rsidP="00662E37">
            <w:pPr>
              <w:pStyle w:val="TableBody"/>
              <w:keepNext/>
              <w:rPr>
                <w:noProof/>
              </w:rPr>
            </w:pPr>
            <w:r w:rsidRPr="00FB33B7">
              <w:rPr>
                <w:noProof/>
              </w:rPr>
              <w:t>$</w:t>
            </w:r>
            <w:r w:rsidR="00201297">
              <w:rPr>
                <w:noProof/>
              </w:rPr>
              <w:t>4,</w:t>
            </w:r>
            <w:r w:rsidR="0059195A">
              <w:rPr>
                <w:noProof/>
              </w:rPr>
              <w:t>398</w:t>
            </w:r>
          </w:p>
        </w:tc>
        <w:tc>
          <w:tcPr>
            <w:tcW w:w="714" w:type="pct"/>
          </w:tcPr>
          <w:p w14:paraId="7B2C03F2" w14:textId="44759EF2" w:rsidR="00662E37" w:rsidRDefault="00662E37" w:rsidP="00662E37">
            <w:pPr>
              <w:pStyle w:val="TableBody"/>
              <w:keepNext/>
              <w:rPr>
                <w:noProof/>
              </w:rPr>
            </w:pPr>
            <w:r w:rsidRPr="00FB33B7">
              <w:rPr>
                <w:noProof/>
              </w:rPr>
              <w:t>$</w:t>
            </w:r>
            <w:r w:rsidR="00EB32D5">
              <w:rPr>
                <w:noProof/>
              </w:rPr>
              <w:t>3,18</w:t>
            </w:r>
            <w:r w:rsidR="0059195A">
              <w:rPr>
                <w:noProof/>
              </w:rPr>
              <w:t>6</w:t>
            </w:r>
          </w:p>
        </w:tc>
        <w:tc>
          <w:tcPr>
            <w:tcW w:w="714" w:type="pct"/>
          </w:tcPr>
          <w:p w14:paraId="62A04C6E" w14:textId="070D19A2" w:rsidR="00662E37" w:rsidRDefault="00662E37" w:rsidP="00662E37">
            <w:pPr>
              <w:pStyle w:val="TableBody"/>
              <w:keepNext/>
              <w:rPr>
                <w:noProof/>
              </w:rPr>
            </w:pPr>
            <w:r w:rsidRPr="00FB33B7">
              <w:rPr>
                <w:noProof/>
              </w:rPr>
              <w:t>$</w:t>
            </w:r>
            <w:r w:rsidR="00966BA3">
              <w:rPr>
                <w:noProof/>
              </w:rPr>
              <w:t>3,72</w:t>
            </w:r>
            <w:r w:rsidR="0059195A">
              <w:rPr>
                <w:noProof/>
              </w:rPr>
              <w:t>0</w:t>
            </w:r>
          </w:p>
        </w:tc>
        <w:tc>
          <w:tcPr>
            <w:tcW w:w="714" w:type="pct"/>
          </w:tcPr>
          <w:p w14:paraId="3AA0F8FE" w14:textId="34F88743" w:rsidR="00662E37" w:rsidRDefault="00662E37" w:rsidP="00662E37">
            <w:pPr>
              <w:pStyle w:val="TableBody"/>
              <w:keepNext/>
              <w:rPr>
                <w:noProof/>
              </w:rPr>
            </w:pPr>
            <w:r w:rsidRPr="00FB33B7">
              <w:rPr>
                <w:noProof/>
              </w:rPr>
              <w:t>$</w:t>
            </w:r>
            <w:r w:rsidR="00966BA3">
              <w:rPr>
                <w:noProof/>
              </w:rPr>
              <w:t>3,5</w:t>
            </w:r>
            <w:r w:rsidR="0059195A">
              <w:rPr>
                <w:noProof/>
              </w:rPr>
              <w:t>08</w:t>
            </w:r>
          </w:p>
        </w:tc>
        <w:tc>
          <w:tcPr>
            <w:tcW w:w="714" w:type="pct"/>
          </w:tcPr>
          <w:p w14:paraId="4C7D0ABB" w14:textId="68FE6F32" w:rsidR="00662E37" w:rsidRDefault="00662E37" w:rsidP="00662E37">
            <w:pPr>
              <w:pStyle w:val="TableBody"/>
              <w:keepNext/>
              <w:rPr>
                <w:noProof/>
              </w:rPr>
            </w:pPr>
            <w:r w:rsidRPr="00FB33B7">
              <w:rPr>
                <w:noProof/>
              </w:rPr>
              <w:t>$</w:t>
            </w:r>
            <w:r w:rsidR="0005648D">
              <w:rPr>
                <w:noProof/>
              </w:rPr>
              <w:t>3,</w:t>
            </w:r>
            <w:r w:rsidR="00907B2D">
              <w:rPr>
                <w:noProof/>
              </w:rPr>
              <w:t>29</w:t>
            </w:r>
            <w:r w:rsidR="0059195A">
              <w:rPr>
                <w:noProof/>
              </w:rPr>
              <w:t>0</w:t>
            </w:r>
          </w:p>
        </w:tc>
        <w:tc>
          <w:tcPr>
            <w:tcW w:w="711" w:type="pct"/>
          </w:tcPr>
          <w:p w14:paraId="74117555" w14:textId="5C17C8FE" w:rsidR="00662E37" w:rsidRPr="00662E37" w:rsidRDefault="00662E37" w:rsidP="00662E37">
            <w:pPr>
              <w:pStyle w:val="TableBody"/>
              <w:keepNext/>
              <w:rPr>
                <w:b/>
                <w:bCs/>
              </w:rPr>
            </w:pPr>
            <w:r w:rsidRPr="00662E37">
              <w:rPr>
                <w:b/>
                <w:bCs/>
                <w:noProof/>
              </w:rPr>
              <w:t>$</w:t>
            </w:r>
            <w:r w:rsidR="00907B2D">
              <w:rPr>
                <w:b/>
                <w:bCs/>
                <w:noProof/>
              </w:rPr>
              <w:t>3,62</w:t>
            </w:r>
            <w:r w:rsidR="0059195A">
              <w:rPr>
                <w:b/>
                <w:bCs/>
                <w:noProof/>
              </w:rPr>
              <w:t>0</w:t>
            </w:r>
          </w:p>
        </w:tc>
      </w:tr>
      <w:tr w:rsidR="00662E37" w14:paraId="7D33AB6F" w14:textId="77777777" w:rsidTr="00AB07EC">
        <w:trPr>
          <w:cnfStyle w:val="000000100000" w:firstRow="0" w:lastRow="0" w:firstColumn="0" w:lastColumn="0" w:oddVBand="0" w:evenVBand="0" w:oddHBand="1" w:evenHBand="0" w:firstRowFirstColumn="0" w:firstRowLastColumn="0" w:lastRowFirstColumn="0" w:lastRowLastColumn="0"/>
        </w:trPr>
        <w:tc>
          <w:tcPr>
            <w:tcW w:w="958" w:type="pct"/>
          </w:tcPr>
          <w:p w14:paraId="1373F57D" w14:textId="77777777" w:rsidR="00662E37" w:rsidRPr="00082781" w:rsidRDefault="00662E37" w:rsidP="00662E37">
            <w:pPr>
              <w:pStyle w:val="TableBody"/>
              <w:keepNext/>
              <w:rPr>
                <w:b/>
                <w:bCs/>
                <w:noProof/>
              </w:rPr>
            </w:pPr>
            <w:r w:rsidRPr="00082781">
              <w:rPr>
                <w:b/>
                <w:bCs/>
                <w:noProof/>
              </w:rPr>
              <w:t>Change in $</w:t>
            </w:r>
          </w:p>
        </w:tc>
        <w:tc>
          <w:tcPr>
            <w:tcW w:w="474" w:type="pct"/>
          </w:tcPr>
          <w:p w14:paraId="629D72CE" w14:textId="2DBE829D" w:rsidR="00662E37" w:rsidRDefault="00662E37" w:rsidP="00662E37">
            <w:pPr>
              <w:pStyle w:val="TableBody"/>
              <w:keepNext/>
              <w:rPr>
                <w:noProof/>
              </w:rPr>
            </w:pPr>
            <w:r w:rsidRPr="00FB33B7">
              <w:rPr>
                <w:noProof/>
              </w:rPr>
              <w:t>$</w:t>
            </w:r>
            <w:r w:rsidR="00E4795C">
              <w:rPr>
                <w:noProof/>
              </w:rPr>
              <w:t>1</w:t>
            </w:r>
            <w:r w:rsidR="0059195A">
              <w:rPr>
                <w:noProof/>
              </w:rPr>
              <w:t>0</w:t>
            </w:r>
          </w:p>
        </w:tc>
        <w:tc>
          <w:tcPr>
            <w:tcW w:w="714" w:type="pct"/>
          </w:tcPr>
          <w:p w14:paraId="4D4A4418" w14:textId="1E345193" w:rsidR="00662E37" w:rsidRDefault="00662E37" w:rsidP="00662E37">
            <w:pPr>
              <w:pStyle w:val="TableBody"/>
              <w:keepNext/>
              <w:rPr>
                <w:noProof/>
              </w:rPr>
            </w:pPr>
            <w:r w:rsidRPr="00FB33B7">
              <w:rPr>
                <w:noProof/>
              </w:rPr>
              <w:t>$</w:t>
            </w:r>
            <w:r w:rsidR="00224487">
              <w:rPr>
                <w:noProof/>
              </w:rPr>
              <w:t>16</w:t>
            </w:r>
            <w:r w:rsidR="0059195A">
              <w:rPr>
                <w:noProof/>
              </w:rPr>
              <w:t>1</w:t>
            </w:r>
          </w:p>
        </w:tc>
        <w:tc>
          <w:tcPr>
            <w:tcW w:w="714" w:type="pct"/>
          </w:tcPr>
          <w:p w14:paraId="35231ED7" w14:textId="70BF200F" w:rsidR="00662E37" w:rsidRDefault="00662E37" w:rsidP="00662E37">
            <w:pPr>
              <w:pStyle w:val="TableBody"/>
              <w:keepNext/>
              <w:rPr>
                <w:noProof/>
              </w:rPr>
            </w:pPr>
            <w:r w:rsidRPr="00FB33B7">
              <w:rPr>
                <w:noProof/>
              </w:rPr>
              <w:t>$</w:t>
            </w:r>
            <w:r w:rsidR="00835D30">
              <w:rPr>
                <w:noProof/>
              </w:rPr>
              <w:t>2</w:t>
            </w:r>
            <w:r w:rsidR="0059195A">
              <w:rPr>
                <w:noProof/>
              </w:rPr>
              <w:t>5</w:t>
            </w:r>
          </w:p>
        </w:tc>
        <w:tc>
          <w:tcPr>
            <w:tcW w:w="714" w:type="pct"/>
          </w:tcPr>
          <w:p w14:paraId="1F62FAF2" w14:textId="09932D85" w:rsidR="00662E37" w:rsidRDefault="00662E37" w:rsidP="00662E37">
            <w:pPr>
              <w:pStyle w:val="TableBody"/>
              <w:keepNext/>
              <w:rPr>
                <w:noProof/>
              </w:rPr>
            </w:pPr>
            <w:r w:rsidRPr="00FB33B7">
              <w:rPr>
                <w:noProof/>
              </w:rPr>
              <w:t>$</w:t>
            </w:r>
            <w:r w:rsidR="00E94385">
              <w:rPr>
                <w:noProof/>
              </w:rPr>
              <w:t>17</w:t>
            </w:r>
            <w:r w:rsidR="0059195A">
              <w:rPr>
                <w:noProof/>
              </w:rPr>
              <w:t>7</w:t>
            </w:r>
          </w:p>
        </w:tc>
        <w:tc>
          <w:tcPr>
            <w:tcW w:w="714" w:type="pct"/>
          </w:tcPr>
          <w:p w14:paraId="3341CB6A" w14:textId="32B413F4" w:rsidR="00662E37" w:rsidRDefault="00662E37" w:rsidP="00662E37">
            <w:pPr>
              <w:pStyle w:val="TableBody"/>
              <w:keepNext/>
              <w:rPr>
                <w:noProof/>
              </w:rPr>
            </w:pPr>
            <w:r w:rsidRPr="00FB33B7">
              <w:rPr>
                <w:noProof/>
              </w:rPr>
              <w:t>$</w:t>
            </w:r>
            <w:r w:rsidR="0059195A">
              <w:rPr>
                <w:noProof/>
              </w:rPr>
              <w:t>78</w:t>
            </w:r>
          </w:p>
        </w:tc>
        <w:tc>
          <w:tcPr>
            <w:tcW w:w="711" w:type="pct"/>
          </w:tcPr>
          <w:p w14:paraId="7E256F81" w14:textId="79654399" w:rsidR="00662E37" w:rsidRPr="00662E37" w:rsidRDefault="00662E37" w:rsidP="00662E37">
            <w:pPr>
              <w:pStyle w:val="TableBody"/>
              <w:keepNext/>
              <w:rPr>
                <w:b/>
                <w:bCs/>
              </w:rPr>
            </w:pPr>
            <w:r w:rsidRPr="00662E37">
              <w:rPr>
                <w:b/>
                <w:bCs/>
                <w:noProof/>
              </w:rPr>
              <w:t>$</w:t>
            </w:r>
            <w:r w:rsidR="007E5688">
              <w:rPr>
                <w:b/>
                <w:bCs/>
                <w:noProof/>
              </w:rPr>
              <w:t>9</w:t>
            </w:r>
            <w:r w:rsidR="0059195A">
              <w:rPr>
                <w:b/>
                <w:bCs/>
                <w:noProof/>
              </w:rPr>
              <w:t>0</w:t>
            </w:r>
          </w:p>
        </w:tc>
      </w:tr>
      <w:tr w:rsidR="00662E37" w14:paraId="01AAD40C" w14:textId="77777777" w:rsidTr="00AB07EC">
        <w:trPr>
          <w:cnfStyle w:val="000000010000" w:firstRow="0" w:lastRow="0" w:firstColumn="0" w:lastColumn="0" w:oddVBand="0" w:evenVBand="0" w:oddHBand="0" w:evenHBand="1" w:firstRowFirstColumn="0" w:firstRowLastColumn="0" w:lastRowFirstColumn="0" w:lastRowLastColumn="0"/>
          <w:trHeight w:val="24"/>
        </w:trPr>
        <w:tc>
          <w:tcPr>
            <w:tcW w:w="958" w:type="pct"/>
          </w:tcPr>
          <w:p w14:paraId="4244C007" w14:textId="77777777" w:rsidR="00662E37" w:rsidRPr="00082781" w:rsidRDefault="00662E37" w:rsidP="00662E37">
            <w:pPr>
              <w:pStyle w:val="TableBody"/>
              <w:keepNext/>
              <w:rPr>
                <w:b/>
                <w:bCs/>
                <w:noProof/>
              </w:rPr>
            </w:pPr>
            <w:r w:rsidRPr="00082781">
              <w:rPr>
                <w:b/>
                <w:bCs/>
                <w:noProof/>
              </w:rPr>
              <w:t>Change in %</w:t>
            </w:r>
          </w:p>
        </w:tc>
        <w:tc>
          <w:tcPr>
            <w:tcW w:w="474" w:type="pct"/>
          </w:tcPr>
          <w:p w14:paraId="6287AC60" w14:textId="426BE4D4" w:rsidR="00662E37" w:rsidRDefault="00065F86" w:rsidP="00662E37">
            <w:pPr>
              <w:pStyle w:val="TableBody"/>
              <w:keepNext/>
              <w:rPr>
                <w:noProof/>
              </w:rPr>
            </w:pPr>
            <w:r>
              <w:rPr>
                <w:noProof/>
              </w:rPr>
              <w:t>0.</w:t>
            </w:r>
            <w:r w:rsidR="0059195A">
              <w:rPr>
                <w:noProof/>
              </w:rPr>
              <w:t>2</w:t>
            </w:r>
            <w:r w:rsidR="00662E37">
              <w:rPr>
                <w:noProof/>
              </w:rPr>
              <w:t>%</w:t>
            </w:r>
          </w:p>
        </w:tc>
        <w:tc>
          <w:tcPr>
            <w:tcW w:w="714" w:type="pct"/>
          </w:tcPr>
          <w:p w14:paraId="09ECC4EE" w14:textId="21F0A361" w:rsidR="00662E37" w:rsidRDefault="00065F86" w:rsidP="00662E37">
            <w:pPr>
              <w:pStyle w:val="TableBody"/>
              <w:keepNext/>
              <w:rPr>
                <w:noProof/>
              </w:rPr>
            </w:pPr>
            <w:r>
              <w:rPr>
                <w:noProof/>
              </w:rPr>
              <w:t>5.</w:t>
            </w:r>
            <w:r w:rsidR="0059195A">
              <w:rPr>
                <w:noProof/>
              </w:rPr>
              <w:t>3</w:t>
            </w:r>
            <w:r w:rsidR="00662E37" w:rsidRPr="006B2798">
              <w:rPr>
                <w:noProof/>
              </w:rPr>
              <w:t>%</w:t>
            </w:r>
          </w:p>
        </w:tc>
        <w:tc>
          <w:tcPr>
            <w:tcW w:w="714" w:type="pct"/>
          </w:tcPr>
          <w:p w14:paraId="5B4BA112" w14:textId="56539B14" w:rsidR="00662E37" w:rsidRDefault="00065F86" w:rsidP="00662E37">
            <w:pPr>
              <w:pStyle w:val="TableBody"/>
              <w:keepNext/>
              <w:rPr>
                <w:noProof/>
              </w:rPr>
            </w:pPr>
            <w:r>
              <w:rPr>
                <w:noProof/>
              </w:rPr>
              <w:t>0.7</w:t>
            </w:r>
            <w:r w:rsidR="00662E37" w:rsidRPr="006B2798">
              <w:rPr>
                <w:noProof/>
              </w:rPr>
              <w:t>%</w:t>
            </w:r>
          </w:p>
        </w:tc>
        <w:tc>
          <w:tcPr>
            <w:tcW w:w="714" w:type="pct"/>
          </w:tcPr>
          <w:p w14:paraId="7F6F1BBB" w14:textId="2FEFE564" w:rsidR="00662E37" w:rsidRDefault="00065F86" w:rsidP="00662E37">
            <w:pPr>
              <w:pStyle w:val="TableBody"/>
              <w:keepNext/>
              <w:rPr>
                <w:noProof/>
              </w:rPr>
            </w:pPr>
            <w:r>
              <w:rPr>
                <w:noProof/>
              </w:rPr>
              <w:t>5.</w:t>
            </w:r>
            <w:r w:rsidR="0059195A">
              <w:rPr>
                <w:noProof/>
              </w:rPr>
              <w:t>3</w:t>
            </w:r>
            <w:r w:rsidR="00662E37" w:rsidRPr="006B2798">
              <w:rPr>
                <w:noProof/>
              </w:rPr>
              <w:t>%</w:t>
            </w:r>
          </w:p>
        </w:tc>
        <w:tc>
          <w:tcPr>
            <w:tcW w:w="714" w:type="pct"/>
          </w:tcPr>
          <w:p w14:paraId="6487E039" w14:textId="759D3BDA" w:rsidR="00662E37" w:rsidRDefault="00E70256" w:rsidP="00662E37">
            <w:pPr>
              <w:pStyle w:val="TableBody"/>
              <w:keepNext/>
              <w:rPr>
                <w:noProof/>
              </w:rPr>
            </w:pPr>
            <w:r>
              <w:rPr>
                <w:noProof/>
              </w:rPr>
              <w:t>2.</w:t>
            </w:r>
            <w:r w:rsidR="0059195A">
              <w:rPr>
                <w:noProof/>
              </w:rPr>
              <w:t>4</w:t>
            </w:r>
            <w:r w:rsidR="00662E37" w:rsidRPr="006B2798">
              <w:rPr>
                <w:noProof/>
              </w:rPr>
              <w:t>%</w:t>
            </w:r>
          </w:p>
        </w:tc>
        <w:tc>
          <w:tcPr>
            <w:tcW w:w="711" w:type="pct"/>
          </w:tcPr>
          <w:p w14:paraId="4BB1DE52" w14:textId="22FA0AA3" w:rsidR="00662E37" w:rsidRPr="00575766" w:rsidRDefault="00E70256" w:rsidP="00662E37">
            <w:pPr>
              <w:pStyle w:val="TableBody"/>
              <w:keepNext/>
              <w:rPr>
                <w:b/>
              </w:rPr>
            </w:pPr>
            <w:r>
              <w:rPr>
                <w:b/>
                <w:bCs/>
                <w:noProof/>
              </w:rPr>
              <w:t>2.</w:t>
            </w:r>
            <w:r w:rsidR="006C2BF4">
              <w:rPr>
                <w:b/>
                <w:bCs/>
                <w:noProof/>
              </w:rPr>
              <w:t>6</w:t>
            </w:r>
            <w:r w:rsidR="00662E37" w:rsidRPr="00575766">
              <w:rPr>
                <w:b/>
                <w:bCs/>
                <w:noProof/>
              </w:rPr>
              <w:t>%</w:t>
            </w:r>
          </w:p>
        </w:tc>
      </w:tr>
    </w:tbl>
    <w:p w14:paraId="33DAC092" w14:textId="48BA6347" w:rsidR="005130D3" w:rsidRDefault="005130D3" w:rsidP="009C0FE6">
      <w:pPr>
        <w:pStyle w:val="Heading2"/>
      </w:pPr>
      <w:bookmarkStart w:id="32" w:name="_Toc198808322"/>
      <w:r>
        <w:t>We have</w:t>
      </w:r>
      <w:r w:rsidR="00AE258E">
        <w:t xml:space="preserve"> </w:t>
      </w:r>
      <w:r w:rsidR="005E4CDB">
        <w:t xml:space="preserve">considered </w:t>
      </w:r>
      <w:r w:rsidR="0036589A">
        <w:t xml:space="preserve">all </w:t>
      </w:r>
      <w:r w:rsidR="005E4CDB">
        <w:t>submission</w:t>
      </w:r>
      <w:r w:rsidR="00DE19CA">
        <w:t>s</w:t>
      </w:r>
      <w:r w:rsidR="005E4CDB">
        <w:t xml:space="preserve"> on our draft decision in making this final decision</w:t>
      </w:r>
      <w:bookmarkEnd w:id="32"/>
      <w:r w:rsidR="005E4CDB">
        <w:t xml:space="preserve"> </w:t>
      </w:r>
    </w:p>
    <w:p w14:paraId="607D737F" w14:textId="1D75D76F" w:rsidR="004309B8" w:rsidRDefault="004309B8" w:rsidP="00A36D27">
      <w:r w:rsidRPr="004309B8">
        <w:t xml:space="preserve">Our </w:t>
      </w:r>
      <w:r w:rsidR="00BC049E">
        <w:t>final</w:t>
      </w:r>
      <w:r w:rsidRPr="004309B8">
        <w:t xml:space="preserve"> decision </w:t>
      </w:r>
      <w:r w:rsidR="007A6A44">
        <w:t>has adopted the same approach as the draft decision</w:t>
      </w:r>
      <w:r w:rsidR="00D2623E">
        <w:t>,</w:t>
      </w:r>
      <w:r w:rsidR="007A6A44">
        <w:t xml:space="preserve"> </w:t>
      </w:r>
      <w:r w:rsidR="00D2623E">
        <w:t>w</w:t>
      </w:r>
      <w:r w:rsidR="007A6A44">
        <w:t>hich</w:t>
      </w:r>
      <w:r w:rsidR="00CE0FE9">
        <w:t xml:space="preserve"> is</w:t>
      </w:r>
      <w:r w:rsidR="007A6A44">
        <w:t xml:space="preserve"> </w:t>
      </w:r>
      <w:r w:rsidR="00FF2F68">
        <w:t xml:space="preserve">also </w:t>
      </w:r>
      <w:r w:rsidRPr="004309B8">
        <w:t xml:space="preserve">broadly the same approach we used </w:t>
      </w:r>
      <w:r>
        <w:t>in</w:t>
      </w:r>
      <w:r w:rsidRPr="004309B8">
        <w:t xml:space="preserve"> the 2024–25 Victorian Default Offer, with </w:t>
      </w:r>
      <w:r w:rsidR="00A14F31">
        <w:t>some</w:t>
      </w:r>
      <w:r w:rsidRPr="004309B8">
        <w:t xml:space="preserve"> </w:t>
      </w:r>
      <w:r w:rsidR="00A14F31">
        <w:t xml:space="preserve">changes </w:t>
      </w:r>
      <w:r w:rsidRPr="004309B8">
        <w:t xml:space="preserve">to </w:t>
      </w:r>
      <w:r w:rsidR="00A14F31">
        <w:t xml:space="preserve">cost benchmarks and </w:t>
      </w:r>
      <w:r w:rsidRPr="004309B8">
        <w:t>methodology.</w:t>
      </w:r>
    </w:p>
    <w:p w14:paraId="48D59BE8" w14:textId="011CE929" w:rsidR="002B5700" w:rsidRDefault="005130D3" w:rsidP="00A36D27">
      <w:r>
        <w:t xml:space="preserve">We consider our </w:t>
      </w:r>
      <w:r w:rsidR="00A1042F">
        <w:t xml:space="preserve">overall </w:t>
      </w:r>
      <w:r w:rsidR="00A13C9D">
        <w:t>approach</w:t>
      </w:r>
      <w:r>
        <w:t xml:space="preserve"> for calculating the Victorian Default Offer </w:t>
      </w:r>
      <w:r w:rsidR="007B3E5A">
        <w:t>to be</w:t>
      </w:r>
      <w:r>
        <w:t xml:space="preserve"> sound. </w:t>
      </w:r>
      <w:r w:rsidR="00A13C9D">
        <w:t>Our</w:t>
      </w:r>
      <w:r>
        <w:t xml:space="preserve"> methodology has remained largely the same for </w:t>
      </w:r>
      <w:proofErr w:type="gramStart"/>
      <w:r>
        <w:t>a number of</w:t>
      </w:r>
      <w:proofErr w:type="gramEnd"/>
      <w:r>
        <w:t xml:space="preserve"> years</w:t>
      </w:r>
      <w:r w:rsidR="00F94B89">
        <w:t>. During this time, it</w:t>
      </w:r>
      <w:r w:rsidR="00D9533C">
        <w:t xml:space="preserve"> </w:t>
      </w:r>
      <w:r>
        <w:t xml:space="preserve">has </w:t>
      </w:r>
      <w:r w:rsidRPr="00700FED">
        <w:t>achieve</w:t>
      </w:r>
      <w:r>
        <w:t>d</w:t>
      </w:r>
      <w:r w:rsidRPr="00700FED">
        <w:t xml:space="preserve"> the objective</w:t>
      </w:r>
      <w:r w:rsidR="00BB655C">
        <w:t xml:space="preserve"> of </w:t>
      </w:r>
      <w:r w:rsidR="00A80651">
        <w:t xml:space="preserve">providing </w:t>
      </w:r>
      <w:r w:rsidR="00A80651" w:rsidRPr="00A80651">
        <w:t>a simple, trusted and reasonably priced electricity option that safeguards consumers unable or unwilling to engage in the electricity retail market</w:t>
      </w:r>
      <w:r>
        <w:t xml:space="preserve">, including </w:t>
      </w:r>
      <w:r w:rsidRPr="00700FED">
        <w:t>over a period of fluctuating and volatile electricity market conditions.</w:t>
      </w:r>
      <w:r>
        <w:t xml:space="preserve"> </w:t>
      </w:r>
    </w:p>
    <w:p w14:paraId="4DE7B1BB" w14:textId="079E4ABC" w:rsidR="00EE34F1" w:rsidRDefault="002B5700" w:rsidP="00EE34F1">
      <w:r>
        <w:t>Submissions</w:t>
      </w:r>
      <w:r w:rsidRPr="00742D63">
        <w:t xml:space="preserve"> </w:t>
      </w:r>
      <w:r>
        <w:t>received</w:t>
      </w:r>
      <w:r w:rsidR="00A36D27" w:rsidRPr="00742D63">
        <w:t xml:space="preserve"> on our </w:t>
      </w:r>
      <w:r w:rsidR="001540B1">
        <w:t>D</w:t>
      </w:r>
      <w:r w:rsidR="009328DA">
        <w:t xml:space="preserve">raft </w:t>
      </w:r>
      <w:r w:rsidR="00585A0A">
        <w:t>D</w:t>
      </w:r>
      <w:r w:rsidR="009328DA">
        <w:t xml:space="preserve">ecision </w:t>
      </w:r>
      <w:r w:rsidR="00585A0A">
        <w:t>P</w:t>
      </w:r>
      <w:r w:rsidR="009328DA">
        <w:t>aper</w:t>
      </w:r>
      <w:r w:rsidR="00A36D27" w:rsidRPr="00742D63" w:rsidDel="00F61B71">
        <w:t xml:space="preserve"> </w:t>
      </w:r>
      <w:r w:rsidR="00A36D27" w:rsidRPr="000A00C1">
        <w:t>s</w:t>
      </w:r>
      <w:r w:rsidR="00600D71" w:rsidRPr="000A00C1">
        <w:t>how</w:t>
      </w:r>
      <w:r w:rsidR="002F5676">
        <w:t>ed</w:t>
      </w:r>
      <w:r w:rsidR="00A36D27" w:rsidRPr="000A00C1">
        <w:t xml:space="preserve"> general support for the overall </w:t>
      </w:r>
      <w:r w:rsidR="00EE13A4">
        <w:t xml:space="preserve">pricing </w:t>
      </w:r>
      <w:r w:rsidR="00A36D27" w:rsidRPr="000A00C1">
        <w:t>methodology.</w:t>
      </w:r>
      <w:r w:rsidR="00600D71" w:rsidRPr="000A00C1">
        <w:rPr>
          <w:rStyle w:val="FootnoteReference"/>
        </w:rPr>
        <w:footnoteReference w:id="21"/>
      </w:r>
      <w:r w:rsidR="009A54CB" w:rsidRPr="000A00C1">
        <w:t xml:space="preserve"> </w:t>
      </w:r>
      <w:r w:rsidR="00497519">
        <w:t>However, some</w:t>
      </w:r>
      <w:r w:rsidR="00AB0A00">
        <w:t xml:space="preserve"> </w:t>
      </w:r>
      <w:r w:rsidR="00056DA9">
        <w:t>submission</w:t>
      </w:r>
      <w:r w:rsidR="005C090B">
        <w:t xml:space="preserve">s opposed specific changes we proposed, </w:t>
      </w:r>
      <w:r w:rsidR="00053D81">
        <w:t xml:space="preserve">including </w:t>
      </w:r>
      <w:r w:rsidR="004941D0">
        <w:t xml:space="preserve">our revised </w:t>
      </w:r>
      <w:r w:rsidR="000D4E59">
        <w:t>approach to customer load profile</w:t>
      </w:r>
      <w:r w:rsidR="00DA1E7A">
        <w:t xml:space="preserve"> used to estimate wholesale electricity costs. </w:t>
      </w:r>
    </w:p>
    <w:p w14:paraId="13760C19" w14:textId="3AC7339B" w:rsidR="005130D3" w:rsidRDefault="005130D3" w:rsidP="005130D3">
      <w:r w:rsidRPr="000A00C1">
        <w:t>A</w:t>
      </w:r>
      <w:r w:rsidR="008025E3">
        <w:t xml:space="preserve"> </w:t>
      </w:r>
      <w:r>
        <w:t xml:space="preserve">strong </w:t>
      </w:r>
      <w:r w:rsidR="008025E3">
        <w:t xml:space="preserve">rationale </w:t>
      </w:r>
      <w:r w:rsidR="00A13C9D">
        <w:t>is</w:t>
      </w:r>
      <w:r w:rsidR="00066ABF">
        <w:t xml:space="preserve"> always</w:t>
      </w:r>
      <w:r>
        <w:t xml:space="preserve"> required for us to </w:t>
      </w:r>
      <w:r w:rsidR="002533D1">
        <w:t>depart from the methodology in prior use</w:t>
      </w:r>
      <w:r>
        <w:t xml:space="preserve">. </w:t>
      </w:r>
      <w:r w:rsidR="008025E3">
        <w:t xml:space="preserve">In making our </w:t>
      </w:r>
      <w:r w:rsidR="008061B8">
        <w:t>final</w:t>
      </w:r>
      <w:r w:rsidR="008025E3">
        <w:t xml:space="preserve"> decision, w</w:t>
      </w:r>
      <w:r w:rsidR="004F0326">
        <w:t xml:space="preserve">e </w:t>
      </w:r>
      <w:r w:rsidR="00AE192E">
        <w:t xml:space="preserve">carefully </w:t>
      </w:r>
      <w:r w:rsidR="004F0326">
        <w:t xml:space="preserve">considered expert advice, </w:t>
      </w:r>
      <w:r w:rsidR="008025E3">
        <w:t xml:space="preserve">existing and new </w:t>
      </w:r>
      <w:r w:rsidR="004F0326">
        <w:t xml:space="preserve">data, </w:t>
      </w:r>
      <w:r w:rsidR="008025E3">
        <w:t>bro</w:t>
      </w:r>
      <w:r w:rsidR="0005574C">
        <w:t>a</w:t>
      </w:r>
      <w:r w:rsidR="008025E3">
        <w:t xml:space="preserve">der regulatory practice, </w:t>
      </w:r>
      <w:r w:rsidR="00685987">
        <w:t xml:space="preserve">and the </w:t>
      </w:r>
      <w:r w:rsidR="008025E3">
        <w:t>evidence</w:t>
      </w:r>
      <w:r w:rsidR="00994673">
        <w:t xml:space="preserve"> </w:t>
      </w:r>
      <w:r w:rsidR="00682074">
        <w:t>presented in</w:t>
      </w:r>
      <w:r w:rsidR="00AE192E">
        <w:t xml:space="preserve"> submissions</w:t>
      </w:r>
      <w:r w:rsidR="00107016">
        <w:t xml:space="preserve">. Where we </w:t>
      </w:r>
      <w:r w:rsidR="00600D71">
        <w:t>refine</w:t>
      </w:r>
      <w:r w:rsidR="003D2FC4">
        <w:t>d</w:t>
      </w:r>
      <w:r w:rsidR="00107016">
        <w:t xml:space="preserve"> or change</w:t>
      </w:r>
      <w:r w:rsidR="003D2FC4">
        <w:t>d</w:t>
      </w:r>
      <w:r w:rsidR="00AE192E">
        <w:t xml:space="preserve"> </w:t>
      </w:r>
      <w:r w:rsidR="00E27459">
        <w:t>elements of our approach</w:t>
      </w:r>
      <w:r w:rsidR="00AD3D80">
        <w:t>,</w:t>
      </w:r>
      <w:r w:rsidR="00A13C9D">
        <w:t xml:space="preserve"> we </w:t>
      </w:r>
      <w:r w:rsidR="00107016">
        <w:t xml:space="preserve">have </w:t>
      </w:r>
      <w:r w:rsidR="0040353B">
        <w:t xml:space="preserve">provided </w:t>
      </w:r>
      <w:r w:rsidR="008D094B">
        <w:t>clear justification and supporting evidence</w:t>
      </w:r>
      <w:r>
        <w:t xml:space="preserve">. </w:t>
      </w:r>
    </w:p>
    <w:p w14:paraId="1001BCE6" w14:textId="73607896" w:rsidR="00BB655C" w:rsidRDefault="00E61710" w:rsidP="00441075">
      <w:pPr>
        <w:pStyle w:val="ListBullet"/>
        <w:numPr>
          <w:ilvl w:val="0"/>
          <w:numId w:val="0"/>
        </w:numPr>
      </w:pPr>
      <w:r>
        <w:lastRenderedPageBreak/>
        <w:t xml:space="preserve">We consider our approach to the various cost components </w:t>
      </w:r>
      <w:r w:rsidR="00AA6863">
        <w:t xml:space="preserve">in this </w:t>
      </w:r>
      <w:r w:rsidR="008061B8">
        <w:t>final</w:t>
      </w:r>
      <w:r w:rsidR="00AA6863">
        <w:t xml:space="preserve"> decision</w:t>
      </w:r>
      <w:r w:rsidR="00007FEF" w:rsidDel="00AA6863">
        <w:t xml:space="preserve"> </w:t>
      </w:r>
      <w:r w:rsidR="00007FEF">
        <w:t>best</w:t>
      </w:r>
      <w:r>
        <w:t xml:space="preserve"> meet the requirements of </w:t>
      </w:r>
      <w:r w:rsidR="00A15224">
        <w:t>the</w:t>
      </w:r>
      <w:r>
        <w:t xml:space="preserve"> relevant </w:t>
      </w:r>
      <w:r w:rsidR="00E821E2">
        <w:t xml:space="preserve">legislative </w:t>
      </w:r>
      <w:r>
        <w:t>provisions, and account</w:t>
      </w:r>
      <w:r w:rsidR="000B09D0">
        <w:t>s</w:t>
      </w:r>
      <w:r>
        <w:t xml:space="preserve"> for </w:t>
      </w:r>
      <w:r w:rsidR="000B09D0">
        <w:t>the</w:t>
      </w:r>
      <w:r>
        <w:t xml:space="preserve"> matters we must have regard to under the </w:t>
      </w:r>
      <w:r w:rsidRPr="00B41C15">
        <w:rPr>
          <w:i/>
          <w:iCs/>
        </w:rPr>
        <w:t>Essential Services Commission Act 2001</w:t>
      </w:r>
      <w:r>
        <w:t xml:space="preserve">, </w:t>
      </w:r>
      <w:r w:rsidRPr="00B41C15">
        <w:rPr>
          <w:i/>
          <w:iCs/>
        </w:rPr>
        <w:t>Electricity Industry Act 2000</w:t>
      </w:r>
      <w:r w:rsidRPr="00B45608">
        <w:t>,</w:t>
      </w:r>
      <w:r>
        <w:t xml:space="preserve"> and the pricing order. </w:t>
      </w:r>
      <w:bookmarkStart w:id="33" w:name="_Hlk198216967"/>
      <w:r w:rsidR="006777E2">
        <w:t>See</w:t>
      </w:r>
      <w:r w:rsidR="00F75CE3">
        <w:t xml:space="preserve"> </w:t>
      </w:r>
      <w:r w:rsidR="00323F3A">
        <w:t>Appendix F</w:t>
      </w:r>
      <w:r w:rsidR="006777E2">
        <w:t xml:space="preserve"> for more details</w:t>
      </w:r>
      <w:r w:rsidR="00323F3A">
        <w:t>.</w:t>
      </w:r>
      <w:bookmarkEnd w:id="33"/>
    </w:p>
    <w:p w14:paraId="77A6D0BA" w14:textId="41A55B89" w:rsidR="00242120" w:rsidRPr="00F501DB" w:rsidRDefault="00242120" w:rsidP="00242120">
      <w:pPr>
        <w:pStyle w:val="Heading2"/>
      </w:pPr>
      <w:bookmarkStart w:id="34" w:name="_Toc198808323"/>
      <w:r w:rsidRPr="00F501DB">
        <w:t>Update</w:t>
      </w:r>
      <w:r w:rsidRPr="00F501DB" w:rsidDel="00602487">
        <w:t xml:space="preserve">d </w:t>
      </w:r>
      <w:r w:rsidR="00AA64CC" w:rsidRPr="00F501DB">
        <w:t xml:space="preserve">cost </w:t>
      </w:r>
      <w:r w:rsidR="00253954" w:rsidRPr="00F501DB">
        <w:t>inputs</w:t>
      </w:r>
      <w:r w:rsidRPr="00F501DB">
        <w:t xml:space="preserve"> </w:t>
      </w:r>
      <w:r w:rsidR="00635195" w:rsidRPr="00F501DB">
        <w:t>have been used in</w:t>
      </w:r>
      <w:r w:rsidRPr="00F501DB">
        <w:t xml:space="preserve"> our final decision</w:t>
      </w:r>
      <w:bookmarkEnd w:id="34"/>
    </w:p>
    <w:p w14:paraId="7D20C26A" w14:textId="1EEBACE1" w:rsidR="00A36BB2" w:rsidRPr="006C4C15" w:rsidRDefault="00635195" w:rsidP="00373658">
      <w:r w:rsidRPr="006C4C15">
        <w:t>In making</w:t>
      </w:r>
      <w:r w:rsidR="003931F9" w:rsidRPr="006C4C15">
        <w:t xml:space="preserve"> our final decision, we </w:t>
      </w:r>
      <w:r w:rsidRPr="006C4C15">
        <w:t>have</w:t>
      </w:r>
      <w:r w:rsidR="003931F9" w:rsidRPr="006C4C15">
        <w:t xml:space="preserve"> </w:t>
      </w:r>
      <w:r w:rsidR="00B42E1A" w:rsidRPr="006C4C15">
        <w:t>use</w:t>
      </w:r>
      <w:r w:rsidRPr="006C4C15">
        <w:t>d</w:t>
      </w:r>
      <w:r w:rsidR="00B42E1A" w:rsidRPr="006C4C15">
        <w:t xml:space="preserve"> up-to-date </w:t>
      </w:r>
      <w:r w:rsidR="00FA30B5" w:rsidRPr="006C4C15">
        <w:t xml:space="preserve">cost </w:t>
      </w:r>
      <w:r w:rsidR="00022D9E" w:rsidRPr="006C4C15">
        <w:t xml:space="preserve">inputs </w:t>
      </w:r>
      <w:r w:rsidR="00D94160" w:rsidRPr="00373658">
        <w:t>including</w:t>
      </w:r>
      <w:r w:rsidR="00D94160" w:rsidRPr="006C4C15">
        <w:t>:</w:t>
      </w:r>
    </w:p>
    <w:p w14:paraId="5248CA45" w14:textId="628FA234" w:rsidR="00A36BB2" w:rsidRPr="006C4C15" w:rsidRDefault="00550044" w:rsidP="006C4C15">
      <w:pPr>
        <w:pStyle w:val="ListBullet"/>
      </w:pPr>
      <w:r w:rsidRPr="006C4C15">
        <w:t>n</w:t>
      </w:r>
      <w:r w:rsidR="003931F9" w:rsidRPr="006C4C15">
        <w:t xml:space="preserve">etwork </w:t>
      </w:r>
      <w:r w:rsidR="00F746AC" w:rsidRPr="006C4C15">
        <w:t>tariffs</w:t>
      </w:r>
      <w:r w:rsidR="003931F9" w:rsidRPr="006C4C15">
        <w:t xml:space="preserve"> </w:t>
      </w:r>
      <w:r w:rsidR="00D82901" w:rsidRPr="006C4C15">
        <w:t>and metering charges</w:t>
      </w:r>
      <w:r w:rsidR="003931F9" w:rsidRPr="006C4C15">
        <w:t xml:space="preserve"> approved by the Australian Energy Regulator</w:t>
      </w:r>
    </w:p>
    <w:p w14:paraId="5F75BD3C" w14:textId="448B9444" w:rsidR="003F31E0" w:rsidRPr="006C4C15" w:rsidRDefault="00B80ECD" w:rsidP="006C4C15">
      <w:pPr>
        <w:pStyle w:val="ListBullet"/>
      </w:pPr>
      <w:r w:rsidRPr="006C4C15">
        <w:t xml:space="preserve">final ASX Energy futures contract prices </w:t>
      </w:r>
      <w:r w:rsidR="001A619A" w:rsidRPr="00C72E01">
        <w:t>on</w:t>
      </w:r>
      <w:r w:rsidRPr="006C4C15">
        <w:t xml:space="preserve"> </w:t>
      </w:r>
      <w:r w:rsidR="00F501DB" w:rsidRPr="00C72E01">
        <w:t>1</w:t>
      </w:r>
      <w:r w:rsidR="00807C4B" w:rsidRPr="00C72E01">
        <w:t>6</w:t>
      </w:r>
      <w:r w:rsidRPr="00C72E01">
        <w:t xml:space="preserve"> April</w:t>
      </w:r>
      <w:r w:rsidRPr="006C4C15">
        <w:t xml:space="preserve"> 2025</w:t>
      </w:r>
      <w:r w:rsidR="003F31E0" w:rsidRPr="006C4C15">
        <w:t xml:space="preserve"> </w:t>
      </w:r>
    </w:p>
    <w:p w14:paraId="5FB27E6F" w14:textId="03D6A0CD" w:rsidR="00602487" w:rsidRPr="006C4C15" w:rsidRDefault="003931F9" w:rsidP="006C4C15">
      <w:pPr>
        <w:pStyle w:val="ListBullet"/>
      </w:pPr>
      <w:r w:rsidRPr="006C4C15">
        <w:t xml:space="preserve">other (smaller) </w:t>
      </w:r>
      <w:r w:rsidR="00350486" w:rsidRPr="006C4C15">
        <w:t xml:space="preserve">inputs </w:t>
      </w:r>
      <w:r w:rsidR="00822E9F" w:rsidRPr="006C4C15">
        <w:t xml:space="preserve">to our </w:t>
      </w:r>
      <w:r w:rsidRPr="006C4C15">
        <w:t xml:space="preserve">cost stack, dependent on available data. </w:t>
      </w:r>
    </w:p>
    <w:p w14:paraId="0458182F" w14:textId="77777777" w:rsidR="00125B89" w:rsidRDefault="003931F9">
      <w:r w:rsidRPr="00F501DB">
        <w:t xml:space="preserve">We </w:t>
      </w:r>
      <w:r w:rsidR="00F501DB" w:rsidRPr="00F501DB">
        <w:t>have considered</w:t>
      </w:r>
      <w:r w:rsidRPr="00F501DB">
        <w:t xml:space="preserve"> all submissions received on </w:t>
      </w:r>
      <w:r w:rsidR="00F501DB" w:rsidRPr="00F501DB">
        <w:t>our</w:t>
      </w:r>
      <w:r w:rsidRPr="00F501DB">
        <w:t xml:space="preserve"> draft decision</w:t>
      </w:r>
      <w:r w:rsidR="00CD2380">
        <w:t xml:space="preserve"> and addressed them in the relevant sections</w:t>
      </w:r>
      <w:r w:rsidR="0020374E">
        <w:t xml:space="preserve"> of this </w:t>
      </w:r>
      <w:r w:rsidR="00A11543">
        <w:t xml:space="preserve">paper. </w:t>
      </w:r>
    </w:p>
    <w:p w14:paraId="094BA462" w14:textId="470115C7" w:rsidR="00FC35AA" w:rsidRPr="00FC35AA" w:rsidRDefault="00FC35AA" w:rsidP="00A267C7">
      <w:pPr>
        <w:pStyle w:val="Heading2"/>
      </w:pPr>
      <w:bookmarkStart w:id="35" w:name="_Toc198808324"/>
      <w:r w:rsidRPr="00FC35AA">
        <w:t>Proposing new rules to help reduce energy bills in Victoria</w:t>
      </w:r>
      <w:bookmarkEnd w:id="35"/>
    </w:p>
    <w:p w14:paraId="35EDF1D5" w14:textId="56FF02A9" w:rsidR="00FC35AA" w:rsidRPr="00FC35AA" w:rsidRDefault="00FC35AA" w:rsidP="00FC35AA">
      <w:r w:rsidRPr="00FC35AA">
        <w:t>In response to our Draft Decision Paper, we heard from consumer groups about electricity bills and their impact on energy hardship.</w:t>
      </w:r>
      <w:r w:rsidRPr="00FC35AA">
        <w:rPr>
          <w:vertAlign w:val="superscript"/>
        </w:rPr>
        <w:footnoteReference w:id="22"/>
      </w:r>
      <w:r w:rsidRPr="00FC35AA">
        <w:t xml:space="preserve"> Submissions suggested several measures that could help reduce the effect of higher retail electricity prices, such as helping customers access retailers’ best offers, and preventing customers being on prices above the Victorian Default Offer. </w:t>
      </w:r>
    </w:p>
    <w:p w14:paraId="046354FF" w14:textId="1015E417" w:rsidR="00FC35AA" w:rsidRPr="00FC35AA" w:rsidRDefault="00FC35AA" w:rsidP="00FC35AA">
      <w:r w:rsidRPr="00FC35AA">
        <w:t xml:space="preserve">We have recently published a </w:t>
      </w:r>
      <w:r w:rsidR="00DF2D99">
        <w:t xml:space="preserve">Regulatory Impact Statement </w:t>
      </w:r>
      <w:r w:rsidR="0058504C">
        <w:t xml:space="preserve">(RIS) </w:t>
      </w:r>
      <w:r w:rsidR="00DF2D99">
        <w:t xml:space="preserve">proposing </w:t>
      </w:r>
      <w:r w:rsidRPr="00FC35AA">
        <w:t xml:space="preserve">new rules </w:t>
      </w:r>
      <w:r w:rsidR="00DF2D99">
        <w:t>to</w:t>
      </w:r>
      <w:r w:rsidRPr="00FC35AA">
        <w:t xml:space="preserve"> enhance consumer protections and reduce energy bills.</w:t>
      </w:r>
      <w:r w:rsidRPr="00FC35AA">
        <w:rPr>
          <w:vertAlign w:val="superscript"/>
        </w:rPr>
        <w:footnoteReference w:id="23"/>
      </w:r>
      <w:r w:rsidRPr="00FC35AA">
        <w:t xml:space="preserve"> The </w:t>
      </w:r>
      <w:r w:rsidR="0058504C">
        <w:t>RIS</w:t>
      </w:r>
      <w:r w:rsidRPr="00FC35AA">
        <w:t xml:space="preserve"> follows a request from the Victorian Minister for Energy and Resources.</w:t>
      </w:r>
      <w:r w:rsidRPr="00FC35AA">
        <w:rPr>
          <w:vertAlign w:val="superscript"/>
        </w:rPr>
        <w:footnoteReference w:id="24"/>
      </w:r>
      <w:r w:rsidRPr="00FC35AA">
        <w:t xml:space="preserve"> The proposed changes to the Energy Retail Code of Practice will provide lower energy prices for customers experiencing payment difficulty and those who have been on the same plan for over 4 years.</w:t>
      </w:r>
    </w:p>
    <w:p w14:paraId="71C05B3A" w14:textId="34624756" w:rsidR="00FC35AA" w:rsidRPr="00FC35AA" w:rsidRDefault="00FC35AA" w:rsidP="00923598">
      <w:pPr>
        <w:keepNext/>
      </w:pPr>
      <w:r w:rsidRPr="00FC35AA">
        <w:lastRenderedPageBreak/>
        <w:t xml:space="preserve">Retailers would be required to move: </w:t>
      </w:r>
    </w:p>
    <w:p w14:paraId="7B78C0CB" w14:textId="77777777" w:rsidR="00FC35AA" w:rsidRPr="00FC35AA" w:rsidRDefault="00FC35AA" w:rsidP="00923598">
      <w:pPr>
        <w:pStyle w:val="ListBullet"/>
        <w:keepNext/>
      </w:pPr>
      <w:r w:rsidRPr="00FC35AA">
        <w:t>customers receiving assistance under the Payment Difficulty Framework onto their cheapest electricity plan</w:t>
      </w:r>
    </w:p>
    <w:p w14:paraId="62892E58" w14:textId="77777777" w:rsidR="00FC35AA" w:rsidRPr="00FC35AA" w:rsidRDefault="00FC35AA" w:rsidP="00923598">
      <w:pPr>
        <w:pStyle w:val="ListBullet"/>
        <w:keepNext/>
      </w:pPr>
      <w:r w:rsidRPr="00FC35AA">
        <w:t>customers in arrears for at least 3 months and with arrears above $1,000 onto their cheapest electricity plan</w:t>
      </w:r>
    </w:p>
    <w:p w14:paraId="43C3D6E3" w14:textId="43E7A969" w:rsidR="00FC35AA" w:rsidRPr="00FC35AA" w:rsidRDefault="00FC35AA" w:rsidP="00923598">
      <w:pPr>
        <w:pStyle w:val="ListBullet"/>
        <w:keepNext/>
      </w:pPr>
      <w:r w:rsidRPr="00FC35AA">
        <w:t>customer</w:t>
      </w:r>
      <w:r w:rsidR="00CC0166">
        <w:t>s</w:t>
      </w:r>
      <w:r w:rsidRPr="00FC35AA">
        <w:t xml:space="preserve"> whose contracts are over 4 years old onto a reasonable price, considering their circumstances.</w:t>
      </w:r>
    </w:p>
    <w:p w14:paraId="4B17920A" w14:textId="135BC426" w:rsidR="00FC35AA" w:rsidRPr="00FC35AA" w:rsidRDefault="00FC35AA" w:rsidP="00FC35AA">
      <w:r w:rsidRPr="00FC35AA">
        <w:t xml:space="preserve">Our analysis shows potential savings of up to $730 for </w:t>
      </w:r>
      <w:r w:rsidR="00444EB0">
        <w:t xml:space="preserve">some </w:t>
      </w:r>
      <w:r w:rsidRPr="00FC35AA">
        <w:t xml:space="preserve">electricity customers receiving payment difficulty support. </w:t>
      </w:r>
    </w:p>
    <w:p w14:paraId="624A5FB9" w14:textId="77777777" w:rsidR="00FC35AA" w:rsidRPr="00FC35AA" w:rsidRDefault="00FC35AA" w:rsidP="00FC35AA">
      <w:r w:rsidRPr="00FC35AA">
        <w:t>We are also proposing a range of other energy protections including:</w:t>
      </w:r>
    </w:p>
    <w:p w14:paraId="5A473118" w14:textId="77777777" w:rsidR="00FC35AA" w:rsidRPr="00FC35AA" w:rsidRDefault="00FC35AA" w:rsidP="00A267C7">
      <w:pPr>
        <w:pStyle w:val="ListBullet"/>
      </w:pPr>
      <w:r w:rsidRPr="00FC35AA">
        <w:t>requiring retailers to make it easier for customers to move to their best offer</w:t>
      </w:r>
    </w:p>
    <w:p w14:paraId="78334D57" w14:textId="77777777" w:rsidR="00FC35AA" w:rsidRPr="00FC35AA" w:rsidRDefault="00FC35AA" w:rsidP="00A267C7">
      <w:pPr>
        <w:pStyle w:val="ListBullet"/>
      </w:pPr>
      <w:r w:rsidRPr="00FC35AA">
        <w:t>prohibiting retailers from making a particular payment method like direct debit or a communication channel like e-billing a prerequisite for accessing a particular electricity plan</w:t>
      </w:r>
    </w:p>
    <w:p w14:paraId="632B0AD3" w14:textId="77777777" w:rsidR="00FC35AA" w:rsidRPr="00FC35AA" w:rsidRDefault="00FC35AA" w:rsidP="00A267C7">
      <w:pPr>
        <w:pStyle w:val="ListBullet"/>
      </w:pPr>
      <w:r w:rsidRPr="00FC35AA">
        <w:t>increasing the minimum debt a customer can be disconnected for from $300 to $500.</w:t>
      </w:r>
    </w:p>
    <w:p w14:paraId="74F6A0C9" w14:textId="054B2330" w:rsidR="005130D3" w:rsidRDefault="00FC35AA">
      <w:pPr>
        <w:sectPr w:rsidR="005130D3" w:rsidSect="00F66EE3">
          <w:headerReference w:type="even" r:id="rId23"/>
          <w:footerReference w:type="default" r:id="rId24"/>
          <w:headerReference w:type="first" r:id="rId25"/>
          <w:type w:val="continuous"/>
          <w:pgSz w:w="11906" w:h="16838" w:code="9"/>
          <w:pgMar w:top="1134" w:right="1134" w:bottom="1134" w:left="1134" w:header="709" w:footer="692" w:gutter="0"/>
          <w:cols w:space="708"/>
          <w:docGrid w:linePitch="360"/>
        </w:sectPr>
      </w:pPr>
      <w:r w:rsidRPr="00FC35AA">
        <w:t>We are engaging with stakeholders on the reforms, which are proposed to be implemented in 2026.</w:t>
      </w:r>
    </w:p>
    <w:p w14:paraId="6EC10CAF" w14:textId="13084426" w:rsidR="00902ACE" w:rsidRDefault="00902ACE" w:rsidP="00891B14">
      <w:pPr>
        <w:pStyle w:val="Heading2"/>
      </w:pPr>
      <w:bookmarkStart w:id="36" w:name="_Toc191027351"/>
      <w:bookmarkStart w:id="37" w:name="_Toc198808325"/>
      <w:bookmarkStart w:id="38" w:name="_Toc160817009"/>
      <w:r>
        <w:t>We will continue to uphold other protections for customers</w:t>
      </w:r>
      <w:bookmarkEnd w:id="36"/>
      <w:bookmarkEnd w:id="37"/>
    </w:p>
    <w:p w14:paraId="2E0D5FF4" w14:textId="7C59234B" w:rsidR="00902ACE" w:rsidRDefault="002C4480" w:rsidP="00902ACE">
      <w:r w:rsidRPr="002C4480">
        <w:t xml:space="preserve">In addition to setting the Victorian Default Offer, the commission administers the Energy Retail Code of Practice, which includes important protections for energy customers. Retailers must provide customers with clear </w:t>
      </w:r>
      <w:r w:rsidR="00964FD4" w:rsidRPr="002C4480">
        <w:t xml:space="preserve">information about their best offer </w:t>
      </w:r>
      <w:r w:rsidRPr="002C4480">
        <w:t>and offer payment assistance if a bill is missed</w:t>
      </w:r>
      <w:r w:rsidR="00902ACE">
        <w:t>.</w:t>
      </w:r>
      <w:r w:rsidR="00902ACE">
        <w:rPr>
          <w:rStyle w:val="FootnoteReference"/>
        </w:rPr>
        <w:footnoteReference w:id="25"/>
      </w:r>
      <w:r w:rsidR="00902ACE">
        <w:t xml:space="preserve"> </w:t>
      </w:r>
    </w:p>
    <w:p w14:paraId="39CE6B85" w14:textId="484E9140" w:rsidR="00B47715" w:rsidRPr="00B47715" w:rsidRDefault="00443A47" w:rsidP="00B47715">
      <w:r w:rsidRPr="00443A47">
        <w:t>They must also support eligible customers to apply for Utility Relief Grants of up to $1,300 every two years</w:t>
      </w:r>
      <w:r w:rsidR="00902ACE">
        <w:t>.</w:t>
      </w:r>
      <w:r w:rsidR="00751C1A">
        <w:rPr>
          <w:rStyle w:val="FootnoteReference"/>
        </w:rPr>
        <w:footnoteReference w:id="26"/>
      </w:r>
      <w:r w:rsidR="00751C1A">
        <w:t xml:space="preserve"> </w:t>
      </w:r>
    </w:p>
    <w:p w14:paraId="6A9C50EA" w14:textId="77777777" w:rsidR="000D1B9D" w:rsidRDefault="00F156CE" w:rsidP="00564EE5">
      <w:r w:rsidRPr="00F156CE">
        <w:t xml:space="preserve">Additional help is available </w:t>
      </w:r>
      <w:r w:rsidR="00D80778">
        <w:t xml:space="preserve">to energy customers </w:t>
      </w:r>
      <w:r w:rsidRPr="00F156CE">
        <w:t xml:space="preserve">through government programs. Eligible concession card holders can access </w:t>
      </w:r>
      <w:r w:rsidRPr="00F52FD1">
        <w:t>ongoing electricity and gas concessions. From 1 July 2025, the Commonwealth and Victorian Governments will provide an additional $150 in energy bill relief to eligible households under the Energy Bill Relief Fund</w:t>
      </w:r>
      <w:r w:rsidR="00D13F88" w:rsidRPr="00F52FD1">
        <w:t>.</w:t>
      </w:r>
      <w:r w:rsidR="00A80477" w:rsidRPr="00F52FD1">
        <w:rPr>
          <w:rStyle w:val="FootnoteReference"/>
        </w:rPr>
        <w:footnoteReference w:id="27"/>
      </w:r>
      <w:r w:rsidR="00D70B95">
        <w:t xml:space="preserve"> </w:t>
      </w:r>
    </w:p>
    <w:p w14:paraId="072F7FB7" w14:textId="77777777" w:rsidR="00B814C6" w:rsidRDefault="00B814C6" w:rsidP="00B814C6">
      <w:r w:rsidRPr="00F52FD1">
        <w:lastRenderedPageBreak/>
        <w:t>This includes people on Centrelink, veterans’ or seniors’ payments, and those receiving family tax benefits. The rebate will be applied automatically to electricity bills – most customers do not need to apply.</w:t>
      </w:r>
    </w:p>
    <w:p w14:paraId="4BA88482" w14:textId="1C9D438A" w:rsidR="00E01C7A" w:rsidRDefault="00E01C7A" w:rsidP="00B814C6">
      <w:r w:rsidRPr="00F71083">
        <w:t>The Victorian Government will also provide targeted energy bill relief of $100 for eligible households with a concession card.</w:t>
      </w:r>
      <w:r w:rsidRPr="00F71083">
        <w:rPr>
          <w:rStyle w:val="FootnoteReference"/>
        </w:rPr>
        <w:footnoteReference w:id="28"/>
      </w:r>
    </w:p>
    <w:p w14:paraId="786F5482" w14:textId="206996CA" w:rsidR="009375D7" w:rsidRPr="00F52FD1" w:rsidRDefault="009375D7" w:rsidP="00B814C6">
      <w:r w:rsidRPr="00B47715">
        <w:t xml:space="preserve">We monitor retailer compliance </w:t>
      </w:r>
      <w:r>
        <w:t xml:space="preserve">with the Energy Code of Practice </w:t>
      </w:r>
      <w:r w:rsidRPr="00B47715">
        <w:t>and take enforcement action where necessary, with a particular focus on protecting consumers experiencing vulnerability.</w:t>
      </w:r>
    </w:p>
    <w:p w14:paraId="166741D3" w14:textId="1F851E17" w:rsidR="00446BA9" w:rsidRPr="00F52FD1" w:rsidRDefault="00383EAC" w:rsidP="00CF794B">
      <w:pPr>
        <w:pStyle w:val="Heading3"/>
      </w:pPr>
      <w:r w:rsidRPr="00F52FD1">
        <w:t xml:space="preserve">A </w:t>
      </w:r>
      <w:r w:rsidR="00AD644F" w:rsidRPr="00F52FD1">
        <w:t>proposed s</w:t>
      </w:r>
      <w:r w:rsidRPr="00F52FD1">
        <w:t xml:space="preserve">ocial electricity tariff </w:t>
      </w:r>
      <w:r w:rsidR="00AD644F" w:rsidRPr="00F52FD1">
        <w:t>requires government consideration</w:t>
      </w:r>
      <w:r w:rsidRPr="00F52FD1">
        <w:t xml:space="preserve"> </w:t>
      </w:r>
    </w:p>
    <w:p w14:paraId="3F9A51D2" w14:textId="29F382FC" w:rsidR="00DF7838" w:rsidRPr="00F52FD1" w:rsidRDefault="00645756" w:rsidP="00DF7838">
      <w:r w:rsidRPr="00F52FD1">
        <w:t xml:space="preserve">To further reduce the effect of higher retail electricity prices, </w:t>
      </w:r>
      <w:r w:rsidR="00DF7838" w:rsidRPr="00F52FD1" w:rsidDel="00645756">
        <w:t>s</w:t>
      </w:r>
      <w:r w:rsidR="00DF7838" w:rsidRPr="00F52FD1">
        <w:t xml:space="preserve">ubmissions from consumer groups </w:t>
      </w:r>
      <w:r w:rsidRPr="00F52FD1">
        <w:t>also proposed the introduction of a social electricity tariff that uses components of the Victorian Default Offer to provide an electricity price available to low-income consumers.</w:t>
      </w:r>
      <w:r w:rsidR="00DF7838" w:rsidRPr="00F52FD1">
        <w:rPr>
          <w:rStyle w:val="FootnoteReference"/>
        </w:rPr>
        <w:footnoteReference w:id="29"/>
      </w:r>
      <w:r w:rsidR="00DF7838" w:rsidRPr="00F52FD1" w:rsidDel="00645756">
        <w:t xml:space="preserve"> </w:t>
      </w:r>
    </w:p>
    <w:p w14:paraId="6F29B70F" w14:textId="1FEB344C" w:rsidR="00050594" w:rsidRDefault="00492B11" w:rsidP="00B503C2">
      <w:pPr>
        <w:sectPr w:rsidR="00050594" w:rsidSect="00E80930">
          <w:headerReference w:type="even" r:id="rId26"/>
          <w:headerReference w:type="first" r:id="rId27"/>
          <w:type w:val="continuous"/>
          <w:pgSz w:w="11906" w:h="16838" w:code="9"/>
          <w:pgMar w:top="1134" w:right="1134" w:bottom="1134" w:left="1134" w:header="709" w:footer="692" w:gutter="0"/>
          <w:cols w:space="708"/>
          <w:docGrid w:linePitch="360"/>
        </w:sectPr>
      </w:pPr>
      <w:bookmarkStart w:id="41" w:name="_Ref188875185"/>
      <w:bookmarkStart w:id="42" w:name="_Toc191027357"/>
      <w:bookmarkEnd w:id="31"/>
      <w:bookmarkEnd w:id="38"/>
      <w:r w:rsidRPr="00F52FD1">
        <w:t>A</w:t>
      </w:r>
      <w:r w:rsidR="00DF7838" w:rsidRPr="00F52FD1">
        <w:t xml:space="preserve"> social electricity tariff would require new supporting policies, </w:t>
      </w:r>
      <w:r w:rsidR="003F303F" w:rsidRPr="00F52FD1">
        <w:t xml:space="preserve">and </w:t>
      </w:r>
      <w:r w:rsidR="00DF7838" w:rsidRPr="00F52FD1">
        <w:t xml:space="preserve">current regulatory settings. </w:t>
      </w:r>
      <w:r w:rsidR="00785B09" w:rsidRPr="00F52FD1">
        <w:t xml:space="preserve">We are therefore of the view that </w:t>
      </w:r>
      <w:r w:rsidR="001A720C" w:rsidRPr="00F52FD1">
        <w:t>t</w:t>
      </w:r>
      <w:r w:rsidR="00694DCC" w:rsidRPr="00F52FD1">
        <w:t>his</w:t>
      </w:r>
      <w:r w:rsidR="00DF7838" w:rsidRPr="00F52FD1">
        <w:t xml:space="preserve"> </w:t>
      </w:r>
      <w:r w:rsidR="001A720C" w:rsidRPr="00F52FD1">
        <w:t>matter is best</w:t>
      </w:r>
      <w:r w:rsidR="00DF7838" w:rsidRPr="00F52FD1">
        <w:t xml:space="preserve"> consider</w:t>
      </w:r>
      <w:r w:rsidR="00785B09" w:rsidRPr="00F52FD1">
        <w:t>ed</w:t>
      </w:r>
      <w:r w:rsidR="00DF7838" w:rsidRPr="00F52FD1">
        <w:t xml:space="preserve"> by government, separate to the Victorian Default Offer</w:t>
      </w:r>
      <w:r w:rsidR="00785B09" w:rsidRPr="00F52FD1">
        <w:t xml:space="preserve"> price determination process</w:t>
      </w:r>
      <w:r w:rsidR="004E291F" w:rsidRPr="00F52FD1">
        <w:t>.</w:t>
      </w:r>
      <w:r w:rsidR="004E291F">
        <w:t xml:space="preserve"> </w:t>
      </w:r>
    </w:p>
    <w:p w14:paraId="7517A5CA" w14:textId="2409D8FF" w:rsidR="001B5E05" w:rsidRDefault="001B5E05" w:rsidP="00B503C2">
      <w:pPr>
        <w:sectPr w:rsidR="001B5E05" w:rsidSect="00E80930">
          <w:type w:val="continuous"/>
          <w:pgSz w:w="11906" w:h="16838" w:code="9"/>
          <w:pgMar w:top="1134" w:right="1134" w:bottom="1134" w:left="1134" w:header="709" w:footer="692" w:gutter="0"/>
          <w:cols w:space="708"/>
          <w:docGrid w:linePitch="360"/>
        </w:sectPr>
      </w:pPr>
    </w:p>
    <w:p w14:paraId="235B85D7" w14:textId="3C90E80D" w:rsidR="00710792" w:rsidRDefault="00464CEC" w:rsidP="00710792">
      <w:pPr>
        <w:pStyle w:val="Heading1"/>
      </w:pPr>
      <w:bookmarkStart w:id="43" w:name="_Ref192259163"/>
      <w:bookmarkStart w:id="44" w:name="_Toc198808326"/>
      <w:r>
        <w:lastRenderedPageBreak/>
        <w:t>Victorian Default Offer cost components</w:t>
      </w:r>
      <w:bookmarkEnd w:id="41"/>
      <w:bookmarkEnd w:id="42"/>
      <w:bookmarkEnd w:id="43"/>
      <w:bookmarkEnd w:id="44"/>
    </w:p>
    <w:p w14:paraId="61599289" w14:textId="2AF765AB" w:rsidR="00C920FF" w:rsidRDefault="00C920FF" w:rsidP="00C920FF">
      <w:bookmarkStart w:id="45" w:name="_Toc480988882"/>
      <w:bookmarkStart w:id="46" w:name="_Toc481138193"/>
      <w:bookmarkStart w:id="47" w:name="_Toc481138401"/>
      <w:r>
        <w:t>We must base the Victorian Default Offer on the efficient costs of the sale of electricity by a retailer.</w:t>
      </w:r>
      <w:r>
        <w:rPr>
          <w:rStyle w:val="FootnoteReference"/>
        </w:rPr>
        <w:footnoteReference w:id="30"/>
      </w:r>
      <w:r>
        <w:t xml:space="preserve"> In doing this, we must have regard to specific cost components.</w:t>
      </w:r>
      <w:r>
        <w:rPr>
          <w:rStyle w:val="FootnoteReference"/>
        </w:rPr>
        <w:footnoteReference w:id="31"/>
      </w:r>
      <w:r>
        <w:t xml:space="preserve"> Figure </w:t>
      </w:r>
      <w:r w:rsidR="00806BAE">
        <w:t>3</w:t>
      </w:r>
      <w:r>
        <w:t xml:space="preserve"> shows the cost</w:t>
      </w:r>
      <w:r w:rsidR="00EF5954">
        <w:t xml:space="preserve"> component</w:t>
      </w:r>
      <w:r>
        <w:t xml:space="preserve">s included in our </w:t>
      </w:r>
      <w:r w:rsidR="006E344A">
        <w:t xml:space="preserve">2025–26 </w:t>
      </w:r>
      <w:r>
        <w:t xml:space="preserve">Victorian Default Offer cost </w:t>
      </w:r>
      <w:r w:rsidR="008A4198">
        <w:t>stack</w:t>
      </w:r>
      <w:r w:rsidR="006E344A">
        <w:t>.</w:t>
      </w:r>
    </w:p>
    <w:p w14:paraId="574EA9E3" w14:textId="5110EC40" w:rsidR="00B133ED" w:rsidRDefault="00C920FF" w:rsidP="001448E0">
      <w:pPr>
        <w:pStyle w:val="Figure-Table-BoxHeading"/>
        <w:ind w:left="851" w:hanging="851"/>
      </w:pPr>
      <w:r>
        <w:t xml:space="preserve">Figure </w:t>
      </w:r>
      <w:r w:rsidR="00806BAE">
        <w:t>3</w:t>
      </w:r>
      <w:r>
        <w:t xml:space="preserve">: Victorian Default Offer </w:t>
      </w:r>
      <w:r w:rsidR="009428D9">
        <w:t>cost stack</w:t>
      </w:r>
      <w:r w:rsidR="001448E0" w:rsidRPr="00C2608A">
        <w:rPr>
          <w:noProof/>
        </w:rPr>
        <w:drawing>
          <wp:anchor distT="0" distB="0" distL="114300" distR="114300" simplePos="0" relativeHeight="251658240" behindDoc="0" locked="0" layoutInCell="1" allowOverlap="1" wp14:anchorId="4C524743" wp14:editId="22E29906">
            <wp:simplePos x="0" y="0"/>
            <wp:positionH relativeFrom="margin">
              <wp:posOffset>0</wp:posOffset>
            </wp:positionH>
            <wp:positionV relativeFrom="paragraph">
              <wp:posOffset>304165</wp:posOffset>
            </wp:positionV>
            <wp:extent cx="6398260" cy="3081020"/>
            <wp:effectExtent l="0" t="0" r="40640" b="0"/>
            <wp:wrapSquare wrapText="bothSides"/>
            <wp:docPr id="16" name="Diagram 16" descr="A flowchart showing the cost components of the Victorian Default Offer. The first branches show the cost components, and the second branches the subcategory costs that make up these componen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69776974" w14:textId="61905931" w:rsidR="00C920FF" w:rsidRPr="0081623A" w:rsidRDefault="005256D8" w:rsidP="00C920FF">
      <w:r>
        <w:t>T</w:t>
      </w:r>
      <w:r w:rsidR="00C920FF" w:rsidRPr="00495F67">
        <w:t xml:space="preserve">he </w:t>
      </w:r>
      <w:r w:rsidR="00D929BA" w:rsidRPr="002C6034">
        <w:t>inputs</w:t>
      </w:r>
      <w:r w:rsidR="00C920FF" w:rsidRPr="0081623A">
        <w:t xml:space="preserve"> </w:t>
      </w:r>
      <w:r w:rsidR="00D74EB3" w:rsidRPr="002C6034">
        <w:t xml:space="preserve">we use </w:t>
      </w:r>
      <w:r w:rsidR="00D817EA" w:rsidRPr="002C6034">
        <w:t>to determine the</w:t>
      </w:r>
      <w:r w:rsidR="001F620F" w:rsidRPr="002C6034">
        <w:t xml:space="preserve"> Victorian Default Offer </w:t>
      </w:r>
      <w:r w:rsidR="00202F58" w:rsidRPr="002C6034">
        <w:t>cost comp</w:t>
      </w:r>
      <w:r w:rsidR="00D65128" w:rsidRPr="002C6034">
        <w:t>o</w:t>
      </w:r>
      <w:r w:rsidR="00202F58" w:rsidRPr="002C6034">
        <w:t xml:space="preserve">nents </w:t>
      </w:r>
      <w:r w:rsidR="00C920FF" w:rsidRPr="0081623A">
        <w:t>are</w:t>
      </w:r>
      <w:r w:rsidR="00C920FF" w:rsidRPr="002C6034" w:rsidDel="00BA2AA3">
        <w:t xml:space="preserve"> </w:t>
      </w:r>
      <w:r w:rsidR="00C920FF" w:rsidRPr="0081623A">
        <w:t>as follows:</w:t>
      </w:r>
    </w:p>
    <w:p w14:paraId="251571B1" w14:textId="454137CC" w:rsidR="00C920FF" w:rsidRPr="00BB4D03" w:rsidRDefault="00DB6B9B" w:rsidP="00BB4D03">
      <w:pPr>
        <w:pStyle w:val="ListBullet"/>
      </w:pPr>
      <w:r w:rsidRPr="00BB4D03">
        <w:t>N</w:t>
      </w:r>
      <w:r w:rsidR="00C920FF" w:rsidRPr="00BB4D03">
        <w:t xml:space="preserve">etwork costs – </w:t>
      </w:r>
      <w:r w:rsidR="00EF769E" w:rsidRPr="00BB4D03">
        <w:t>based</w:t>
      </w:r>
      <w:r w:rsidR="00C920FF" w:rsidRPr="00BB4D03">
        <w:t xml:space="preserve"> </w:t>
      </w:r>
      <w:r w:rsidR="00EF769E" w:rsidRPr="00BB4D03">
        <w:t xml:space="preserve">on </w:t>
      </w:r>
      <w:r w:rsidR="00D50D18" w:rsidRPr="00BB4D03">
        <w:t>distribut</w:t>
      </w:r>
      <w:r w:rsidR="00AF723A" w:rsidRPr="00BB4D03">
        <w:t>ors</w:t>
      </w:r>
      <w:r w:rsidR="00D50D18" w:rsidRPr="00BB4D03">
        <w:t xml:space="preserve">’ </w:t>
      </w:r>
      <w:r w:rsidR="00C96BCC" w:rsidRPr="00BB4D03">
        <w:t>network</w:t>
      </w:r>
      <w:r w:rsidR="00BB5AAA" w:rsidRPr="00BB4D03">
        <w:t xml:space="preserve"> </w:t>
      </w:r>
      <w:r w:rsidR="00C920FF" w:rsidRPr="00BB4D03">
        <w:t xml:space="preserve">tariffs </w:t>
      </w:r>
      <w:r w:rsidR="00995690" w:rsidRPr="00BB4D03">
        <w:t>and metering charges</w:t>
      </w:r>
      <w:r w:rsidR="00923D5D" w:rsidRPr="00BB4D03">
        <w:t xml:space="preserve"> </w:t>
      </w:r>
      <w:r w:rsidR="00C920FF" w:rsidRPr="00BB4D03">
        <w:t>approved by the Australian Energy Regulator</w:t>
      </w:r>
      <w:r w:rsidRPr="00BB4D03">
        <w:t>.</w:t>
      </w:r>
    </w:p>
    <w:p w14:paraId="42B75204" w14:textId="195762DE" w:rsidR="00C920FF" w:rsidRPr="00BB4D03" w:rsidRDefault="00DB6B9B" w:rsidP="00BB4D03">
      <w:pPr>
        <w:pStyle w:val="ListBullet"/>
      </w:pPr>
      <w:r w:rsidRPr="00BB4D03">
        <w:t>W</w:t>
      </w:r>
      <w:r w:rsidR="00C920FF" w:rsidRPr="00BB4D03">
        <w:t xml:space="preserve">holesale electricity costs – based on </w:t>
      </w:r>
      <w:r w:rsidR="00F210CC" w:rsidRPr="00BB4D03">
        <w:t>the</w:t>
      </w:r>
      <w:r w:rsidR="00316B58" w:rsidRPr="00BB4D03">
        <w:t xml:space="preserve"> forecast </w:t>
      </w:r>
      <w:r w:rsidR="00F210CC" w:rsidRPr="00BB4D03">
        <w:t xml:space="preserve">cost of purchasing </w:t>
      </w:r>
      <w:r w:rsidR="00C920FF" w:rsidRPr="00BB4D03">
        <w:t>electricity in the futures market</w:t>
      </w:r>
      <w:r w:rsidR="00131020" w:rsidRPr="00BB4D03">
        <w:t>,</w:t>
      </w:r>
      <w:r w:rsidR="00D1041F" w:rsidRPr="00BB4D03">
        <w:t xml:space="preserve"> </w:t>
      </w:r>
      <w:r w:rsidR="00AF1E9E" w:rsidRPr="00BB4D03">
        <w:t xml:space="preserve">including a wholesale cost of exports and </w:t>
      </w:r>
      <w:r w:rsidR="00D1041F" w:rsidRPr="00BB4D03">
        <w:t xml:space="preserve">factoring in </w:t>
      </w:r>
      <w:r w:rsidR="0029064A" w:rsidRPr="00BB4D03">
        <w:t>a volatility allowance</w:t>
      </w:r>
      <w:r w:rsidRPr="00BB4D03">
        <w:t>.</w:t>
      </w:r>
    </w:p>
    <w:p w14:paraId="0DD23E92" w14:textId="775BE980" w:rsidR="00C920FF" w:rsidRPr="00BB4D03" w:rsidRDefault="00DB6B9B" w:rsidP="00BB4D03">
      <w:pPr>
        <w:pStyle w:val="ListBullet"/>
      </w:pPr>
      <w:r w:rsidRPr="00BB4D03">
        <w:t>E</w:t>
      </w:r>
      <w:r w:rsidR="00C920FF" w:rsidRPr="00BB4D03">
        <w:t xml:space="preserve">nvironmental costs – </w:t>
      </w:r>
      <w:r w:rsidR="00E22341" w:rsidRPr="00BB4D03">
        <w:t>based</w:t>
      </w:r>
      <w:r w:rsidR="00C920FF" w:rsidRPr="00BB4D03" w:rsidDel="00E22341">
        <w:t xml:space="preserve"> on </w:t>
      </w:r>
      <w:r w:rsidR="00B60DDA" w:rsidRPr="00BB4D03">
        <w:t>retailers</w:t>
      </w:r>
      <w:r w:rsidR="00870EC5" w:rsidRPr="00BB4D03">
        <w:t>’</w:t>
      </w:r>
      <w:r w:rsidR="00C920FF" w:rsidRPr="00BB4D03" w:rsidDel="00E22341">
        <w:t xml:space="preserve"> costs of </w:t>
      </w:r>
      <w:r w:rsidR="006C7099" w:rsidRPr="00BB4D03">
        <w:t xml:space="preserve">complying </w:t>
      </w:r>
      <w:r w:rsidR="00147663" w:rsidRPr="00BB4D03">
        <w:t xml:space="preserve">with </w:t>
      </w:r>
      <w:r w:rsidR="00372492" w:rsidRPr="00BB4D03">
        <w:t xml:space="preserve">environmental obligations imposed </w:t>
      </w:r>
      <w:r w:rsidR="00301763" w:rsidRPr="00BB4D03">
        <w:t xml:space="preserve">under </w:t>
      </w:r>
      <w:r w:rsidR="003F4C57" w:rsidRPr="00BB4D03">
        <w:t>Commonwea</w:t>
      </w:r>
      <w:r w:rsidR="00E86E13" w:rsidRPr="00BB4D03">
        <w:t>l</w:t>
      </w:r>
      <w:r w:rsidR="003F4C57" w:rsidRPr="00BB4D03">
        <w:t xml:space="preserve">th and Victorian </w:t>
      </w:r>
      <w:r w:rsidR="00301763" w:rsidRPr="00BB4D03">
        <w:t>law or regulation</w:t>
      </w:r>
      <w:r w:rsidR="00EA70D7" w:rsidRPr="00BB4D03">
        <w:t>.</w:t>
      </w:r>
    </w:p>
    <w:p w14:paraId="25A89C78" w14:textId="08856629" w:rsidR="0022362A" w:rsidRPr="00BB4D03" w:rsidRDefault="00DB6B9B" w:rsidP="00BB4D03">
      <w:pPr>
        <w:pStyle w:val="ListBullet"/>
      </w:pPr>
      <w:r w:rsidRPr="00BB4D03">
        <w:t>Re</w:t>
      </w:r>
      <w:r w:rsidR="00C920FF" w:rsidRPr="00BB4D03">
        <w:t>tail</w:t>
      </w:r>
      <w:r w:rsidRPr="00BB4D03">
        <w:t xml:space="preserve"> operating</w:t>
      </w:r>
      <w:r w:rsidR="00C920FF" w:rsidRPr="00BB4D03">
        <w:t xml:space="preserve"> costs – </w:t>
      </w:r>
      <w:r w:rsidR="00C920FF" w:rsidRPr="00BB4D03" w:rsidDel="001E6BBE">
        <w:t xml:space="preserve">based on </w:t>
      </w:r>
      <w:r w:rsidR="00CD1AB3" w:rsidRPr="00BB4D03">
        <w:t>the customer-weighted average of retailer</w:t>
      </w:r>
      <w:r w:rsidR="00687581" w:rsidRPr="00BB4D03">
        <w:t>s’ actual ret</w:t>
      </w:r>
      <w:r w:rsidR="0034770C" w:rsidRPr="00BB4D03">
        <w:t xml:space="preserve">ail operating costs </w:t>
      </w:r>
      <w:r w:rsidR="00EE37C3" w:rsidRPr="00BB4D03">
        <w:t xml:space="preserve">for domestic and small business </w:t>
      </w:r>
      <w:r w:rsidR="004E2C4C" w:rsidRPr="00BB4D03">
        <w:t>customers</w:t>
      </w:r>
      <w:r w:rsidR="0022362A" w:rsidRPr="00BB4D03">
        <w:t xml:space="preserve">. These costs include modest customer acquisition and retention costs – based on the 2013–14 average acquisition cost benchmark updated for inflation.  </w:t>
      </w:r>
    </w:p>
    <w:p w14:paraId="1C52490D" w14:textId="0C86DA20" w:rsidR="00F148F2" w:rsidRPr="00BB4D03" w:rsidRDefault="00DB6B9B" w:rsidP="00BB4D03">
      <w:pPr>
        <w:pStyle w:val="ListBullet"/>
      </w:pPr>
      <w:r w:rsidRPr="00BB4D03">
        <w:t>O</w:t>
      </w:r>
      <w:r w:rsidR="00C920FF" w:rsidRPr="00BB4D03">
        <w:t xml:space="preserve">ther </w:t>
      </w:r>
      <w:r w:rsidR="00F148F2" w:rsidRPr="00BB4D03">
        <w:t xml:space="preserve">costs – Australian Energy Market Operator fees, ancillary service fees, licence fees and market intervention costs (see pages </w:t>
      </w:r>
      <w:r w:rsidR="00887622" w:rsidRPr="00BB4D03">
        <w:fldChar w:fldCharType="begin"/>
      </w:r>
      <w:r w:rsidR="00887622" w:rsidRPr="00BB4D03">
        <w:instrText xml:space="preserve"> PAGEREF _Ref194397470 \h </w:instrText>
      </w:r>
      <w:r w:rsidR="00887622" w:rsidRPr="00BB4D03">
        <w:fldChar w:fldCharType="separate"/>
      </w:r>
      <w:r w:rsidR="003E1323" w:rsidRPr="00BB4D03">
        <w:t>49</w:t>
      </w:r>
      <w:r w:rsidR="00887622" w:rsidRPr="00BB4D03">
        <w:fldChar w:fldCharType="end"/>
      </w:r>
      <w:r w:rsidR="00887622" w:rsidRPr="00BB4D03">
        <w:t xml:space="preserve"> </w:t>
      </w:r>
      <w:r w:rsidR="00D91D5F" w:rsidRPr="00BB4D03">
        <w:t>to</w:t>
      </w:r>
      <w:r w:rsidR="00C7375B" w:rsidRPr="00BB4D03">
        <w:t xml:space="preserve"> </w:t>
      </w:r>
      <w:r w:rsidR="00887622" w:rsidRPr="00BB4D03">
        <w:fldChar w:fldCharType="begin"/>
      </w:r>
      <w:r w:rsidR="00887622" w:rsidRPr="00BB4D03">
        <w:instrText xml:space="preserve"> PAGEREF _Ref194397483 \h </w:instrText>
      </w:r>
      <w:r w:rsidR="00887622" w:rsidRPr="00BB4D03">
        <w:fldChar w:fldCharType="separate"/>
      </w:r>
      <w:r w:rsidR="003E1323" w:rsidRPr="00BB4D03">
        <w:t>53</w:t>
      </w:r>
      <w:r w:rsidR="00887622" w:rsidRPr="00BB4D03">
        <w:fldChar w:fldCharType="end"/>
      </w:r>
      <w:r w:rsidR="00F148F2" w:rsidRPr="00BB4D03">
        <w:t>)</w:t>
      </w:r>
      <w:r w:rsidR="00F148F2" w:rsidRPr="00BB4D03" w:rsidDel="00AF0103">
        <w:t>.</w:t>
      </w:r>
    </w:p>
    <w:p w14:paraId="2ECDF360" w14:textId="1BC94460" w:rsidR="00E44507" w:rsidRPr="00BB4D03" w:rsidRDefault="00E44507" w:rsidP="00BB4D03">
      <w:pPr>
        <w:pStyle w:val="ListBullet"/>
      </w:pPr>
      <w:r w:rsidRPr="00BB4D03">
        <w:lastRenderedPageBreak/>
        <w:t>N</w:t>
      </w:r>
      <w:r w:rsidR="00B0425E" w:rsidRPr="00BB4D03">
        <w:t xml:space="preserve">etwork </w:t>
      </w:r>
      <w:r w:rsidR="001B74E0" w:rsidRPr="00BB4D03">
        <w:t>l</w:t>
      </w:r>
      <w:r w:rsidR="007D5C4B" w:rsidRPr="00BB4D03">
        <w:t xml:space="preserve">oss </w:t>
      </w:r>
      <w:r w:rsidR="001B74E0" w:rsidRPr="00BB4D03">
        <w:t>f</w:t>
      </w:r>
      <w:r w:rsidR="007D5C4B" w:rsidRPr="00BB4D03">
        <w:t>actor</w:t>
      </w:r>
      <w:r w:rsidR="006D5709" w:rsidRPr="00BB4D03">
        <w:t xml:space="preserve"> – based on</w:t>
      </w:r>
      <w:r w:rsidR="00200896" w:rsidRPr="00BB4D03">
        <w:t xml:space="preserve"> </w:t>
      </w:r>
      <w:r w:rsidR="00F12F8B" w:rsidRPr="00BB4D03">
        <w:t>information from the Australian Energy Market Operator</w:t>
      </w:r>
      <w:r w:rsidR="006D5709" w:rsidRPr="00BB4D03">
        <w:t xml:space="preserve">, and applied </w:t>
      </w:r>
      <w:r w:rsidR="0018154B" w:rsidRPr="00BB4D03">
        <w:t xml:space="preserve">to </w:t>
      </w:r>
      <w:r w:rsidR="004E1375" w:rsidRPr="00BB4D03">
        <w:t>wholesale electr</w:t>
      </w:r>
      <w:r w:rsidR="00831FC7" w:rsidRPr="00BB4D03">
        <w:t>i</w:t>
      </w:r>
      <w:r w:rsidR="004E1375" w:rsidRPr="00BB4D03">
        <w:t xml:space="preserve">city costs, </w:t>
      </w:r>
      <w:r w:rsidR="00BA50F0" w:rsidRPr="00BB4D03">
        <w:t xml:space="preserve">environmental costs and </w:t>
      </w:r>
      <w:r w:rsidR="00831FC7" w:rsidRPr="00BB4D03">
        <w:t xml:space="preserve">variable </w:t>
      </w:r>
      <w:r w:rsidR="00BA50F0" w:rsidRPr="00BB4D03">
        <w:t xml:space="preserve">other </w:t>
      </w:r>
      <w:r w:rsidR="00910549" w:rsidRPr="00BB4D03">
        <w:t>costs</w:t>
      </w:r>
      <w:r w:rsidR="00831FC7" w:rsidRPr="00BB4D03">
        <w:t>.</w:t>
      </w:r>
      <w:r w:rsidR="00910549" w:rsidRPr="00BB4D03">
        <w:t xml:space="preserve"> </w:t>
      </w:r>
    </w:p>
    <w:p w14:paraId="2B052F61" w14:textId="77777777" w:rsidR="001F2AE8" w:rsidRPr="00BB4D03" w:rsidRDefault="001F2AE8" w:rsidP="00BB4D03">
      <w:pPr>
        <w:pStyle w:val="ListBullet"/>
      </w:pPr>
      <w:r w:rsidRPr="00BB4D03">
        <w:t>Retail operating margin – based on a retail operating margin benchmark and having regard to market offer prices relative to default offer prices, the expected returns approach and retailers’ actual margins.</w:t>
      </w:r>
    </w:p>
    <w:p w14:paraId="0BD9B287" w14:textId="2284BF20" w:rsidR="00C920FF" w:rsidRDefault="00C920FF" w:rsidP="00202EA8">
      <w:pPr>
        <w:pStyle w:val="Heading2"/>
      </w:pPr>
      <w:bookmarkStart w:id="48" w:name="_Toc191027358"/>
      <w:bookmarkStart w:id="49" w:name="_Toc198808327"/>
      <w:r w:rsidRPr="00320AF7">
        <w:t>Network costs</w:t>
      </w:r>
      <w:bookmarkEnd w:id="48"/>
      <w:bookmarkEnd w:id="49"/>
    </w:p>
    <w:p w14:paraId="20703961" w14:textId="5E22A69B" w:rsidR="00F861B6" w:rsidRPr="00320AF7" w:rsidRDefault="00F861B6" w:rsidP="00F861B6">
      <w:pPr>
        <w:pStyle w:val="Pull-outBullet1"/>
      </w:pPr>
      <w:r w:rsidRPr="00320AF7">
        <w:t xml:space="preserve">Our </w:t>
      </w:r>
      <w:r w:rsidR="002F1A78">
        <w:t>final</w:t>
      </w:r>
      <w:r w:rsidRPr="00320AF7">
        <w:t xml:space="preserve"> </w:t>
      </w:r>
      <w:r w:rsidRPr="00A760CB">
        <w:t>decision is to continue using a cost pass</w:t>
      </w:r>
      <w:r w:rsidR="00A1006A" w:rsidRPr="00A760CB">
        <w:t>-</w:t>
      </w:r>
      <w:r w:rsidRPr="00A760CB">
        <w:t>through approach for network cost</w:t>
      </w:r>
      <w:r w:rsidR="00AB2185" w:rsidRPr="00A760CB">
        <w:t>s</w:t>
      </w:r>
      <w:r w:rsidR="00E4707E" w:rsidRPr="00A760CB">
        <w:t xml:space="preserve">, </w:t>
      </w:r>
      <w:r w:rsidR="007C7BFE" w:rsidRPr="00A760CB">
        <w:t>passing through</w:t>
      </w:r>
      <w:r w:rsidR="00E4707E" w:rsidRPr="00A760CB">
        <w:t xml:space="preserve"> the network tariffs </w:t>
      </w:r>
      <w:r w:rsidR="00995690" w:rsidRPr="00A760CB">
        <w:t xml:space="preserve">and metering charges </w:t>
      </w:r>
      <w:r w:rsidR="007C7BFE" w:rsidRPr="00A760CB">
        <w:t>approved by the Australian Energy Regulator each year</w:t>
      </w:r>
      <w:r w:rsidR="00AB2185" w:rsidRPr="00A760CB">
        <w:t>.</w:t>
      </w:r>
      <w:r w:rsidR="00AB2185" w:rsidRPr="00320AF7">
        <w:t xml:space="preserve"> </w:t>
      </w:r>
    </w:p>
    <w:p w14:paraId="0C55F17E" w14:textId="64078497" w:rsidR="00F861B6" w:rsidRPr="00603A25" w:rsidRDefault="00F861B6" w:rsidP="00F861B6">
      <w:pPr>
        <w:pStyle w:val="Pull-outBullet1"/>
      </w:pPr>
      <w:r w:rsidRPr="006B4D7F">
        <w:t xml:space="preserve">For our </w:t>
      </w:r>
      <w:r w:rsidR="002F1A78" w:rsidRPr="006B4D7F">
        <w:t>final</w:t>
      </w:r>
      <w:r w:rsidRPr="006B4D7F">
        <w:t xml:space="preserve"> decision</w:t>
      </w:r>
      <w:r w:rsidR="00347925" w:rsidRPr="006B4D7F">
        <w:t xml:space="preserve"> on network </w:t>
      </w:r>
      <w:r w:rsidR="00C1678D" w:rsidRPr="006B4D7F">
        <w:t>costs</w:t>
      </w:r>
      <w:r w:rsidR="002643ED" w:rsidRPr="006B4D7F">
        <w:t xml:space="preserve">, we have used </w:t>
      </w:r>
      <w:r w:rsidR="00311C58" w:rsidRPr="006B4D7F">
        <w:t xml:space="preserve">the </w:t>
      </w:r>
      <w:r w:rsidR="00197E15" w:rsidRPr="006B4D7F">
        <w:t>2025</w:t>
      </w:r>
      <w:r w:rsidR="00200548" w:rsidRPr="006B4D7F">
        <w:t>–</w:t>
      </w:r>
      <w:r w:rsidR="00197E15" w:rsidRPr="006B4D7F">
        <w:t xml:space="preserve">26 </w:t>
      </w:r>
      <w:r w:rsidR="00311C58" w:rsidRPr="006B4D7F">
        <w:t>network</w:t>
      </w:r>
      <w:r w:rsidRPr="006B4D7F">
        <w:t xml:space="preserve"> tariffs</w:t>
      </w:r>
      <w:r w:rsidR="003F2790" w:rsidRPr="006B4D7F">
        <w:t xml:space="preserve"> </w:t>
      </w:r>
      <w:r w:rsidR="00995690" w:rsidRPr="006B4D7F">
        <w:t xml:space="preserve">and metering charges </w:t>
      </w:r>
      <w:r w:rsidR="00744520" w:rsidRPr="006B4D7F">
        <w:t xml:space="preserve">approved by the </w:t>
      </w:r>
      <w:r w:rsidRPr="006B4D7F">
        <w:t xml:space="preserve">Australian Energy Regulator </w:t>
      </w:r>
      <w:r w:rsidR="00BC411F" w:rsidRPr="00603A25">
        <w:t xml:space="preserve">on </w:t>
      </w:r>
      <w:r w:rsidR="001174D4" w:rsidRPr="00603A25">
        <w:t xml:space="preserve">14 </w:t>
      </w:r>
      <w:r w:rsidR="00FE3BFA" w:rsidRPr="00603A25">
        <w:t>May</w:t>
      </w:r>
      <w:r w:rsidR="00BC251F" w:rsidRPr="00603A25">
        <w:t xml:space="preserve"> 2025</w:t>
      </w:r>
      <w:r w:rsidR="00D22F41" w:rsidRPr="00603A25">
        <w:t>.</w:t>
      </w:r>
      <w:r w:rsidR="000330A3" w:rsidRPr="00603A25">
        <w:t xml:space="preserve"> </w:t>
      </w:r>
      <w:r w:rsidRPr="00603A25">
        <w:t xml:space="preserve"> </w:t>
      </w:r>
    </w:p>
    <w:p w14:paraId="187932E3" w14:textId="6695B0BE" w:rsidR="00F861B6" w:rsidRPr="00603A25" w:rsidRDefault="00C1380B" w:rsidP="00F861B6">
      <w:pPr>
        <w:pStyle w:val="Pull-outBullet1"/>
      </w:pPr>
      <w:r w:rsidRPr="00603A25">
        <w:t>Under the 2025</w:t>
      </w:r>
      <w:r w:rsidR="00200548" w:rsidRPr="00603A25">
        <w:t>–</w:t>
      </w:r>
      <w:r w:rsidRPr="00603A25">
        <w:t>26 Victorian Default Offer, n</w:t>
      </w:r>
      <w:r w:rsidR="00F861B6" w:rsidRPr="00603A25">
        <w:t>etwork costs represent about $</w:t>
      </w:r>
      <w:r w:rsidR="00AB7EEE" w:rsidRPr="00603A25">
        <w:t>616</w:t>
      </w:r>
      <w:r w:rsidR="00F861B6" w:rsidRPr="00603A25">
        <w:t xml:space="preserve"> (or </w:t>
      </w:r>
      <w:r w:rsidR="00AB7EEE" w:rsidRPr="00603A25">
        <w:t>37</w:t>
      </w:r>
      <w:r w:rsidR="00F861B6" w:rsidRPr="00603A25">
        <w:t xml:space="preserve"> per cent) </w:t>
      </w:r>
      <w:r w:rsidR="000C665C" w:rsidRPr="00603A25">
        <w:t>of</w:t>
      </w:r>
      <w:r w:rsidR="00F861B6" w:rsidRPr="00603A25">
        <w:t xml:space="preserve"> the average</w:t>
      </w:r>
      <w:r w:rsidR="00020644" w:rsidRPr="00603A25">
        <w:t xml:space="preserve"> annual</w:t>
      </w:r>
      <w:r w:rsidR="00F861B6" w:rsidRPr="00603A25">
        <w:t xml:space="preserve"> domestic flat tariff bill (averaged across the five distribution zones).</w:t>
      </w:r>
    </w:p>
    <w:p w14:paraId="7CA1FB90" w14:textId="2FE0E4EA" w:rsidR="00F861B6" w:rsidRPr="00603A25" w:rsidRDefault="005503FA" w:rsidP="00F861B6">
      <w:pPr>
        <w:pStyle w:val="Pull-outBullet1"/>
      </w:pPr>
      <w:r w:rsidRPr="00603A25">
        <w:t>Overall, n</w:t>
      </w:r>
      <w:r w:rsidR="00F861B6" w:rsidRPr="00603A25">
        <w:t xml:space="preserve">etwork costs are about </w:t>
      </w:r>
      <w:r w:rsidR="00A42C42">
        <w:t>four</w:t>
      </w:r>
      <w:r w:rsidR="00AC4475" w:rsidRPr="00603A25">
        <w:t> </w:t>
      </w:r>
      <w:r w:rsidR="00F861B6" w:rsidRPr="00603A25">
        <w:t>per cent higher</w:t>
      </w:r>
      <w:r w:rsidR="00705745" w:rsidRPr="00603A25">
        <w:t xml:space="preserve"> (on average),</w:t>
      </w:r>
      <w:r w:rsidR="00423C88" w:rsidRPr="00603A25">
        <w:t xml:space="preserve"> compared to the</w:t>
      </w:r>
      <w:r w:rsidR="00F861B6" w:rsidRPr="00603A25">
        <w:t xml:space="preserve"> 2024–</w:t>
      </w:r>
      <w:r w:rsidR="006E0A17" w:rsidRPr="00603A25">
        <w:t>‍</w:t>
      </w:r>
      <w:r w:rsidR="00F861B6" w:rsidRPr="00603A25">
        <w:t>25 Victorian Default Offer.</w:t>
      </w:r>
    </w:p>
    <w:p w14:paraId="250D6F27" w14:textId="3B5CE20F" w:rsidR="00C300C1" w:rsidRDefault="00735E08" w:rsidP="00297690">
      <w:r w:rsidRPr="00F70172">
        <w:t xml:space="preserve">The pricing </w:t>
      </w:r>
      <w:r w:rsidRPr="007A6883">
        <w:t xml:space="preserve">order </w:t>
      </w:r>
      <w:r w:rsidR="000D4116">
        <w:t>requires that we</w:t>
      </w:r>
      <w:r w:rsidRPr="007A6883">
        <w:t xml:space="preserve"> have regard to </w:t>
      </w:r>
      <w:r w:rsidRPr="00C445BC">
        <w:rPr>
          <w:b/>
          <w:bCs/>
        </w:rPr>
        <w:t>network costs</w:t>
      </w:r>
      <w:r w:rsidRPr="007A6883">
        <w:t xml:space="preserve"> in estimating </w:t>
      </w:r>
      <w:r w:rsidR="00774B86">
        <w:t xml:space="preserve">the </w:t>
      </w:r>
      <w:r w:rsidRPr="007A6883">
        <w:t>efficient costs</w:t>
      </w:r>
      <w:r w:rsidR="009E5F8D">
        <w:t xml:space="preserve"> </w:t>
      </w:r>
      <w:r w:rsidRPr="007A6883">
        <w:t xml:space="preserve">of </w:t>
      </w:r>
      <w:r w:rsidR="003E1A5A">
        <w:t xml:space="preserve">the sale of </w:t>
      </w:r>
      <w:r w:rsidRPr="007A6883">
        <w:t>electricity</w:t>
      </w:r>
      <w:r w:rsidR="003E1A5A">
        <w:t xml:space="preserve"> by a</w:t>
      </w:r>
      <w:r w:rsidRPr="007A6883">
        <w:t xml:space="preserve"> retailer.</w:t>
      </w:r>
      <w:r w:rsidRPr="007A6883">
        <w:rPr>
          <w:rStyle w:val="FootnoteReference"/>
        </w:rPr>
        <w:footnoteReference w:id="32"/>
      </w:r>
      <w:r w:rsidR="00C826FF">
        <w:t xml:space="preserve"> </w:t>
      </w:r>
      <w:r w:rsidR="00297690" w:rsidRPr="00F70172">
        <w:t xml:space="preserve">Network </w:t>
      </w:r>
      <w:r w:rsidR="00297690" w:rsidRPr="000C2AEC">
        <w:t xml:space="preserve">costs </w:t>
      </w:r>
      <w:r w:rsidR="00E61FB0">
        <w:t xml:space="preserve">are </w:t>
      </w:r>
      <w:r w:rsidR="00297690" w:rsidRPr="000C2AEC" w:rsidDel="00FF0B12">
        <w:t xml:space="preserve">costs </w:t>
      </w:r>
      <w:r w:rsidR="00390BED">
        <w:t>associated with</w:t>
      </w:r>
      <w:r w:rsidR="00297690" w:rsidRPr="000C2AEC">
        <w:t xml:space="preserve"> building, operating</w:t>
      </w:r>
      <w:r w:rsidR="000C2AEC" w:rsidRPr="00A70469">
        <w:t>,</w:t>
      </w:r>
      <w:r w:rsidR="00297690" w:rsidRPr="000C2AEC">
        <w:t xml:space="preserve"> </w:t>
      </w:r>
      <w:r w:rsidR="00A54A88" w:rsidRPr="00C445BC">
        <w:t>maintain</w:t>
      </w:r>
      <w:r w:rsidR="00A54A88" w:rsidRPr="000C2AEC">
        <w:t xml:space="preserve">ing </w:t>
      </w:r>
      <w:r w:rsidR="000C2AEC" w:rsidRPr="00C445BC">
        <w:t xml:space="preserve">and growing </w:t>
      </w:r>
      <w:r w:rsidR="00A54A88" w:rsidRPr="00C445BC">
        <w:t xml:space="preserve">the </w:t>
      </w:r>
      <w:r w:rsidR="00297690" w:rsidRPr="000C2AEC">
        <w:t>transmission and distribution networks</w:t>
      </w:r>
      <w:r w:rsidR="00A54A88">
        <w:t xml:space="preserve"> that deliver electr</w:t>
      </w:r>
      <w:r w:rsidR="000C2AEC">
        <w:t>i</w:t>
      </w:r>
      <w:r w:rsidR="00A54A88">
        <w:t>city to customers</w:t>
      </w:r>
      <w:r w:rsidR="00297690" w:rsidRPr="00F70172">
        <w:t xml:space="preserve">. </w:t>
      </w:r>
    </w:p>
    <w:p w14:paraId="4A0F21D4" w14:textId="06465EE3" w:rsidR="00297690" w:rsidRPr="00F70172" w:rsidRDefault="00297690" w:rsidP="00297690">
      <w:r w:rsidRPr="00085F39">
        <w:t>There are five electricity distribution networks operating in five separate zones across Victoria</w:t>
      </w:r>
      <w:r w:rsidR="009203B5" w:rsidRPr="00085F39">
        <w:t xml:space="preserve">. </w:t>
      </w:r>
      <w:r w:rsidR="006220D3" w:rsidRPr="00085F39">
        <w:t>Each year, the</w:t>
      </w:r>
      <w:r w:rsidR="00F80C4D" w:rsidRPr="00085F39">
        <w:t xml:space="preserve"> </w:t>
      </w:r>
      <w:r w:rsidRPr="00085F39" w:rsidDel="00DD564C">
        <w:t xml:space="preserve">Australian Energy Regulator </w:t>
      </w:r>
      <w:r w:rsidR="00DD383C" w:rsidRPr="00085F39">
        <w:t xml:space="preserve">approves network </w:t>
      </w:r>
      <w:r w:rsidR="0006556B" w:rsidRPr="00085F39">
        <w:t>tariffs</w:t>
      </w:r>
      <w:r w:rsidR="00DD383C" w:rsidRPr="00085F39">
        <w:t xml:space="preserve"> </w:t>
      </w:r>
      <w:r w:rsidR="003E42AA">
        <w:t xml:space="preserve">and metering charges </w:t>
      </w:r>
      <w:r w:rsidR="00DD383C" w:rsidRPr="00085F39">
        <w:t>submi</w:t>
      </w:r>
      <w:r w:rsidR="00527439" w:rsidRPr="00085F39">
        <w:t xml:space="preserve">tted by </w:t>
      </w:r>
      <w:r w:rsidR="00CB1A55">
        <w:t xml:space="preserve">Victorian </w:t>
      </w:r>
      <w:r w:rsidR="00B94FA9">
        <w:t>distributors</w:t>
      </w:r>
      <w:r w:rsidR="00DB3EB0" w:rsidRPr="00DB3EB0">
        <w:t xml:space="preserve"> for each of </w:t>
      </w:r>
      <w:r w:rsidR="00BB0429">
        <w:t xml:space="preserve">Victoria’s </w:t>
      </w:r>
      <w:r w:rsidR="00D447E1">
        <w:t xml:space="preserve">five </w:t>
      </w:r>
      <w:r w:rsidR="00DB3EB0" w:rsidRPr="00DB3EB0">
        <w:t>distribution zones</w:t>
      </w:r>
      <w:r w:rsidR="00870A49" w:rsidRPr="00085F39">
        <w:t>. R</w:t>
      </w:r>
      <w:r w:rsidRPr="00085F39">
        <w:t xml:space="preserve">etailers </w:t>
      </w:r>
      <w:r w:rsidR="0012718D">
        <w:t xml:space="preserve">must </w:t>
      </w:r>
      <w:r w:rsidRPr="00085F39">
        <w:t xml:space="preserve">pay these </w:t>
      </w:r>
      <w:r w:rsidR="00C451DF" w:rsidRPr="00085F39">
        <w:t>network tariffs</w:t>
      </w:r>
      <w:r w:rsidRPr="00085F39">
        <w:t xml:space="preserve"> </w:t>
      </w:r>
      <w:r w:rsidR="003E42AA">
        <w:t>and metering charges</w:t>
      </w:r>
      <w:r w:rsidRPr="00085F39">
        <w:t xml:space="preserve"> to</w:t>
      </w:r>
      <w:r w:rsidR="003A791A">
        <w:t xml:space="preserve"> distributors to </w:t>
      </w:r>
      <w:r w:rsidRPr="00085F39">
        <w:t xml:space="preserve">access transmission and distribution services. </w:t>
      </w:r>
    </w:p>
    <w:p w14:paraId="4191AAEA" w14:textId="783631B9" w:rsidR="00297690" w:rsidRPr="00F70172" w:rsidRDefault="00D2749B" w:rsidP="00297690">
      <w:r>
        <w:t>N</w:t>
      </w:r>
      <w:r w:rsidR="00297690" w:rsidRPr="00F70172">
        <w:t>etwork tariff</w:t>
      </w:r>
      <w:r w:rsidR="00616B62">
        <w:t>s</w:t>
      </w:r>
      <w:r w:rsidR="00297690" w:rsidRPr="00F70172">
        <w:t xml:space="preserve"> consist of three main elements:</w:t>
      </w:r>
    </w:p>
    <w:p w14:paraId="0C56B83D" w14:textId="77777777" w:rsidR="00297690" w:rsidRPr="00FA20A9" w:rsidRDefault="00297690" w:rsidP="00FA20A9">
      <w:pPr>
        <w:pStyle w:val="ListBullet"/>
      </w:pPr>
      <w:r w:rsidRPr="00FA20A9">
        <w:t>distribution charges – for the use of the distribution network</w:t>
      </w:r>
    </w:p>
    <w:p w14:paraId="75E6BED8" w14:textId="77777777" w:rsidR="00297690" w:rsidRPr="00FA20A9" w:rsidRDefault="00297690" w:rsidP="00FA20A9">
      <w:pPr>
        <w:pStyle w:val="ListBullet"/>
      </w:pPr>
      <w:r w:rsidRPr="00FA20A9">
        <w:t>transmission charges – for the use of the transmission network</w:t>
      </w:r>
    </w:p>
    <w:p w14:paraId="3EDA5F81" w14:textId="2C969782" w:rsidR="00F07407" w:rsidRPr="00FA20A9" w:rsidRDefault="00297690" w:rsidP="00FA20A9">
      <w:pPr>
        <w:pStyle w:val="ListBullet"/>
      </w:pPr>
      <w:r w:rsidRPr="00FA20A9">
        <w:t xml:space="preserve">jurisdictional charges – for the </w:t>
      </w:r>
      <w:proofErr w:type="gramStart"/>
      <w:r w:rsidR="003D2A7F" w:rsidRPr="00FA20A9">
        <w:t>payments</w:t>
      </w:r>
      <w:proofErr w:type="gramEnd"/>
      <w:r w:rsidRPr="00FA20A9">
        <w:t xml:space="preserve"> distributors are required to make within each jurisdiction. This includes jurisdictional scheme amounts.</w:t>
      </w:r>
    </w:p>
    <w:p w14:paraId="5F848F43" w14:textId="020455A0" w:rsidR="00E87054" w:rsidRPr="00F70172" w:rsidRDefault="0080020D" w:rsidP="00193C1A">
      <w:bookmarkStart w:id="50" w:name="_Toc191027359"/>
      <w:r w:rsidRPr="00F70172">
        <w:lastRenderedPageBreak/>
        <w:t xml:space="preserve">Network </w:t>
      </w:r>
      <w:r w:rsidR="00035D50">
        <w:t>tariffs</w:t>
      </w:r>
      <w:r w:rsidRPr="00F70172">
        <w:t xml:space="preserve"> are structured in one of two ways:</w:t>
      </w:r>
      <w:bookmarkEnd w:id="50"/>
      <w:r w:rsidRPr="00F70172">
        <w:t xml:space="preserve"> </w:t>
      </w:r>
    </w:p>
    <w:p w14:paraId="4C6B8998" w14:textId="378940FD" w:rsidR="009B45EF" w:rsidRPr="00FA20A9" w:rsidRDefault="009B45EF" w:rsidP="00FA20A9">
      <w:pPr>
        <w:pStyle w:val="ListBullet"/>
      </w:pPr>
      <w:r w:rsidRPr="00FA20A9">
        <w:t>a daily supply charge and a flat usage charge (flat network tariffs)</w:t>
      </w:r>
    </w:p>
    <w:p w14:paraId="7C049D35" w14:textId="66347CB1" w:rsidR="0080020D" w:rsidRPr="00FA20A9" w:rsidRDefault="009B45EF" w:rsidP="00FA20A9">
      <w:pPr>
        <w:pStyle w:val="ListBullet"/>
      </w:pPr>
      <w:r w:rsidRPr="00FA20A9">
        <w:t xml:space="preserve">a daily supply charge and peak </w:t>
      </w:r>
      <w:r w:rsidR="0021684C" w:rsidRPr="00FA20A9">
        <w:t>and off-peak usage charge (two-period time of use tar</w:t>
      </w:r>
      <w:r w:rsidR="00820C59" w:rsidRPr="00FA20A9">
        <w:t>iffs).</w:t>
      </w:r>
      <w:r w:rsidR="007A4D78" w:rsidRPr="00FB3B3A">
        <w:rPr>
          <w:rStyle w:val="FootnoteReference"/>
        </w:rPr>
        <w:footnoteReference w:id="33"/>
      </w:r>
    </w:p>
    <w:p w14:paraId="6312C2BB" w14:textId="7610A4CE" w:rsidR="00297690" w:rsidRDefault="00526FB5" w:rsidP="00297690">
      <w:pPr>
        <w:pStyle w:val="Heading3"/>
      </w:pPr>
      <w:bookmarkStart w:id="51" w:name="_Toc191027360"/>
      <w:r w:rsidRPr="007C7EF8">
        <w:t xml:space="preserve">We have </w:t>
      </w:r>
      <w:r w:rsidR="00ED3D54" w:rsidRPr="007C7EF8">
        <w:t>maintain</w:t>
      </w:r>
      <w:r w:rsidRPr="007C7EF8">
        <w:t>ed</w:t>
      </w:r>
      <w:r w:rsidR="00ED3D54" w:rsidRPr="007C7EF8">
        <w:t xml:space="preserve"> </w:t>
      </w:r>
      <w:r w:rsidR="00654395" w:rsidRPr="007C7EF8">
        <w:t xml:space="preserve">a </w:t>
      </w:r>
      <w:r w:rsidR="00297690" w:rsidRPr="007C7EF8">
        <w:t xml:space="preserve">cost </w:t>
      </w:r>
      <w:r w:rsidR="0048656F" w:rsidRPr="007C7EF8">
        <w:t>pass-</w:t>
      </w:r>
      <w:r w:rsidR="00427F67" w:rsidRPr="007C7EF8">
        <w:t>through</w:t>
      </w:r>
      <w:r w:rsidR="00427F67" w:rsidRPr="007C7EF8" w:rsidDel="0048656F">
        <w:t xml:space="preserve"> </w:t>
      </w:r>
      <w:r w:rsidR="00427F67" w:rsidRPr="007C7EF8">
        <w:t>approach</w:t>
      </w:r>
      <w:r w:rsidR="00297690" w:rsidRPr="007C7EF8">
        <w:t xml:space="preserve"> to network costs</w:t>
      </w:r>
      <w:bookmarkEnd w:id="51"/>
    </w:p>
    <w:p w14:paraId="2ED6DEE6" w14:textId="16F50C92" w:rsidR="006473B5" w:rsidRDefault="00C915D7" w:rsidP="00297690">
      <w:r>
        <w:t xml:space="preserve">Our </w:t>
      </w:r>
      <w:r w:rsidR="009650B6">
        <w:t>final</w:t>
      </w:r>
      <w:r w:rsidR="00422DDF">
        <w:t xml:space="preserve"> decision </w:t>
      </w:r>
      <w:r w:rsidRPr="00552118">
        <w:t>is</w:t>
      </w:r>
      <w:r w:rsidR="00422DDF" w:rsidRPr="00552118">
        <w:t xml:space="preserve"> </w:t>
      </w:r>
      <w:r w:rsidR="00E5087F" w:rsidRPr="00552118">
        <w:t xml:space="preserve">to </w:t>
      </w:r>
      <w:r w:rsidR="0001239F" w:rsidRPr="00552118">
        <w:t>continue to</w:t>
      </w:r>
      <w:r w:rsidR="0001239F">
        <w:t xml:space="preserve"> </w:t>
      </w:r>
      <w:r w:rsidR="00E5087F">
        <w:t xml:space="preserve">apply a </w:t>
      </w:r>
      <w:r w:rsidR="00CD0FD3">
        <w:t xml:space="preserve">cost </w:t>
      </w:r>
      <w:r w:rsidR="00E5087F">
        <w:t>pass</w:t>
      </w:r>
      <w:r w:rsidR="00A1006A">
        <w:t>-</w:t>
      </w:r>
      <w:r w:rsidR="00E5087F">
        <w:t>through approach</w:t>
      </w:r>
      <w:r w:rsidR="00BB02FF">
        <w:t xml:space="preserve">, with network costs </w:t>
      </w:r>
      <w:r w:rsidR="004F773C">
        <w:t>reflecting</w:t>
      </w:r>
      <w:r w:rsidR="0001239F">
        <w:t xml:space="preserve"> </w:t>
      </w:r>
      <w:r w:rsidR="00BB02FF" w:rsidRPr="00BB02FF">
        <w:t xml:space="preserve">network tariffs </w:t>
      </w:r>
      <w:r w:rsidR="00BF6480">
        <w:t xml:space="preserve">and metering charges </w:t>
      </w:r>
      <w:r w:rsidR="00BB02FF" w:rsidRPr="00BB02FF">
        <w:t>as approved by the Australian Energy Regulator</w:t>
      </w:r>
      <w:r w:rsidR="00C752C7">
        <w:t>,</w:t>
      </w:r>
      <w:r w:rsidR="00C752C7" w:rsidRPr="00C752C7">
        <w:t xml:space="preserve"> reflecting its role in regulating networks focused on efficiency and the long-term interests of consumers</w:t>
      </w:r>
      <w:r w:rsidR="00BB02FF" w:rsidRPr="00BB02FF">
        <w:t xml:space="preserve">. </w:t>
      </w:r>
      <w:r w:rsidR="00AE34B5">
        <w:t xml:space="preserve"> </w:t>
      </w:r>
      <w:r w:rsidR="003E1A5A" w:rsidRPr="00165CBE">
        <w:t>We</w:t>
      </w:r>
      <w:r w:rsidR="00C26F26" w:rsidRPr="00165CBE">
        <w:t xml:space="preserve"> </w:t>
      </w:r>
      <w:r w:rsidR="00BB02FF" w:rsidRPr="00165CBE">
        <w:t>use</w:t>
      </w:r>
      <w:r w:rsidR="00C26F26" w:rsidRPr="00165CBE">
        <w:t>d</w:t>
      </w:r>
      <w:r w:rsidR="00BB02FF" w:rsidRPr="00165CBE">
        <w:t xml:space="preserve"> network tariffs </w:t>
      </w:r>
      <w:r w:rsidR="0044045C" w:rsidRPr="00165CBE">
        <w:t>and metering charges</w:t>
      </w:r>
      <w:r w:rsidR="00BB02FF" w:rsidRPr="00165CBE">
        <w:t xml:space="preserve"> approved by the Australian Energy Regulator, </w:t>
      </w:r>
      <w:r w:rsidR="001174D4" w:rsidRPr="00165CBE">
        <w:t xml:space="preserve">on 14 </w:t>
      </w:r>
      <w:r w:rsidR="003964C4" w:rsidRPr="00165CBE">
        <w:t xml:space="preserve">May </w:t>
      </w:r>
      <w:r w:rsidR="00C26F26" w:rsidRPr="00165CBE">
        <w:t>2025.</w:t>
      </w:r>
      <w:r w:rsidR="00EC1A23" w:rsidRPr="00165CBE">
        <w:rPr>
          <w:rStyle w:val="FootnoteReference"/>
        </w:rPr>
        <w:footnoteReference w:id="34"/>
      </w:r>
      <w:r w:rsidR="003D1F3D">
        <w:t xml:space="preserve"> </w:t>
      </w:r>
    </w:p>
    <w:p w14:paraId="28B92018" w14:textId="53E7FC64" w:rsidR="00D542D4" w:rsidRDefault="00297690" w:rsidP="00297690">
      <w:r w:rsidRPr="009B2E45">
        <w:t xml:space="preserve">Overall, </w:t>
      </w:r>
      <w:r w:rsidRPr="00DE05FC">
        <w:t xml:space="preserve">network costs in a </w:t>
      </w:r>
      <w:r w:rsidR="00785BD5">
        <w:t>representative</w:t>
      </w:r>
      <w:r w:rsidR="00134975">
        <w:t xml:space="preserve"> domestic</w:t>
      </w:r>
      <w:r w:rsidR="006764ED" w:rsidRPr="00DE05FC">
        <w:t xml:space="preserve"> </w:t>
      </w:r>
      <w:r w:rsidRPr="00DE05FC">
        <w:t xml:space="preserve">Victorian </w:t>
      </w:r>
      <w:r w:rsidRPr="00940616">
        <w:t>Default Offer bill are higher than they were in 2024–25</w:t>
      </w:r>
      <w:r w:rsidR="003E1A5A" w:rsidRPr="00940616">
        <w:t xml:space="preserve"> </w:t>
      </w:r>
      <w:proofErr w:type="gramStart"/>
      <w:r w:rsidR="003E1A5A" w:rsidRPr="00940616">
        <w:t>as a result of</w:t>
      </w:r>
      <w:proofErr w:type="gramEnd"/>
      <w:r w:rsidR="003E1A5A" w:rsidRPr="00940616">
        <w:t xml:space="preserve"> </w:t>
      </w:r>
      <w:r w:rsidR="003570C7" w:rsidRPr="00940616">
        <w:t xml:space="preserve">the </w:t>
      </w:r>
      <w:r w:rsidR="003E1A5A" w:rsidRPr="00940616">
        <w:t>higher network cost</w:t>
      </w:r>
      <w:r w:rsidR="003570C7" w:rsidRPr="00940616">
        <w:t xml:space="preserve">s </w:t>
      </w:r>
      <w:r w:rsidR="003E1A5A" w:rsidRPr="00940616">
        <w:t xml:space="preserve">approved by the Australian </w:t>
      </w:r>
      <w:r w:rsidR="003570C7" w:rsidRPr="00940616">
        <w:t>E</w:t>
      </w:r>
      <w:r w:rsidR="003E1A5A" w:rsidRPr="00940616">
        <w:t>nergy Regulator</w:t>
      </w:r>
      <w:r w:rsidRPr="00940616">
        <w:t xml:space="preserve">. </w:t>
      </w:r>
      <w:r w:rsidR="0099208A" w:rsidRPr="00940616">
        <w:t xml:space="preserve">Table </w:t>
      </w:r>
      <w:r w:rsidR="00DD5335" w:rsidRPr="00940616">
        <w:t>4</w:t>
      </w:r>
      <w:r w:rsidR="0072597F" w:rsidRPr="00940616">
        <w:t xml:space="preserve"> shows </w:t>
      </w:r>
      <w:r w:rsidR="00EC1FCC" w:rsidRPr="00940616">
        <w:t xml:space="preserve">the </w:t>
      </w:r>
      <w:r w:rsidR="00D03ABB" w:rsidRPr="00940616">
        <w:t xml:space="preserve">change </w:t>
      </w:r>
      <w:r w:rsidR="00EC1FCC" w:rsidRPr="00940616">
        <w:t xml:space="preserve">in </w:t>
      </w:r>
      <w:r w:rsidR="0072597F" w:rsidRPr="00940616">
        <w:t>network cost</w:t>
      </w:r>
      <w:r w:rsidR="006A4709" w:rsidRPr="00940616">
        <w:t xml:space="preserve"> across </w:t>
      </w:r>
      <w:r w:rsidR="007F0476" w:rsidRPr="00940616">
        <w:t xml:space="preserve">each </w:t>
      </w:r>
      <w:r w:rsidR="00965321" w:rsidRPr="00940616">
        <w:t>distribution zone</w:t>
      </w:r>
      <w:r w:rsidR="006C08D5" w:rsidRPr="00940616">
        <w:t xml:space="preserve"> in Victoria</w:t>
      </w:r>
      <w:r w:rsidR="00965321" w:rsidRPr="00940616">
        <w:t>.</w:t>
      </w:r>
      <w:r w:rsidR="00CE5861" w:rsidRPr="00940616">
        <w:t xml:space="preserve"> The </w:t>
      </w:r>
      <w:r w:rsidR="00034765" w:rsidRPr="00940616">
        <w:t xml:space="preserve">change </w:t>
      </w:r>
      <w:r w:rsidR="00CE5861" w:rsidRPr="00940616">
        <w:t xml:space="preserve">in network cost </w:t>
      </w:r>
      <w:r w:rsidR="00133F88" w:rsidRPr="00940616">
        <w:t xml:space="preserve">for </w:t>
      </w:r>
      <w:r w:rsidR="00785BD5" w:rsidRPr="00940616">
        <w:t>representative</w:t>
      </w:r>
      <w:r w:rsidR="00133F88" w:rsidRPr="00940616">
        <w:t xml:space="preserve"> domestic customers</w:t>
      </w:r>
      <w:r w:rsidR="00CE5861" w:rsidRPr="00940616">
        <w:t xml:space="preserve"> ranges from </w:t>
      </w:r>
      <w:r w:rsidR="00300B1C" w:rsidRPr="00940616">
        <w:t>-3</w:t>
      </w:r>
      <w:r w:rsidR="00CE5861" w:rsidRPr="00940616">
        <w:t xml:space="preserve"> to </w:t>
      </w:r>
      <w:r w:rsidR="00300B1C" w:rsidRPr="00940616">
        <w:t>7</w:t>
      </w:r>
      <w:r w:rsidR="00CE5861" w:rsidRPr="00940616">
        <w:t xml:space="preserve"> per cent,</w:t>
      </w:r>
      <w:r w:rsidR="00CE5861" w:rsidRPr="00CE5861">
        <w:t xml:space="preserve"> depending on the distribution zone.</w:t>
      </w:r>
      <w:r w:rsidR="00906FBB">
        <w:t xml:space="preserve"> </w:t>
      </w:r>
      <w:r w:rsidR="00B31B36">
        <w:t>T</w:t>
      </w:r>
      <w:r w:rsidR="00906FBB" w:rsidRPr="00906FBB">
        <w:t>he variation in network cost across distribution zones is due to factors including geographical scale, population dispersion, forecast demand profiles, the age of network</w:t>
      </w:r>
      <w:r w:rsidR="008C0D9A" w:rsidRPr="008C0D9A">
        <w:t xml:space="preserve"> </w:t>
      </w:r>
      <w:r w:rsidR="00A838A5">
        <w:t>assets</w:t>
      </w:r>
      <w:r w:rsidR="00906FBB" w:rsidRPr="00906FBB">
        <w:t xml:space="preserve"> and network investment needs.</w:t>
      </w:r>
    </w:p>
    <w:p w14:paraId="392D1C4F" w14:textId="07C931AD" w:rsidR="0099208A" w:rsidRPr="003766BB" w:rsidRDefault="00C50A44" w:rsidP="00297690">
      <w:r w:rsidRPr="003766BB">
        <w:t>T</w:t>
      </w:r>
      <w:r w:rsidR="007D6569" w:rsidRPr="003766BB">
        <w:t xml:space="preserve">he Australian </w:t>
      </w:r>
      <w:r w:rsidR="00E628B0" w:rsidRPr="003766BB">
        <w:t xml:space="preserve">Energy Regulator </w:t>
      </w:r>
      <w:r w:rsidR="00DB04A9" w:rsidRPr="003766BB">
        <w:t xml:space="preserve">has </w:t>
      </w:r>
      <w:r w:rsidR="00E628B0" w:rsidRPr="003766BB">
        <w:t xml:space="preserve">identified a range of </w:t>
      </w:r>
      <w:r w:rsidR="00E82B32">
        <w:t>reasons</w:t>
      </w:r>
      <w:r w:rsidR="00E82B32" w:rsidRPr="003766BB">
        <w:t xml:space="preserve"> </w:t>
      </w:r>
      <w:r w:rsidR="00E628B0" w:rsidRPr="003766BB">
        <w:t>for higher network tariffs</w:t>
      </w:r>
      <w:r w:rsidR="00DB2D4F" w:rsidRPr="003766BB">
        <w:t xml:space="preserve"> </w:t>
      </w:r>
      <w:r w:rsidR="002F7E7F" w:rsidRPr="003766BB">
        <w:t>for</w:t>
      </w:r>
      <w:r w:rsidR="00226715" w:rsidRPr="003766BB">
        <w:t xml:space="preserve"> 2025</w:t>
      </w:r>
      <w:r w:rsidR="003570C7">
        <w:t>–</w:t>
      </w:r>
      <w:r w:rsidR="002F7E7F" w:rsidRPr="003766BB">
        <w:t>26</w:t>
      </w:r>
      <w:r w:rsidR="00DB2D4F" w:rsidRPr="003766BB">
        <w:t xml:space="preserve"> (which are the major comp</w:t>
      </w:r>
      <w:r w:rsidR="003A134C" w:rsidRPr="003766BB">
        <w:t>o</w:t>
      </w:r>
      <w:r w:rsidR="00DB2D4F" w:rsidRPr="003766BB">
        <w:t xml:space="preserve">nent of </w:t>
      </w:r>
      <w:r w:rsidR="003A134C" w:rsidRPr="003766BB">
        <w:t>network costs)</w:t>
      </w:r>
      <w:r w:rsidR="00E628B0" w:rsidRPr="003766BB">
        <w:t xml:space="preserve">, including: </w:t>
      </w:r>
    </w:p>
    <w:p w14:paraId="3983BC22" w14:textId="7A302522" w:rsidR="00635DB0" w:rsidRPr="00B35A62" w:rsidRDefault="00635DB0" w:rsidP="00FA20A9">
      <w:pPr>
        <w:pStyle w:val="ListBullet"/>
      </w:pPr>
      <w:r w:rsidRPr="00B35A62">
        <w:t xml:space="preserve">higher return on debt: due to significant changes in relevant financial markets since its </w:t>
      </w:r>
      <w:r w:rsidRPr="00B35A62" w:rsidDel="000D265A">
        <w:t xml:space="preserve">2021–26 </w:t>
      </w:r>
      <w:r w:rsidR="00671770" w:rsidRPr="00B35A62">
        <w:t xml:space="preserve">Victorian </w:t>
      </w:r>
      <w:r w:rsidR="00F4046F" w:rsidRPr="00B35A62">
        <w:t>d</w:t>
      </w:r>
      <w:r w:rsidR="008614B9" w:rsidRPr="00B35A62">
        <w:t xml:space="preserve">istribution </w:t>
      </w:r>
      <w:r w:rsidR="00F4046F" w:rsidRPr="00B35A62">
        <w:t>d</w:t>
      </w:r>
      <w:r w:rsidRPr="00B35A62">
        <w:t>etermination</w:t>
      </w:r>
      <w:r w:rsidR="00F4046F" w:rsidRPr="00B35A62">
        <w:t>s</w:t>
      </w:r>
    </w:p>
    <w:p w14:paraId="0DD52458" w14:textId="77777777" w:rsidR="00635DB0" w:rsidRPr="00B35A62" w:rsidRDefault="00635DB0" w:rsidP="00FA20A9">
      <w:pPr>
        <w:pStyle w:val="ListBullet"/>
      </w:pPr>
      <w:r w:rsidRPr="00B35A62">
        <w:t xml:space="preserve">large incentive scheme rewards, including deferred incentive scheme rewards from previous years </w:t>
      </w:r>
    </w:p>
    <w:p w14:paraId="44DFFC17" w14:textId="699EE9C7" w:rsidR="00635DB0" w:rsidRPr="00B35A62" w:rsidRDefault="00635DB0" w:rsidP="00FA20A9">
      <w:pPr>
        <w:pStyle w:val="ListBullet"/>
      </w:pPr>
      <w:r w:rsidRPr="00B35A62">
        <w:t>cost pass-through</w:t>
      </w:r>
      <w:r w:rsidR="00A1030D" w:rsidRPr="00B35A62">
        <w:t>s</w:t>
      </w:r>
      <w:r w:rsidR="004D4592" w:rsidRPr="00B35A62">
        <w:t xml:space="preserve"> </w:t>
      </w:r>
      <w:r w:rsidR="006A0B91" w:rsidRPr="00B35A62">
        <w:rPr>
          <w:rStyle w:val="FootnoteReference"/>
        </w:rPr>
        <w:footnoteReference w:id="35"/>
      </w:r>
      <w:r w:rsidRPr="00B35A62">
        <w:t xml:space="preserve"> </w:t>
      </w:r>
    </w:p>
    <w:p w14:paraId="0D65311A" w14:textId="508DF040" w:rsidR="00635DB0" w:rsidRPr="00B35A62" w:rsidRDefault="00635DB0" w:rsidP="00FA20A9">
      <w:pPr>
        <w:pStyle w:val="ListBullet"/>
      </w:pPr>
      <w:r w:rsidRPr="00B35A62">
        <w:t>inflation</w:t>
      </w:r>
    </w:p>
    <w:p w14:paraId="5EBE9154" w14:textId="77777777" w:rsidR="00635DB0" w:rsidRPr="00B35A62" w:rsidRDefault="00635DB0" w:rsidP="00FA20A9">
      <w:pPr>
        <w:pStyle w:val="ListBullet"/>
      </w:pPr>
      <w:r w:rsidRPr="00B35A62">
        <w:t xml:space="preserve">increased transmission costs </w:t>
      </w:r>
    </w:p>
    <w:p w14:paraId="5F36B38D" w14:textId="3DFE458A" w:rsidR="00D80339" w:rsidRPr="00B35A62" w:rsidRDefault="00D80339" w:rsidP="00FA20A9">
      <w:pPr>
        <w:pStyle w:val="ListBullet"/>
      </w:pPr>
      <w:bookmarkStart w:id="52" w:name="_Hlk198218618"/>
      <w:r w:rsidRPr="00B35A62">
        <w:t>for some network</w:t>
      </w:r>
      <w:r w:rsidR="00EE3143">
        <w:t>s</w:t>
      </w:r>
      <w:r w:rsidRPr="00B35A62">
        <w:t xml:space="preserve"> the increase in network costs </w:t>
      </w:r>
      <w:r w:rsidR="00E25969" w:rsidRPr="00B35A62">
        <w:t>is</w:t>
      </w:r>
      <w:r w:rsidRPr="00B35A62">
        <w:t xml:space="preserve"> partially offset by the return of previously over-recovered revenues</w:t>
      </w:r>
      <w:bookmarkEnd w:id="52"/>
      <w:r w:rsidR="00EA4E33">
        <w:t>.</w:t>
      </w:r>
      <w:r w:rsidR="00D664C3">
        <w:rPr>
          <w:rStyle w:val="FootnoteReference"/>
        </w:rPr>
        <w:footnoteReference w:id="36"/>
      </w:r>
    </w:p>
    <w:p w14:paraId="56399230" w14:textId="3E3613C6" w:rsidR="00DD5335" w:rsidRPr="001279C6" w:rsidRDefault="00DD5335" w:rsidP="005A4B65">
      <w:pPr>
        <w:pStyle w:val="Figure-Table-BoxHeading"/>
        <w:keepNext/>
      </w:pPr>
      <w:r w:rsidRPr="00FB378B">
        <w:rPr>
          <w:lang w:val="en-AU"/>
        </w:rPr>
        <w:lastRenderedPageBreak/>
        <w:t xml:space="preserve">Table 4: </w:t>
      </w:r>
      <w:r w:rsidR="00B651A6" w:rsidRPr="00FB378B">
        <w:rPr>
          <w:lang w:val="en-AU"/>
        </w:rPr>
        <w:t>Change in n</w:t>
      </w:r>
      <w:r w:rsidR="005A4B65" w:rsidRPr="00FB378B">
        <w:rPr>
          <w:lang w:val="en-AU"/>
        </w:rPr>
        <w:t>etwork costs</w:t>
      </w:r>
      <w:r w:rsidR="005A4B65" w:rsidRPr="00F70172">
        <w:rPr>
          <w:lang w:val="en-AU"/>
        </w:rPr>
        <w:t xml:space="preserve"> for domestic flat tariffs (nominal)</w:t>
      </w:r>
      <w:r w:rsidR="001607A0">
        <w:rPr>
          <w:rStyle w:val="FootnoteReference"/>
          <w:lang w:val="en-AU"/>
        </w:rPr>
        <w:footnoteReference w:id="37"/>
      </w:r>
      <w:r w:rsidRPr="001279C6">
        <w:rPr>
          <w:lang w:val="en-AU"/>
        </w:rPr>
        <w:t xml:space="preserve"> </w:t>
      </w:r>
    </w:p>
    <w:tbl>
      <w:tblPr>
        <w:tblStyle w:val="TableGrid"/>
        <w:tblW w:w="5000" w:type="pct"/>
        <w:tblLayout w:type="fixed"/>
        <w:tblLook w:val="04A0" w:firstRow="1" w:lastRow="0" w:firstColumn="1" w:lastColumn="0" w:noHBand="0" w:noVBand="1"/>
      </w:tblPr>
      <w:tblGrid>
        <w:gridCol w:w="2553"/>
        <w:gridCol w:w="1133"/>
        <w:gridCol w:w="1276"/>
        <w:gridCol w:w="1255"/>
        <w:gridCol w:w="1145"/>
        <w:gridCol w:w="1137"/>
        <w:gridCol w:w="1139"/>
      </w:tblGrid>
      <w:tr w:rsidR="009E602E" w14:paraId="7C6C9D87" w14:textId="77777777" w:rsidTr="0022224B">
        <w:trPr>
          <w:cnfStyle w:val="100000000000" w:firstRow="1" w:lastRow="0" w:firstColumn="0" w:lastColumn="0" w:oddVBand="0" w:evenVBand="0" w:oddHBand="0" w:evenHBand="0" w:firstRowFirstColumn="0" w:firstRowLastColumn="0" w:lastRowFirstColumn="0" w:lastRowLastColumn="0"/>
        </w:trPr>
        <w:tc>
          <w:tcPr>
            <w:tcW w:w="1324" w:type="pct"/>
          </w:tcPr>
          <w:p w14:paraId="3C331C1E" w14:textId="77777777" w:rsidR="009E602E" w:rsidRPr="00082781" w:rsidRDefault="009E602E">
            <w:pPr>
              <w:pStyle w:val="TableBold"/>
              <w:keepNext/>
              <w:rPr>
                <w:b/>
                <w:bCs/>
                <w:noProof/>
              </w:rPr>
            </w:pPr>
          </w:p>
        </w:tc>
        <w:tc>
          <w:tcPr>
            <w:tcW w:w="588" w:type="pct"/>
          </w:tcPr>
          <w:p w14:paraId="0FCA8BEF" w14:textId="2FF5F564" w:rsidR="009E602E" w:rsidRPr="00082781" w:rsidRDefault="00871D0B">
            <w:pPr>
              <w:pStyle w:val="TableBold"/>
              <w:keepNext/>
              <w:rPr>
                <w:b/>
                <w:bCs/>
                <w:noProof/>
              </w:rPr>
            </w:pPr>
            <w:r>
              <w:rPr>
                <w:b/>
                <w:bCs/>
                <w:noProof/>
              </w:rPr>
              <w:t>AusNet</w:t>
            </w:r>
          </w:p>
        </w:tc>
        <w:tc>
          <w:tcPr>
            <w:tcW w:w="662" w:type="pct"/>
          </w:tcPr>
          <w:p w14:paraId="68670BEA" w14:textId="65ADDE3D" w:rsidR="009E602E" w:rsidRPr="00082781" w:rsidRDefault="00871D0B">
            <w:pPr>
              <w:pStyle w:val="TableBold"/>
              <w:keepNext/>
              <w:rPr>
                <w:b/>
                <w:bCs/>
                <w:noProof/>
              </w:rPr>
            </w:pPr>
            <w:r>
              <w:rPr>
                <w:b/>
                <w:bCs/>
                <w:noProof/>
              </w:rPr>
              <w:t>CitiPower</w:t>
            </w:r>
          </w:p>
        </w:tc>
        <w:tc>
          <w:tcPr>
            <w:tcW w:w="651" w:type="pct"/>
          </w:tcPr>
          <w:p w14:paraId="544103C5" w14:textId="0B53969E" w:rsidR="009E602E" w:rsidRPr="00082781" w:rsidRDefault="009E602E">
            <w:pPr>
              <w:pStyle w:val="TableBold"/>
              <w:keepNext/>
              <w:rPr>
                <w:b/>
                <w:bCs/>
                <w:noProof/>
              </w:rPr>
            </w:pPr>
            <w:r w:rsidRPr="00082781">
              <w:rPr>
                <w:b/>
                <w:bCs/>
                <w:noProof/>
              </w:rPr>
              <w:t>Jemena</w:t>
            </w:r>
            <w:r w:rsidR="005F3989">
              <w:rPr>
                <w:rStyle w:val="FootnoteReference"/>
                <w:b/>
                <w:bCs/>
                <w:noProof/>
              </w:rPr>
              <w:footnoteReference w:id="38"/>
            </w:r>
          </w:p>
        </w:tc>
        <w:tc>
          <w:tcPr>
            <w:tcW w:w="594" w:type="pct"/>
          </w:tcPr>
          <w:p w14:paraId="5D3A8EC1" w14:textId="77777777" w:rsidR="009E602E" w:rsidRPr="00082781" w:rsidRDefault="009E602E">
            <w:pPr>
              <w:pStyle w:val="TableBold"/>
              <w:keepNext/>
              <w:rPr>
                <w:b/>
                <w:bCs/>
                <w:noProof/>
              </w:rPr>
            </w:pPr>
            <w:r w:rsidRPr="00082781">
              <w:rPr>
                <w:b/>
                <w:bCs/>
                <w:noProof/>
              </w:rPr>
              <w:t>Powercor</w:t>
            </w:r>
          </w:p>
        </w:tc>
        <w:tc>
          <w:tcPr>
            <w:tcW w:w="590" w:type="pct"/>
          </w:tcPr>
          <w:p w14:paraId="2A837B6C" w14:textId="77777777" w:rsidR="009E602E" w:rsidRPr="00082781" w:rsidRDefault="009E602E">
            <w:pPr>
              <w:pStyle w:val="TableBold"/>
              <w:keepNext/>
              <w:rPr>
                <w:b/>
                <w:bCs/>
                <w:noProof/>
              </w:rPr>
            </w:pPr>
            <w:r w:rsidRPr="00082781">
              <w:rPr>
                <w:b/>
                <w:bCs/>
                <w:noProof/>
              </w:rPr>
              <w:t>United Energy</w:t>
            </w:r>
          </w:p>
        </w:tc>
        <w:tc>
          <w:tcPr>
            <w:tcW w:w="591" w:type="pct"/>
          </w:tcPr>
          <w:p w14:paraId="1122BB00" w14:textId="77777777" w:rsidR="009E602E" w:rsidRPr="00082781" w:rsidRDefault="009E602E">
            <w:pPr>
              <w:pStyle w:val="TableBold"/>
              <w:keepNext/>
              <w:rPr>
                <w:b/>
                <w:bCs/>
                <w:noProof/>
              </w:rPr>
            </w:pPr>
            <w:r w:rsidRPr="00082781">
              <w:rPr>
                <w:b/>
                <w:bCs/>
                <w:noProof/>
              </w:rPr>
              <w:t>Victorian average</w:t>
            </w:r>
          </w:p>
        </w:tc>
      </w:tr>
      <w:tr w:rsidR="00855CD5" w14:paraId="3D7E4A0F" w14:textId="77777777" w:rsidTr="0022224B">
        <w:trPr>
          <w:cnfStyle w:val="000000100000" w:firstRow="0" w:lastRow="0" w:firstColumn="0" w:lastColumn="0" w:oddVBand="0" w:evenVBand="0" w:oddHBand="1" w:evenHBand="0" w:firstRowFirstColumn="0" w:firstRowLastColumn="0" w:lastRowFirstColumn="0" w:lastRowLastColumn="0"/>
        </w:trPr>
        <w:tc>
          <w:tcPr>
            <w:tcW w:w="1324" w:type="pct"/>
          </w:tcPr>
          <w:p w14:paraId="74CC39A1" w14:textId="77777777" w:rsidR="00855CD5" w:rsidRPr="00082781" w:rsidRDefault="00855CD5" w:rsidP="00855CD5">
            <w:pPr>
              <w:pStyle w:val="TableBody"/>
              <w:keepNext/>
              <w:rPr>
                <w:b/>
                <w:bCs/>
                <w:noProof/>
              </w:rPr>
            </w:pPr>
            <w:r>
              <w:rPr>
                <w:b/>
                <w:bCs/>
                <w:noProof/>
              </w:rPr>
              <w:t>2024–25</w:t>
            </w:r>
          </w:p>
          <w:p w14:paraId="67F2E3E1" w14:textId="77777777" w:rsidR="00855CD5" w:rsidRPr="00082781" w:rsidRDefault="00855CD5" w:rsidP="00855CD5">
            <w:pPr>
              <w:pStyle w:val="TableBody"/>
              <w:keepNext/>
              <w:rPr>
                <w:b/>
                <w:bCs/>
                <w:noProof/>
              </w:rPr>
            </w:pPr>
            <w:r w:rsidRPr="00082781">
              <w:rPr>
                <w:b/>
                <w:bCs/>
                <w:noProof/>
              </w:rPr>
              <w:t>(final decision)</w:t>
            </w:r>
          </w:p>
        </w:tc>
        <w:tc>
          <w:tcPr>
            <w:tcW w:w="588" w:type="pct"/>
          </w:tcPr>
          <w:p w14:paraId="6C1D0AAC" w14:textId="41E38E05" w:rsidR="00855CD5" w:rsidRPr="00767875" w:rsidRDefault="00855CD5" w:rsidP="00855CD5">
            <w:pPr>
              <w:pStyle w:val="TableBody"/>
              <w:keepNext/>
              <w:rPr>
                <w:noProof/>
              </w:rPr>
            </w:pPr>
            <w:r w:rsidRPr="00767875">
              <w:rPr>
                <w:noProof/>
              </w:rPr>
              <w:t>$</w:t>
            </w:r>
            <w:r w:rsidR="0041538C" w:rsidRPr="00767875">
              <w:rPr>
                <w:noProof/>
              </w:rPr>
              <w:t>766</w:t>
            </w:r>
          </w:p>
        </w:tc>
        <w:tc>
          <w:tcPr>
            <w:tcW w:w="662" w:type="pct"/>
          </w:tcPr>
          <w:p w14:paraId="312F63D1" w14:textId="47FCD73E" w:rsidR="00855CD5" w:rsidRPr="00767875" w:rsidRDefault="00855CD5" w:rsidP="00855CD5">
            <w:pPr>
              <w:pStyle w:val="TableBody"/>
              <w:keepNext/>
              <w:rPr>
                <w:noProof/>
              </w:rPr>
            </w:pPr>
            <w:r w:rsidRPr="00767875">
              <w:rPr>
                <w:noProof/>
              </w:rPr>
              <w:t>$</w:t>
            </w:r>
            <w:r w:rsidR="0041538C" w:rsidRPr="00767875">
              <w:rPr>
                <w:noProof/>
              </w:rPr>
              <w:t>491</w:t>
            </w:r>
          </w:p>
        </w:tc>
        <w:tc>
          <w:tcPr>
            <w:tcW w:w="651" w:type="pct"/>
          </w:tcPr>
          <w:p w14:paraId="0215222B" w14:textId="2D1AB293" w:rsidR="00855CD5" w:rsidRPr="00767875" w:rsidRDefault="00855CD5" w:rsidP="00855CD5">
            <w:pPr>
              <w:pStyle w:val="TableBody"/>
              <w:keepNext/>
              <w:rPr>
                <w:noProof/>
              </w:rPr>
            </w:pPr>
            <w:r w:rsidRPr="00767875">
              <w:rPr>
                <w:noProof/>
              </w:rPr>
              <w:t>$</w:t>
            </w:r>
            <w:r w:rsidR="0039114F" w:rsidRPr="00767875">
              <w:rPr>
                <w:noProof/>
              </w:rPr>
              <w:t>594</w:t>
            </w:r>
          </w:p>
        </w:tc>
        <w:tc>
          <w:tcPr>
            <w:tcW w:w="594" w:type="pct"/>
          </w:tcPr>
          <w:p w14:paraId="7FCC8BE8" w14:textId="0C700DB8" w:rsidR="00855CD5" w:rsidRPr="00767875" w:rsidRDefault="00855CD5" w:rsidP="00855CD5">
            <w:pPr>
              <w:pStyle w:val="TableBody"/>
              <w:keepNext/>
              <w:rPr>
                <w:noProof/>
              </w:rPr>
            </w:pPr>
            <w:r w:rsidRPr="00767875">
              <w:rPr>
                <w:noProof/>
              </w:rPr>
              <w:t>$</w:t>
            </w:r>
            <w:r w:rsidR="0039114F" w:rsidRPr="00767875">
              <w:rPr>
                <w:noProof/>
              </w:rPr>
              <w:t>600</w:t>
            </w:r>
          </w:p>
        </w:tc>
        <w:tc>
          <w:tcPr>
            <w:tcW w:w="590" w:type="pct"/>
          </w:tcPr>
          <w:p w14:paraId="65203DA4" w14:textId="0D69A08B" w:rsidR="00855CD5" w:rsidRPr="00767875" w:rsidRDefault="00855CD5" w:rsidP="00855CD5">
            <w:pPr>
              <w:pStyle w:val="TableBody"/>
              <w:keepNext/>
              <w:rPr>
                <w:noProof/>
              </w:rPr>
            </w:pPr>
            <w:r w:rsidRPr="00767875">
              <w:rPr>
                <w:noProof/>
              </w:rPr>
              <w:t>$</w:t>
            </w:r>
            <w:r w:rsidR="000A2214" w:rsidRPr="00767875">
              <w:rPr>
                <w:noProof/>
              </w:rPr>
              <w:t>514</w:t>
            </w:r>
          </w:p>
        </w:tc>
        <w:tc>
          <w:tcPr>
            <w:tcW w:w="591" w:type="pct"/>
          </w:tcPr>
          <w:p w14:paraId="20E99ED0" w14:textId="3AFED64F" w:rsidR="00855CD5" w:rsidRPr="00767875" w:rsidRDefault="00855CD5" w:rsidP="00855CD5">
            <w:pPr>
              <w:pStyle w:val="TableBody"/>
              <w:keepNext/>
              <w:rPr>
                <w:noProof/>
              </w:rPr>
            </w:pPr>
            <w:r w:rsidRPr="00767875">
              <w:rPr>
                <w:noProof/>
              </w:rPr>
              <w:t>$</w:t>
            </w:r>
            <w:r w:rsidR="000A2214" w:rsidRPr="00767875">
              <w:rPr>
                <w:noProof/>
              </w:rPr>
              <w:t>593</w:t>
            </w:r>
          </w:p>
        </w:tc>
      </w:tr>
      <w:tr w:rsidR="00855CD5" w14:paraId="080CE765" w14:textId="77777777" w:rsidTr="0022224B">
        <w:trPr>
          <w:cnfStyle w:val="000000010000" w:firstRow="0" w:lastRow="0" w:firstColumn="0" w:lastColumn="0" w:oddVBand="0" w:evenVBand="0" w:oddHBand="0" w:evenHBand="1" w:firstRowFirstColumn="0" w:firstRowLastColumn="0" w:lastRowFirstColumn="0" w:lastRowLastColumn="0"/>
        </w:trPr>
        <w:tc>
          <w:tcPr>
            <w:tcW w:w="1324" w:type="pct"/>
          </w:tcPr>
          <w:p w14:paraId="21C6F8F3" w14:textId="77777777" w:rsidR="00855CD5" w:rsidRDefault="00855CD5" w:rsidP="00855CD5">
            <w:pPr>
              <w:pStyle w:val="TableBody"/>
              <w:keepNext/>
              <w:rPr>
                <w:b/>
                <w:bCs/>
                <w:noProof/>
              </w:rPr>
            </w:pPr>
            <w:r>
              <w:rPr>
                <w:b/>
                <w:bCs/>
                <w:noProof/>
              </w:rPr>
              <w:t>2025–26</w:t>
            </w:r>
            <w:r w:rsidRPr="00082781">
              <w:rPr>
                <w:b/>
                <w:bCs/>
                <w:noProof/>
              </w:rPr>
              <w:t xml:space="preserve"> </w:t>
            </w:r>
          </w:p>
          <w:p w14:paraId="67D4DA66" w14:textId="23406A58" w:rsidR="00855CD5" w:rsidRPr="00082781" w:rsidRDefault="00855CD5" w:rsidP="00855CD5">
            <w:pPr>
              <w:pStyle w:val="TableBody"/>
              <w:keepNext/>
              <w:rPr>
                <w:b/>
                <w:bCs/>
                <w:noProof/>
              </w:rPr>
            </w:pPr>
            <w:r w:rsidRPr="00082781">
              <w:rPr>
                <w:b/>
                <w:bCs/>
                <w:noProof/>
              </w:rPr>
              <w:t>(</w:t>
            </w:r>
            <w:r>
              <w:rPr>
                <w:b/>
                <w:bCs/>
                <w:noProof/>
              </w:rPr>
              <w:t>final</w:t>
            </w:r>
            <w:r w:rsidRPr="00082781">
              <w:rPr>
                <w:b/>
                <w:bCs/>
                <w:noProof/>
              </w:rPr>
              <w:t xml:space="preserve"> decision)</w:t>
            </w:r>
          </w:p>
        </w:tc>
        <w:tc>
          <w:tcPr>
            <w:tcW w:w="588" w:type="pct"/>
          </w:tcPr>
          <w:p w14:paraId="6BCB6261" w14:textId="103FD882" w:rsidR="00855CD5" w:rsidRPr="00767875" w:rsidRDefault="00855CD5" w:rsidP="00855CD5">
            <w:pPr>
              <w:pStyle w:val="TableBody"/>
              <w:keepNext/>
              <w:rPr>
                <w:noProof/>
              </w:rPr>
            </w:pPr>
            <w:r w:rsidRPr="00767875">
              <w:rPr>
                <w:noProof/>
              </w:rPr>
              <w:t>$</w:t>
            </w:r>
            <w:r w:rsidR="00735B55" w:rsidRPr="00767875">
              <w:rPr>
                <w:noProof/>
              </w:rPr>
              <w:t>805</w:t>
            </w:r>
          </w:p>
        </w:tc>
        <w:tc>
          <w:tcPr>
            <w:tcW w:w="662" w:type="pct"/>
          </w:tcPr>
          <w:p w14:paraId="748A0F95" w14:textId="1D253E3A" w:rsidR="00855CD5" w:rsidRPr="00767875" w:rsidRDefault="00855CD5" w:rsidP="00855CD5">
            <w:pPr>
              <w:pStyle w:val="TableBody"/>
              <w:keepNext/>
              <w:rPr>
                <w:noProof/>
              </w:rPr>
            </w:pPr>
            <w:r w:rsidRPr="00767875">
              <w:rPr>
                <w:noProof/>
              </w:rPr>
              <w:t>$</w:t>
            </w:r>
            <w:r w:rsidR="00735B55" w:rsidRPr="00767875">
              <w:rPr>
                <w:noProof/>
              </w:rPr>
              <w:t>527</w:t>
            </w:r>
          </w:p>
        </w:tc>
        <w:tc>
          <w:tcPr>
            <w:tcW w:w="651" w:type="pct"/>
          </w:tcPr>
          <w:p w14:paraId="6F84BA24" w14:textId="59C4B5E1" w:rsidR="00855CD5" w:rsidRPr="00767875" w:rsidRDefault="00855CD5" w:rsidP="00855CD5">
            <w:pPr>
              <w:pStyle w:val="TableBody"/>
              <w:keepNext/>
              <w:rPr>
                <w:noProof/>
              </w:rPr>
            </w:pPr>
            <w:r w:rsidRPr="00767875">
              <w:rPr>
                <w:noProof/>
              </w:rPr>
              <w:t>$</w:t>
            </w:r>
            <w:r w:rsidR="00480908" w:rsidRPr="00767875">
              <w:rPr>
                <w:noProof/>
              </w:rPr>
              <w:t>573</w:t>
            </w:r>
          </w:p>
        </w:tc>
        <w:tc>
          <w:tcPr>
            <w:tcW w:w="594" w:type="pct"/>
          </w:tcPr>
          <w:p w14:paraId="51E5F063" w14:textId="24C7A46A" w:rsidR="00855CD5" w:rsidRPr="00767875" w:rsidRDefault="00855CD5" w:rsidP="00855CD5">
            <w:pPr>
              <w:pStyle w:val="TableBody"/>
              <w:keepNext/>
              <w:rPr>
                <w:noProof/>
              </w:rPr>
            </w:pPr>
            <w:r w:rsidRPr="00767875">
              <w:rPr>
                <w:noProof/>
              </w:rPr>
              <w:t>$</w:t>
            </w:r>
            <w:r w:rsidR="00735B55" w:rsidRPr="00767875">
              <w:rPr>
                <w:noProof/>
              </w:rPr>
              <w:t>637</w:t>
            </w:r>
          </w:p>
        </w:tc>
        <w:tc>
          <w:tcPr>
            <w:tcW w:w="590" w:type="pct"/>
          </w:tcPr>
          <w:p w14:paraId="7D43E2CC" w14:textId="338F4FC4" w:rsidR="00855CD5" w:rsidRPr="00767875" w:rsidRDefault="00855CD5" w:rsidP="00855CD5">
            <w:pPr>
              <w:pStyle w:val="TableBody"/>
              <w:keepNext/>
              <w:rPr>
                <w:noProof/>
              </w:rPr>
            </w:pPr>
            <w:r w:rsidRPr="00767875">
              <w:rPr>
                <w:noProof/>
              </w:rPr>
              <w:t>$</w:t>
            </w:r>
            <w:r w:rsidR="00735B55" w:rsidRPr="00767875">
              <w:rPr>
                <w:noProof/>
              </w:rPr>
              <w:t>535</w:t>
            </w:r>
          </w:p>
        </w:tc>
        <w:tc>
          <w:tcPr>
            <w:tcW w:w="591" w:type="pct"/>
          </w:tcPr>
          <w:p w14:paraId="3060AE56" w14:textId="53D98B4D" w:rsidR="00855CD5" w:rsidRPr="00767875" w:rsidRDefault="00855CD5" w:rsidP="00855CD5">
            <w:pPr>
              <w:pStyle w:val="TableBody"/>
              <w:keepNext/>
              <w:rPr>
                <w:noProof/>
              </w:rPr>
            </w:pPr>
            <w:r w:rsidRPr="00767875">
              <w:rPr>
                <w:noProof/>
              </w:rPr>
              <w:t>$</w:t>
            </w:r>
            <w:r w:rsidR="00961517" w:rsidRPr="00767875">
              <w:rPr>
                <w:noProof/>
              </w:rPr>
              <w:t>616</w:t>
            </w:r>
          </w:p>
        </w:tc>
      </w:tr>
      <w:tr w:rsidR="00855CD5" w14:paraId="68609714" w14:textId="77777777" w:rsidTr="0022224B">
        <w:trPr>
          <w:cnfStyle w:val="000000100000" w:firstRow="0" w:lastRow="0" w:firstColumn="0" w:lastColumn="0" w:oddVBand="0" w:evenVBand="0" w:oddHBand="1" w:evenHBand="0" w:firstRowFirstColumn="0" w:firstRowLastColumn="0" w:lastRowFirstColumn="0" w:lastRowLastColumn="0"/>
        </w:trPr>
        <w:tc>
          <w:tcPr>
            <w:tcW w:w="1324" w:type="pct"/>
          </w:tcPr>
          <w:p w14:paraId="7215D279" w14:textId="77777777" w:rsidR="00855CD5" w:rsidRPr="00082781" w:rsidRDefault="00855CD5" w:rsidP="00855CD5">
            <w:pPr>
              <w:pStyle w:val="TableBody"/>
              <w:keepNext/>
              <w:rPr>
                <w:b/>
                <w:bCs/>
                <w:noProof/>
              </w:rPr>
            </w:pPr>
            <w:r w:rsidRPr="00082781">
              <w:rPr>
                <w:b/>
                <w:bCs/>
                <w:noProof/>
              </w:rPr>
              <w:t>Change in $</w:t>
            </w:r>
          </w:p>
        </w:tc>
        <w:tc>
          <w:tcPr>
            <w:tcW w:w="588" w:type="pct"/>
          </w:tcPr>
          <w:p w14:paraId="4A38626B" w14:textId="7A50997F" w:rsidR="00855CD5" w:rsidRPr="00767875" w:rsidRDefault="00855CD5" w:rsidP="00855CD5">
            <w:pPr>
              <w:pStyle w:val="TableBody"/>
              <w:keepNext/>
              <w:rPr>
                <w:noProof/>
              </w:rPr>
            </w:pPr>
            <w:r w:rsidRPr="00767875">
              <w:rPr>
                <w:noProof/>
              </w:rPr>
              <w:t>$</w:t>
            </w:r>
            <w:r w:rsidR="004D6FC2" w:rsidRPr="00767875">
              <w:rPr>
                <w:noProof/>
              </w:rPr>
              <w:t>40</w:t>
            </w:r>
            <w:r w:rsidR="00AF77BA" w:rsidRPr="00767875">
              <w:rPr>
                <w:noProof/>
              </w:rPr>
              <w:t>*</w:t>
            </w:r>
          </w:p>
        </w:tc>
        <w:tc>
          <w:tcPr>
            <w:tcW w:w="662" w:type="pct"/>
          </w:tcPr>
          <w:p w14:paraId="70248373" w14:textId="5A01F462" w:rsidR="00855CD5" w:rsidRPr="00767875" w:rsidRDefault="00855CD5" w:rsidP="00855CD5">
            <w:pPr>
              <w:pStyle w:val="TableBody"/>
              <w:keepNext/>
              <w:rPr>
                <w:noProof/>
              </w:rPr>
            </w:pPr>
            <w:r w:rsidRPr="00767875">
              <w:rPr>
                <w:noProof/>
              </w:rPr>
              <w:t>$</w:t>
            </w:r>
            <w:r w:rsidR="004D6FC2" w:rsidRPr="00767875">
              <w:rPr>
                <w:noProof/>
              </w:rPr>
              <w:t>37</w:t>
            </w:r>
            <w:r w:rsidR="00324BEF" w:rsidRPr="00767875">
              <w:rPr>
                <w:noProof/>
              </w:rPr>
              <w:t>*</w:t>
            </w:r>
          </w:p>
        </w:tc>
        <w:tc>
          <w:tcPr>
            <w:tcW w:w="651" w:type="pct"/>
          </w:tcPr>
          <w:p w14:paraId="43D3D826" w14:textId="12C201A6" w:rsidR="00855CD5" w:rsidRPr="00767875" w:rsidRDefault="00C80C07" w:rsidP="00855CD5">
            <w:pPr>
              <w:pStyle w:val="TableBody"/>
              <w:keepNext/>
              <w:rPr>
                <w:noProof/>
              </w:rPr>
            </w:pPr>
            <w:r w:rsidRPr="00767875">
              <w:rPr>
                <w:noProof/>
              </w:rPr>
              <w:t>-</w:t>
            </w:r>
            <w:r w:rsidR="00855CD5" w:rsidRPr="00767875">
              <w:rPr>
                <w:noProof/>
              </w:rPr>
              <w:t>$</w:t>
            </w:r>
            <w:r w:rsidRPr="00767875">
              <w:rPr>
                <w:noProof/>
              </w:rPr>
              <w:t>21</w:t>
            </w:r>
          </w:p>
        </w:tc>
        <w:tc>
          <w:tcPr>
            <w:tcW w:w="594" w:type="pct"/>
          </w:tcPr>
          <w:p w14:paraId="31180FEF" w14:textId="53EDBCB0" w:rsidR="00855CD5" w:rsidRPr="00767875" w:rsidRDefault="00855CD5" w:rsidP="00855CD5">
            <w:pPr>
              <w:pStyle w:val="TableBody"/>
              <w:keepNext/>
              <w:rPr>
                <w:noProof/>
              </w:rPr>
            </w:pPr>
            <w:r w:rsidRPr="00767875">
              <w:rPr>
                <w:noProof/>
              </w:rPr>
              <w:t>$</w:t>
            </w:r>
            <w:r w:rsidR="004D6FC2" w:rsidRPr="00767875">
              <w:rPr>
                <w:noProof/>
              </w:rPr>
              <w:t>37</w:t>
            </w:r>
          </w:p>
        </w:tc>
        <w:tc>
          <w:tcPr>
            <w:tcW w:w="590" w:type="pct"/>
          </w:tcPr>
          <w:p w14:paraId="03280D68" w14:textId="1EBFAF82" w:rsidR="00855CD5" w:rsidRPr="00767875" w:rsidRDefault="00855CD5" w:rsidP="00855CD5">
            <w:pPr>
              <w:pStyle w:val="TableBody"/>
              <w:keepNext/>
              <w:rPr>
                <w:noProof/>
              </w:rPr>
            </w:pPr>
            <w:r w:rsidRPr="00767875">
              <w:rPr>
                <w:noProof/>
              </w:rPr>
              <w:t>$</w:t>
            </w:r>
            <w:r w:rsidR="00BD6194" w:rsidRPr="00767875">
              <w:rPr>
                <w:noProof/>
              </w:rPr>
              <w:t>21</w:t>
            </w:r>
          </w:p>
        </w:tc>
        <w:tc>
          <w:tcPr>
            <w:tcW w:w="591" w:type="pct"/>
          </w:tcPr>
          <w:p w14:paraId="3297107F" w14:textId="743B7B41" w:rsidR="00855CD5" w:rsidRPr="00767875" w:rsidRDefault="00855CD5" w:rsidP="00855CD5">
            <w:pPr>
              <w:pStyle w:val="TableBody"/>
              <w:keepNext/>
              <w:rPr>
                <w:noProof/>
              </w:rPr>
            </w:pPr>
            <w:r w:rsidRPr="00767875">
              <w:rPr>
                <w:noProof/>
              </w:rPr>
              <w:t>$</w:t>
            </w:r>
            <w:r w:rsidR="007509FC" w:rsidRPr="00767875">
              <w:rPr>
                <w:noProof/>
              </w:rPr>
              <w:t>23</w:t>
            </w:r>
          </w:p>
        </w:tc>
      </w:tr>
      <w:tr w:rsidR="00207579" w14:paraId="2BC210D4" w14:textId="77777777" w:rsidTr="0022224B">
        <w:trPr>
          <w:cnfStyle w:val="000000010000" w:firstRow="0" w:lastRow="0" w:firstColumn="0" w:lastColumn="0" w:oddVBand="0" w:evenVBand="0" w:oddHBand="0" w:evenHBand="1" w:firstRowFirstColumn="0" w:firstRowLastColumn="0" w:lastRowFirstColumn="0" w:lastRowLastColumn="0"/>
        </w:trPr>
        <w:tc>
          <w:tcPr>
            <w:tcW w:w="1324" w:type="pct"/>
          </w:tcPr>
          <w:p w14:paraId="5C90BAEC" w14:textId="77777777" w:rsidR="00207579" w:rsidRPr="00082781" w:rsidRDefault="00207579" w:rsidP="00207579">
            <w:pPr>
              <w:pStyle w:val="TableBody"/>
              <w:keepNext/>
              <w:rPr>
                <w:b/>
                <w:bCs/>
                <w:noProof/>
              </w:rPr>
            </w:pPr>
            <w:r w:rsidRPr="00082781">
              <w:rPr>
                <w:b/>
                <w:bCs/>
                <w:noProof/>
              </w:rPr>
              <w:t>Change in %</w:t>
            </w:r>
          </w:p>
        </w:tc>
        <w:tc>
          <w:tcPr>
            <w:tcW w:w="588" w:type="pct"/>
          </w:tcPr>
          <w:p w14:paraId="375FD5B6" w14:textId="24547170" w:rsidR="00207579" w:rsidRPr="00767875" w:rsidRDefault="000A4B30" w:rsidP="00207579">
            <w:pPr>
              <w:pStyle w:val="TableBody"/>
              <w:keepNext/>
              <w:rPr>
                <w:noProof/>
              </w:rPr>
            </w:pPr>
            <w:r w:rsidRPr="00767875">
              <w:rPr>
                <w:noProof/>
              </w:rPr>
              <w:t>5</w:t>
            </w:r>
            <w:r w:rsidR="00207579" w:rsidRPr="00767875">
              <w:rPr>
                <w:noProof/>
              </w:rPr>
              <w:t>%</w:t>
            </w:r>
          </w:p>
        </w:tc>
        <w:tc>
          <w:tcPr>
            <w:tcW w:w="662" w:type="pct"/>
          </w:tcPr>
          <w:p w14:paraId="7296891F" w14:textId="3D229C8B" w:rsidR="00207579" w:rsidRPr="00767875" w:rsidRDefault="000A4B30" w:rsidP="00207579">
            <w:pPr>
              <w:pStyle w:val="TableBody"/>
              <w:keepNext/>
              <w:rPr>
                <w:noProof/>
              </w:rPr>
            </w:pPr>
            <w:r w:rsidRPr="00767875">
              <w:rPr>
                <w:noProof/>
              </w:rPr>
              <w:t>7</w:t>
            </w:r>
            <w:r w:rsidR="00207579" w:rsidRPr="00767875">
              <w:rPr>
                <w:noProof/>
              </w:rPr>
              <w:t>%</w:t>
            </w:r>
          </w:p>
        </w:tc>
        <w:tc>
          <w:tcPr>
            <w:tcW w:w="651" w:type="pct"/>
          </w:tcPr>
          <w:p w14:paraId="14175A95" w14:textId="5965A59D" w:rsidR="00207579" w:rsidRPr="00767875" w:rsidRDefault="00FA0BCD" w:rsidP="00207579">
            <w:pPr>
              <w:pStyle w:val="TableBody"/>
              <w:keepNext/>
              <w:rPr>
                <w:noProof/>
              </w:rPr>
            </w:pPr>
            <w:r w:rsidRPr="00767875">
              <w:rPr>
                <w:noProof/>
              </w:rPr>
              <w:t>-</w:t>
            </w:r>
            <w:r w:rsidR="00C13583" w:rsidRPr="00767875">
              <w:rPr>
                <w:noProof/>
              </w:rPr>
              <w:t>3</w:t>
            </w:r>
            <w:r w:rsidR="00207579" w:rsidRPr="00767875">
              <w:rPr>
                <w:noProof/>
              </w:rPr>
              <w:t>%</w:t>
            </w:r>
          </w:p>
        </w:tc>
        <w:tc>
          <w:tcPr>
            <w:tcW w:w="594" w:type="pct"/>
          </w:tcPr>
          <w:p w14:paraId="5EFAC465" w14:textId="56FCDCB7" w:rsidR="00207579" w:rsidRPr="00767875" w:rsidRDefault="008075BE" w:rsidP="00207579">
            <w:pPr>
              <w:pStyle w:val="TableBody"/>
              <w:keepNext/>
              <w:rPr>
                <w:noProof/>
              </w:rPr>
            </w:pPr>
            <w:r w:rsidRPr="00767875">
              <w:rPr>
                <w:noProof/>
              </w:rPr>
              <w:t>6</w:t>
            </w:r>
            <w:r w:rsidR="00207579" w:rsidRPr="00767875">
              <w:rPr>
                <w:noProof/>
              </w:rPr>
              <w:t>%</w:t>
            </w:r>
          </w:p>
        </w:tc>
        <w:tc>
          <w:tcPr>
            <w:tcW w:w="590" w:type="pct"/>
          </w:tcPr>
          <w:p w14:paraId="554D2E5B" w14:textId="5611C98C" w:rsidR="00207579" w:rsidRPr="00767875" w:rsidRDefault="008075BE" w:rsidP="00207579">
            <w:pPr>
              <w:pStyle w:val="TableBody"/>
              <w:keepNext/>
              <w:rPr>
                <w:noProof/>
              </w:rPr>
            </w:pPr>
            <w:r w:rsidRPr="00767875">
              <w:rPr>
                <w:noProof/>
              </w:rPr>
              <w:t>4</w:t>
            </w:r>
            <w:r w:rsidR="00207579" w:rsidRPr="00767875">
              <w:rPr>
                <w:noProof/>
              </w:rPr>
              <w:t>%</w:t>
            </w:r>
          </w:p>
        </w:tc>
        <w:tc>
          <w:tcPr>
            <w:tcW w:w="591" w:type="pct"/>
          </w:tcPr>
          <w:p w14:paraId="0CF846D5" w14:textId="26DC8087" w:rsidR="00207579" w:rsidRPr="00767875" w:rsidRDefault="00C13583" w:rsidP="00207579">
            <w:pPr>
              <w:pStyle w:val="TableBody"/>
              <w:keepNext/>
              <w:rPr>
                <w:noProof/>
              </w:rPr>
            </w:pPr>
            <w:r w:rsidRPr="00767875">
              <w:rPr>
                <w:noProof/>
              </w:rPr>
              <w:t>4</w:t>
            </w:r>
            <w:r w:rsidR="00207579" w:rsidRPr="00767875">
              <w:rPr>
                <w:noProof/>
              </w:rPr>
              <w:t>%</w:t>
            </w:r>
          </w:p>
        </w:tc>
      </w:tr>
    </w:tbl>
    <w:p w14:paraId="31A15080" w14:textId="4C88579B" w:rsidR="00A07631" w:rsidRPr="00CC5219" w:rsidRDefault="00A07631" w:rsidP="00A07631">
      <w:r w:rsidRPr="00CC5219">
        <w:t xml:space="preserve">Figure 4 </w:t>
      </w:r>
      <w:r w:rsidR="005E1634">
        <w:t>presents</w:t>
      </w:r>
      <w:r w:rsidR="00810BD6">
        <w:t xml:space="preserve"> network costs across Victorian distribution zones</w:t>
      </w:r>
      <w:r w:rsidR="00766FDA">
        <w:t>. It shows</w:t>
      </w:r>
      <w:r w:rsidR="00810BD6" w:rsidRPr="00CC5219">
        <w:t xml:space="preserve"> </w:t>
      </w:r>
      <w:r w:rsidRPr="00CC5219">
        <w:t xml:space="preserve">an upward trend in network costs since 2019 across the five distribution zones, despite the variance. </w:t>
      </w:r>
    </w:p>
    <w:p w14:paraId="0FFC9A1C" w14:textId="5BEF6B07" w:rsidR="00D658D8" w:rsidRDefault="00D658D8" w:rsidP="00FB5837">
      <w:pPr>
        <w:pStyle w:val="Figure-Table-BoxHeading"/>
        <w:keepNext/>
      </w:pPr>
      <w:r>
        <w:t xml:space="preserve">Figure </w:t>
      </w:r>
      <w:r w:rsidR="00233041">
        <w:t>4</w:t>
      </w:r>
      <w:r w:rsidR="00B84AD9">
        <w:t>:</w:t>
      </w:r>
      <w:r>
        <w:t xml:space="preserve"> </w:t>
      </w:r>
      <w:r w:rsidR="00E10B2C">
        <w:t>Historical network costs</w:t>
      </w:r>
      <w:r>
        <w:t xml:space="preserve"> across </w:t>
      </w:r>
      <w:r w:rsidR="00E10B2C">
        <w:t xml:space="preserve">Victorian </w:t>
      </w:r>
      <w:r>
        <w:t>distribution zone</w:t>
      </w:r>
      <w:r w:rsidR="005C04AA">
        <w:t>s</w:t>
      </w:r>
    </w:p>
    <w:p w14:paraId="3EC815BD" w14:textId="77777777" w:rsidR="0033141E" w:rsidRDefault="00D55CEC" w:rsidP="00354ED9">
      <w:r w:rsidRPr="00D55CEC">
        <w:rPr>
          <w:noProof/>
        </w:rPr>
        <w:drawing>
          <wp:inline distT="0" distB="0" distL="0" distR="0" wp14:anchorId="537148DA" wp14:editId="44669467">
            <wp:extent cx="6421378" cy="1975449"/>
            <wp:effectExtent l="0" t="0" r="0" b="6350"/>
            <wp:docPr id="744772802" name="Picture 1" descr="A barchart showing historical network costs have over Victoria's five distribution zones. It shows that in all distributions zones, network costs have been rising since the 2019 Victorian Default of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2802" name="Picture 1" descr="A barchart showing historical network costs have over Victoria's five distribution zones. It shows that in all distributions zones, network costs have been rising since the 2019 Victorian Default offer. "/>
                    <pic:cNvPicPr/>
                  </pic:nvPicPr>
                  <pic:blipFill>
                    <a:blip r:embed="rId33"/>
                    <a:stretch>
                      <a:fillRect/>
                    </a:stretch>
                  </pic:blipFill>
                  <pic:spPr>
                    <a:xfrm>
                      <a:off x="0" y="0"/>
                      <a:ext cx="6426405" cy="1976995"/>
                    </a:xfrm>
                    <a:prstGeom prst="rect">
                      <a:avLst/>
                    </a:prstGeom>
                  </pic:spPr>
                </pic:pic>
              </a:graphicData>
            </a:graphic>
          </wp:inline>
        </w:drawing>
      </w:r>
      <w:r w:rsidR="0033141E">
        <w:br w:type="page"/>
      </w:r>
    </w:p>
    <w:p w14:paraId="3C37FA8C" w14:textId="7F641D61" w:rsidR="00FA3555" w:rsidRPr="002A3ADF" w:rsidRDefault="00C31A75" w:rsidP="00FA3555">
      <w:pPr>
        <w:pStyle w:val="Heading3"/>
      </w:pPr>
      <w:r w:rsidRPr="002A3ADF">
        <w:lastRenderedPageBreak/>
        <w:t xml:space="preserve">Stakeholders </w:t>
      </w:r>
      <w:r w:rsidR="000E5D50">
        <w:t xml:space="preserve">generally </w:t>
      </w:r>
      <w:r w:rsidR="003E1375" w:rsidRPr="002A3ADF">
        <w:t xml:space="preserve">support </w:t>
      </w:r>
      <w:r w:rsidR="0086003A" w:rsidRPr="002A3ADF">
        <w:t xml:space="preserve">our approach to network costs </w:t>
      </w:r>
    </w:p>
    <w:p w14:paraId="779428BF" w14:textId="47DEF655" w:rsidR="0004685E" w:rsidRPr="002A3ADF" w:rsidRDefault="00761378" w:rsidP="0004685E">
      <w:r w:rsidRPr="002A3ADF">
        <w:t xml:space="preserve">We received </w:t>
      </w:r>
      <w:r w:rsidR="00346F81" w:rsidRPr="002A3ADF">
        <w:t>six submissions on network costs</w:t>
      </w:r>
      <w:r w:rsidR="002A5E23">
        <w:t>.</w:t>
      </w:r>
      <w:r w:rsidR="00333109" w:rsidRPr="002A3ADF">
        <w:rPr>
          <w:rStyle w:val="FootnoteReference"/>
        </w:rPr>
        <w:footnoteReference w:id="39"/>
      </w:r>
      <w:r w:rsidR="009948A8">
        <w:t xml:space="preserve"> </w:t>
      </w:r>
      <w:r w:rsidR="0004685E" w:rsidRPr="002A3ADF">
        <w:t>Retailers generally support</w:t>
      </w:r>
      <w:r w:rsidR="0004685E">
        <w:t>ed</w:t>
      </w:r>
      <w:r w:rsidR="0004685E" w:rsidRPr="002A3ADF">
        <w:t xml:space="preserve"> our approach to incorporate Australian Energy Regulator approved network tariffs in our final decision. </w:t>
      </w:r>
      <w:r w:rsidR="0004685E" w:rsidRPr="002A3ADF" w:rsidDel="00145D98">
        <w:t>Some</w:t>
      </w:r>
      <w:r w:rsidR="0004685E" w:rsidRPr="002A3ADF">
        <w:t xml:space="preserve"> submissions highlighted that network costs are the largest component of the retail bill and raised concerns about the likelihood of a continual increase in network prices amplifying affordability challenges for future Victorian Default Offer price reviews. </w:t>
      </w:r>
    </w:p>
    <w:p w14:paraId="58BA73E4" w14:textId="002A52F2" w:rsidR="00CB3A02" w:rsidRDefault="00714903" w:rsidP="00E07120">
      <w:r>
        <w:t>The</w:t>
      </w:r>
      <w:r w:rsidR="00134CF6" w:rsidRPr="002A3ADF">
        <w:t xml:space="preserve"> </w:t>
      </w:r>
      <w:r w:rsidR="00E65A8C" w:rsidRPr="002A3ADF">
        <w:t>j</w:t>
      </w:r>
      <w:r w:rsidR="00126015" w:rsidRPr="002A3ADF">
        <w:t xml:space="preserve">oint community </w:t>
      </w:r>
      <w:r w:rsidR="00773AAD">
        <w:t>groups</w:t>
      </w:r>
      <w:r w:rsidR="00126015" w:rsidRPr="002A3ADF">
        <w:t xml:space="preserve"> and consumer advocates </w:t>
      </w:r>
      <w:r w:rsidR="00E65A8C" w:rsidRPr="002A3ADF">
        <w:t>submission</w:t>
      </w:r>
      <w:r w:rsidR="00AD3655" w:rsidRPr="002A3ADF">
        <w:t xml:space="preserve"> </w:t>
      </w:r>
      <w:r w:rsidR="002325CC" w:rsidRPr="002A3ADF">
        <w:t xml:space="preserve">urged </w:t>
      </w:r>
      <w:r w:rsidR="008D7AF6" w:rsidRPr="002A3ADF">
        <w:t xml:space="preserve">the </w:t>
      </w:r>
      <w:r w:rsidR="00D62BCF">
        <w:t>c</w:t>
      </w:r>
      <w:r w:rsidR="008D7AF6">
        <w:t>ommission</w:t>
      </w:r>
      <w:r w:rsidR="008D7AF6" w:rsidRPr="002A3ADF">
        <w:t xml:space="preserve"> </w:t>
      </w:r>
      <w:r w:rsidR="00D62BCF">
        <w:t xml:space="preserve">to </w:t>
      </w:r>
      <w:r w:rsidR="008D7AF6" w:rsidRPr="002A3ADF">
        <w:t>more clos</w:t>
      </w:r>
      <w:r w:rsidR="005768C9" w:rsidRPr="002A3ADF">
        <w:t>ely examine and interrogate the network cost portion of the price stack</w:t>
      </w:r>
      <w:r w:rsidR="00533813" w:rsidRPr="002A3ADF">
        <w:t xml:space="preserve">. </w:t>
      </w:r>
      <w:r w:rsidR="00B30AD7" w:rsidRPr="002A3ADF">
        <w:t>Alinta Energy proposed</w:t>
      </w:r>
      <w:r w:rsidR="00245C4A" w:rsidRPr="002A3ADF">
        <w:t xml:space="preserve"> </w:t>
      </w:r>
      <w:r w:rsidR="0072394F">
        <w:t>that we</w:t>
      </w:r>
      <w:r w:rsidR="00D47454" w:rsidRPr="002A3ADF">
        <w:t xml:space="preserve"> and other </w:t>
      </w:r>
      <w:r w:rsidR="00B30AD7" w:rsidRPr="002A3ADF">
        <w:t>regulatory bodies review</w:t>
      </w:r>
      <w:r w:rsidR="00D47454" w:rsidRPr="002A3ADF">
        <w:t xml:space="preserve"> the effectiveness of the current </w:t>
      </w:r>
      <w:r w:rsidR="00E40AEA" w:rsidRPr="002A3ADF">
        <w:t>R</w:t>
      </w:r>
      <w:r w:rsidR="00D47454" w:rsidRPr="002A3ADF">
        <w:t xml:space="preserve">egulatory </w:t>
      </w:r>
      <w:r w:rsidR="00E40AEA" w:rsidRPr="002A3ADF">
        <w:t>I</w:t>
      </w:r>
      <w:r w:rsidR="00D47454" w:rsidRPr="002A3ADF">
        <w:t xml:space="preserve">nvestment </w:t>
      </w:r>
      <w:r w:rsidR="00E40AEA" w:rsidRPr="002A3ADF">
        <w:t>T</w:t>
      </w:r>
      <w:r w:rsidR="00D47454" w:rsidRPr="002A3ADF">
        <w:t xml:space="preserve">est for transmission </w:t>
      </w:r>
      <w:r w:rsidR="00B30AD7" w:rsidRPr="002A3ADF">
        <w:t>projects</w:t>
      </w:r>
      <w:r w:rsidR="00D47454" w:rsidRPr="002A3ADF">
        <w:t xml:space="preserve"> to </w:t>
      </w:r>
      <w:r w:rsidR="00B30AD7" w:rsidRPr="002A3ADF">
        <w:t>reduce</w:t>
      </w:r>
      <w:r w:rsidR="00D47454" w:rsidRPr="002A3ADF">
        <w:t xml:space="preserve"> the impact on all consumers</w:t>
      </w:r>
      <w:r w:rsidR="00245C4A" w:rsidRPr="002A3ADF">
        <w:t xml:space="preserve">. </w:t>
      </w:r>
      <w:r w:rsidR="00602C85" w:rsidRPr="0017108B">
        <w:t xml:space="preserve">Additionally, Alinta Energy perceived a disproportionate commission emphasis on smaller cost stack components given the significance of rising network costs in the Victorian Default Offer.  </w:t>
      </w:r>
    </w:p>
    <w:p w14:paraId="4A949923" w14:textId="37A3352E" w:rsidR="00680DBB" w:rsidRPr="002A3ADF" w:rsidRDefault="00680DBB" w:rsidP="00E07120">
      <w:r w:rsidRPr="00680DBB">
        <w:t xml:space="preserve">We will pass-through the Australian Energy Regulator approved network costs, given its role in assessing efficiency of these costs. These costs </w:t>
      </w:r>
      <w:r>
        <w:t>also</w:t>
      </w:r>
      <w:r w:rsidRPr="00680DBB">
        <w:t xml:space="preserve"> represent </w:t>
      </w:r>
      <w:r w:rsidR="00251BC1" w:rsidRPr="002A3ADF">
        <w:t xml:space="preserve">the actual cost that retailers must pay to access transmission and distribution services based on the maintenance needs and growth rate in their area. </w:t>
      </w:r>
    </w:p>
    <w:p w14:paraId="3579D0C2" w14:textId="7F238E8F" w:rsidR="00E5390E" w:rsidRDefault="00CD5E40" w:rsidP="00EA5FF9">
      <w:pPr>
        <w:pStyle w:val="Heading2"/>
        <w:keepLines w:val="0"/>
      </w:pPr>
      <w:bookmarkStart w:id="53" w:name="_Toc191027361"/>
      <w:bookmarkStart w:id="54" w:name="_Ref192605342"/>
      <w:bookmarkStart w:id="55" w:name="_Ref192605346"/>
      <w:bookmarkStart w:id="56" w:name="_Ref192605358"/>
      <w:bookmarkStart w:id="57" w:name="_Ref196820426"/>
      <w:bookmarkStart w:id="58" w:name="_Toc198808328"/>
      <w:r>
        <w:t>Wholesale electricity costs</w:t>
      </w:r>
      <w:bookmarkEnd w:id="53"/>
      <w:bookmarkEnd w:id="54"/>
      <w:bookmarkEnd w:id="55"/>
      <w:bookmarkEnd w:id="56"/>
      <w:bookmarkEnd w:id="57"/>
      <w:bookmarkEnd w:id="58"/>
    </w:p>
    <w:p w14:paraId="3ADAAFB1" w14:textId="03F437CC" w:rsidR="00306958" w:rsidRPr="004D4816" w:rsidRDefault="00192D5C" w:rsidP="00396E5D">
      <w:pPr>
        <w:pStyle w:val="Pull-outBullet1"/>
      </w:pPr>
      <w:r w:rsidRPr="004D4816">
        <w:t xml:space="preserve">Our </w:t>
      </w:r>
      <w:r w:rsidR="005B0F2E" w:rsidRPr="004D4816">
        <w:t>final</w:t>
      </w:r>
      <w:r w:rsidRPr="004D4816">
        <w:t xml:space="preserve"> decision is to </w:t>
      </w:r>
      <w:r w:rsidR="007F458D" w:rsidRPr="004D4816">
        <w:t>us</w:t>
      </w:r>
      <w:r w:rsidR="00306958" w:rsidRPr="004D4816">
        <w:t>e</w:t>
      </w:r>
      <w:r w:rsidR="007F458D" w:rsidRPr="004D4816">
        <w:t xml:space="preserve"> </w:t>
      </w:r>
      <w:r w:rsidR="002B7D79" w:rsidRPr="004D4816">
        <w:t>our</w:t>
      </w:r>
      <w:r w:rsidR="007F458D" w:rsidRPr="004D4816">
        <w:t xml:space="preserve"> futures marke</w:t>
      </w:r>
      <w:r w:rsidR="00670FC2" w:rsidRPr="004D4816">
        <w:t>t</w:t>
      </w:r>
      <w:r w:rsidR="007F458D" w:rsidRPr="004D4816">
        <w:t xml:space="preserve"> approach </w:t>
      </w:r>
      <w:r w:rsidR="001678BE" w:rsidRPr="004D4816">
        <w:t xml:space="preserve">to </w:t>
      </w:r>
      <w:r w:rsidR="00715541" w:rsidRPr="004D4816">
        <w:t xml:space="preserve">forecast </w:t>
      </w:r>
      <w:r w:rsidR="004D1FDD" w:rsidRPr="004D4816">
        <w:t>whole</w:t>
      </w:r>
      <w:r w:rsidR="00FB2073" w:rsidRPr="004D4816">
        <w:t>sale</w:t>
      </w:r>
      <w:r w:rsidR="004D1FDD" w:rsidRPr="004D4816">
        <w:t xml:space="preserve"> electr</w:t>
      </w:r>
      <w:r w:rsidR="007F458D" w:rsidRPr="004D4816">
        <w:t>i</w:t>
      </w:r>
      <w:r w:rsidR="004D1FDD" w:rsidRPr="004D4816">
        <w:t>city costs</w:t>
      </w:r>
      <w:r w:rsidRPr="004D4816">
        <w:t xml:space="preserve">. </w:t>
      </w:r>
    </w:p>
    <w:p w14:paraId="65023F5A" w14:textId="4607B046" w:rsidR="008E22EF" w:rsidRPr="004D4816" w:rsidRDefault="00306958" w:rsidP="00396E5D">
      <w:pPr>
        <w:pStyle w:val="Pull-outBullet1"/>
      </w:pPr>
      <w:r w:rsidRPr="004D4816">
        <w:t>W</w:t>
      </w:r>
      <w:r w:rsidR="007A0A51" w:rsidRPr="004D4816">
        <w:t>e</w:t>
      </w:r>
      <w:r w:rsidR="002B7693" w:rsidRPr="004D4816">
        <w:t xml:space="preserve"> </w:t>
      </w:r>
      <w:r w:rsidR="00EA7882" w:rsidRPr="004D4816">
        <w:t>have maintained</w:t>
      </w:r>
      <w:r w:rsidR="007C38C4" w:rsidRPr="004D4816">
        <w:t xml:space="preserve"> </w:t>
      </w:r>
      <w:r w:rsidR="004D0CED">
        <w:t xml:space="preserve">the </w:t>
      </w:r>
      <w:r w:rsidR="00220452" w:rsidRPr="004D4816">
        <w:t>change</w:t>
      </w:r>
      <w:r w:rsidR="00337A9D" w:rsidRPr="004D4816">
        <w:t xml:space="preserve"> to</w:t>
      </w:r>
      <w:r w:rsidR="00B04C62" w:rsidRPr="004D4816">
        <w:t xml:space="preserve"> </w:t>
      </w:r>
      <w:r w:rsidR="006E4BBA">
        <w:t xml:space="preserve">the load </w:t>
      </w:r>
      <w:r w:rsidR="00735994">
        <w:t xml:space="preserve">only </w:t>
      </w:r>
      <w:r w:rsidR="006E4BBA">
        <w:t xml:space="preserve">profile </w:t>
      </w:r>
      <w:r w:rsidR="00785E63">
        <w:t>used</w:t>
      </w:r>
      <w:r w:rsidR="006E4BBA">
        <w:t xml:space="preserve"> to estimate wholesale electricity costs</w:t>
      </w:r>
      <w:r w:rsidR="00337A9D" w:rsidRPr="004D4816">
        <w:t xml:space="preserve"> presented in our draft decision</w:t>
      </w:r>
      <w:r w:rsidR="00B4045A" w:rsidRPr="004D4816">
        <w:t>.</w:t>
      </w:r>
      <w:r w:rsidR="008E22EF" w:rsidRPr="004D4816">
        <w:t xml:space="preserve"> </w:t>
      </w:r>
      <w:r w:rsidR="008D0D25" w:rsidRPr="006D31BA">
        <w:t>We have included a wholesale electricity cost of exports due to using a load only profile.</w:t>
      </w:r>
    </w:p>
    <w:p w14:paraId="3740A7D7" w14:textId="65CF4C24" w:rsidR="00003931" w:rsidRDefault="00BA3DF2" w:rsidP="00396E5D">
      <w:pPr>
        <w:pStyle w:val="Pull-outBullet1"/>
      </w:pPr>
      <w:r>
        <w:t xml:space="preserve">The load profile </w:t>
      </w:r>
      <w:r w:rsidR="00667CFE">
        <w:t xml:space="preserve">we used </w:t>
      </w:r>
      <w:r w:rsidR="00AC6447">
        <w:t>is</w:t>
      </w:r>
      <w:r w:rsidR="00C00340" w:rsidRPr="00610A1F">
        <w:t xml:space="preserve"> based on </w:t>
      </w:r>
      <w:r w:rsidR="00CA7A5F" w:rsidRPr="00610A1F">
        <w:t>customer</w:t>
      </w:r>
      <w:r w:rsidR="00CA7A5F">
        <w:t>s’</w:t>
      </w:r>
      <w:r w:rsidR="004C01E4" w:rsidRPr="00610A1F">
        <w:t xml:space="preserve"> </w:t>
      </w:r>
      <w:r w:rsidR="00C757DD">
        <w:t xml:space="preserve">5-minute </w:t>
      </w:r>
      <w:r w:rsidR="004C01E4" w:rsidRPr="00610A1F">
        <w:t xml:space="preserve">import </w:t>
      </w:r>
      <w:r w:rsidR="00E878F0">
        <w:t xml:space="preserve">only </w:t>
      </w:r>
      <w:r w:rsidR="004C01E4" w:rsidRPr="00610A1F">
        <w:t>data</w:t>
      </w:r>
      <w:r w:rsidR="008731C2" w:rsidRPr="00610A1F">
        <w:t xml:space="preserve">. </w:t>
      </w:r>
      <w:r w:rsidR="003B0C98" w:rsidRPr="00610A1F">
        <w:t>Previously</w:t>
      </w:r>
      <w:r w:rsidR="001F554A">
        <w:t>,</w:t>
      </w:r>
      <w:r w:rsidR="003B0C98" w:rsidRPr="00610A1F">
        <w:t xml:space="preserve"> we</w:t>
      </w:r>
      <w:r w:rsidR="00E12A91" w:rsidRPr="00610A1F">
        <w:t xml:space="preserve"> used </w:t>
      </w:r>
      <w:r w:rsidR="00B957BB" w:rsidRPr="00610A1F">
        <w:t xml:space="preserve">a profile reflecting </w:t>
      </w:r>
      <w:r w:rsidR="008E3A0D" w:rsidRPr="00610A1F">
        <w:t xml:space="preserve">the balance of </w:t>
      </w:r>
      <w:r w:rsidR="00CA7A5F" w:rsidRPr="00610A1F">
        <w:t>customers</w:t>
      </w:r>
      <w:r w:rsidR="00CA7A5F">
        <w:t>’</w:t>
      </w:r>
      <w:r w:rsidR="008E3A0D" w:rsidRPr="00610A1F">
        <w:t xml:space="preserve"> imports and exports</w:t>
      </w:r>
      <w:r w:rsidR="00327E62" w:rsidRPr="00610A1F">
        <w:t xml:space="preserve"> at the end of each </w:t>
      </w:r>
      <w:r w:rsidR="00CA7A5F">
        <w:t xml:space="preserve">30-minute </w:t>
      </w:r>
      <w:r w:rsidR="00327E62" w:rsidRPr="00610A1F">
        <w:t>interval</w:t>
      </w:r>
      <w:r w:rsidR="00D87CAA" w:rsidRPr="00610A1F">
        <w:t>.</w:t>
      </w:r>
      <w:r w:rsidR="003A7AFC" w:rsidRPr="00610A1F">
        <w:t xml:space="preserve"> </w:t>
      </w:r>
    </w:p>
    <w:p w14:paraId="00969F6A" w14:textId="632D5B5A" w:rsidR="002B6856" w:rsidRDefault="008B66F1" w:rsidP="00396E5D">
      <w:pPr>
        <w:pStyle w:val="Pull-outBullet1"/>
      </w:pPr>
      <w:r w:rsidRPr="008234DF">
        <w:lastRenderedPageBreak/>
        <w:t xml:space="preserve">This </w:t>
      </w:r>
      <w:r w:rsidR="009C4D72" w:rsidRPr="008234DF">
        <w:t>change</w:t>
      </w:r>
      <w:r w:rsidRPr="008234DF">
        <w:t xml:space="preserve"> </w:t>
      </w:r>
      <w:r w:rsidR="008E7DFA">
        <w:t xml:space="preserve">is informed by </w:t>
      </w:r>
      <w:r w:rsidR="00CA7A5F" w:rsidRPr="008234DF">
        <w:t>expert</w:t>
      </w:r>
      <w:r w:rsidR="00F605DD" w:rsidRPr="008234DF">
        <w:t xml:space="preserve"> advice</w:t>
      </w:r>
      <w:r w:rsidR="00196CE1">
        <w:t>, supported by newly available interval metering data</w:t>
      </w:r>
      <w:r w:rsidR="007B59B6">
        <w:t xml:space="preserve"> from the Australian Energy Market Operator</w:t>
      </w:r>
      <w:r w:rsidR="00F605DD" w:rsidRPr="008234DF">
        <w:t xml:space="preserve"> and </w:t>
      </w:r>
      <w:r w:rsidR="008E7DFA">
        <w:t xml:space="preserve">is aligned to </w:t>
      </w:r>
      <w:r w:rsidR="00385875" w:rsidRPr="008234DF">
        <w:t>the approach used by the Australian Energy Regulator in setting Default Market Offer</w:t>
      </w:r>
      <w:r w:rsidR="00C6244B" w:rsidRPr="008234DF">
        <w:t xml:space="preserve"> price</w:t>
      </w:r>
      <w:r w:rsidR="00A34E96" w:rsidRPr="008234DF">
        <w:t>s</w:t>
      </w:r>
      <w:r w:rsidR="00385875" w:rsidRPr="008234DF">
        <w:t xml:space="preserve">. </w:t>
      </w:r>
    </w:p>
    <w:p w14:paraId="0A0199FD" w14:textId="2EF745B6" w:rsidR="00E10EF0" w:rsidRDefault="00E10EF0" w:rsidP="00E10EF0">
      <w:pPr>
        <w:pStyle w:val="Pull-outBullet1"/>
      </w:pPr>
      <w:r w:rsidRPr="00BC2446">
        <w:t xml:space="preserve">Changing to a load only profile reduces the wholesale electricity cost relative to using a balance profile, because it lowers the </w:t>
      </w:r>
      <w:r w:rsidR="005A249B">
        <w:t xml:space="preserve">daily </w:t>
      </w:r>
      <w:r w:rsidRPr="00BC2446">
        <w:t xml:space="preserve">average wholesale electricity price used to set this cost component. The impact of the change to a load only profile has been offset by </w:t>
      </w:r>
      <w:r w:rsidR="00567015">
        <w:t>the inclusion of a wholesale electricity cost of exports and</w:t>
      </w:r>
      <w:r w:rsidRPr="00BC2446">
        <w:t xml:space="preserve"> higher wholesale electricity futures prices compared to our draft decision</w:t>
      </w:r>
      <w:r w:rsidR="00320C4B">
        <w:t>.</w:t>
      </w:r>
    </w:p>
    <w:p w14:paraId="6AFE0F30" w14:textId="5CA8DE10" w:rsidR="00215A41" w:rsidRPr="008234DF" w:rsidRDefault="00CA53B0" w:rsidP="00396E5D">
      <w:pPr>
        <w:pStyle w:val="Pull-outBullet1"/>
      </w:pPr>
      <w:r w:rsidRPr="001E32A2">
        <w:t>O</w:t>
      </w:r>
      <w:r w:rsidR="004C31B7" w:rsidRPr="001E32A2">
        <w:t>verall, o</w:t>
      </w:r>
      <w:r w:rsidRPr="001E32A2">
        <w:t xml:space="preserve">ur </w:t>
      </w:r>
      <w:r w:rsidR="005B0F2E" w:rsidRPr="001E32A2">
        <w:t>final</w:t>
      </w:r>
      <w:r w:rsidRPr="001E32A2">
        <w:t xml:space="preserve"> decision</w:t>
      </w:r>
      <w:r w:rsidR="003A7AFC" w:rsidRPr="001E32A2">
        <w:t xml:space="preserve"> </w:t>
      </w:r>
      <w:r w:rsidRPr="001E32A2">
        <w:t>to change our methodolo</w:t>
      </w:r>
      <w:r w:rsidR="008234DF" w:rsidRPr="001E32A2">
        <w:t>gy</w:t>
      </w:r>
      <w:r w:rsidR="004050B0">
        <w:t>,</w:t>
      </w:r>
      <w:r w:rsidRPr="001E32A2">
        <w:t xml:space="preserve"> </w:t>
      </w:r>
      <w:r w:rsidR="00E016FE">
        <w:t xml:space="preserve">balanced by </w:t>
      </w:r>
      <w:r w:rsidR="00BC644A">
        <w:t xml:space="preserve">the inclusion of a wholesale electricity cost of exports and </w:t>
      </w:r>
      <w:r w:rsidR="00E016FE">
        <w:t>higher wholesale future contract prices</w:t>
      </w:r>
      <w:r w:rsidR="00372647">
        <w:t>,</w:t>
      </w:r>
      <w:r w:rsidR="00E016FE">
        <w:t xml:space="preserve"> </w:t>
      </w:r>
      <w:r w:rsidR="00FD4F01" w:rsidRPr="001E32A2">
        <w:t xml:space="preserve">has </w:t>
      </w:r>
      <w:r w:rsidR="00E016FE">
        <w:t>led</w:t>
      </w:r>
      <w:r w:rsidR="00E016FE" w:rsidRPr="001E32A2">
        <w:t xml:space="preserve"> </w:t>
      </w:r>
      <w:r w:rsidR="00FD4F01" w:rsidRPr="001E32A2">
        <w:t xml:space="preserve">to </w:t>
      </w:r>
      <w:r w:rsidR="00C05EF8">
        <w:t>slightly higher</w:t>
      </w:r>
      <w:r w:rsidR="00FD4F01" w:rsidRPr="003B0373">
        <w:t xml:space="preserve"> forecast wholesale electricity costs </w:t>
      </w:r>
      <w:r w:rsidR="00D67B38" w:rsidRPr="003B0373">
        <w:t xml:space="preserve">for </w:t>
      </w:r>
      <w:r w:rsidR="00303889" w:rsidRPr="003B0373">
        <w:t>domestic</w:t>
      </w:r>
      <w:r w:rsidR="00D67B38" w:rsidRPr="003B0373">
        <w:t xml:space="preserve"> </w:t>
      </w:r>
      <w:r w:rsidR="00F64021" w:rsidRPr="003B0373">
        <w:t>customers</w:t>
      </w:r>
      <w:r w:rsidR="00EA063D">
        <w:t xml:space="preserve"> in 2025</w:t>
      </w:r>
      <w:r w:rsidR="00A27CC8">
        <w:t>–26</w:t>
      </w:r>
      <w:r w:rsidR="00CA07AB" w:rsidRPr="003B0373">
        <w:t>.</w:t>
      </w:r>
      <w:r w:rsidR="00CA07AB" w:rsidRPr="004C2DA0">
        <w:t xml:space="preserve"> </w:t>
      </w:r>
      <w:r w:rsidR="00CA07AB" w:rsidRPr="003B0373">
        <w:t>Howe</w:t>
      </w:r>
      <w:r w:rsidR="0066646B" w:rsidRPr="003B0373">
        <w:t>ver</w:t>
      </w:r>
      <w:r w:rsidR="00282E9E" w:rsidRPr="003B0373">
        <w:t>,</w:t>
      </w:r>
      <w:r w:rsidR="0066646B" w:rsidRPr="003B0373">
        <w:t xml:space="preserve"> wholesale electr</w:t>
      </w:r>
      <w:r w:rsidRPr="003B0373">
        <w:t>i</w:t>
      </w:r>
      <w:r w:rsidR="0066646B" w:rsidRPr="003B0373">
        <w:t>city movements vary across distribution zones</w:t>
      </w:r>
      <w:r w:rsidR="00FF2174">
        <w:t xml:space="preserve">, some areas of Victoria </w:t>
      </w:r>
      <w:r w:rsidR="000C09A6">
        <w:t>see lower wholesale electricity costs</w:t>
      </w:r>
      <w:r w:rsidR="00B73397" w:rsidRPr="003B0373">
        <w:t>. This is</w:t>
      </w:r>
      <w:r w:rsidR="0066646B" w:rsidRPr="003B0373" w:rsidDel="00B73397">
        <w:t xml:space="preserve"> </w:t>
      </w:r>
      <w:r w:rsidR="00B73397" w:rsidRPr="003B0373">
        <w:t xml:space="preserve">because </w:t>
      </w:r>
      <w:r w:rsidR="0066646B" w:rsidRPr="003B0373">
        <w:t xml:space="preserve">the impact of removing solar exports from the load profile </w:t>
      </w:r>
      <w:r w:rsidR="000805D1" w:rsidRPr="003B0373">
        <w:t xml:space="preserve">used to calculate wholesale </w:t>
      </w:r>
      <w:r w:rsidR="00900F98" w:rsidRPr="003B0373">
        <w:t>electricity</w:t>
      </w:r>
      <w:r w:rsidR="000805D1" w:rsidRPr="003B0373">
        <w:t xml:space="preserve"> costs </w:t>
      </w:r>
      <w:r w:rsidR="0066646B" w:rsidRPr="003B0373">
        <w:t>i</w:t>
      </w:r>
      <w:r w:rsidR="000E36CC" w:rsidRPr="003B0373">
        <w:t>s</w:t>
      </w:r>
      <w:r w:rsidR="0066646B" w:rsidRPr="004C2DA0">
        <w:t xml:space="preserve"> </w:t>
      </w:r>
      <w:r w:rsidR="0066646B" w:rsidRPr="003B0373">
        <w:t>more pronounced</w:t>
      </w:r>
      <w:r w:rsidR="00627FAD" w:rsidRPr="003B0373">
        <w:t xml:space="preserve"> </w:t>
      </w:r>
      <w:r w:rsidR="0066646B" w:rsidRPr="003B0373">
        <w:t xml:space="preserve">in zones with </w:t>
      </w:r>
      <w:r w:rsidR="00627FAD" w:rsidRPr="003B0373">
        <w:t xml:space="preserve">higher solar </w:t>
      </w:r>
      <w:r w:rsidR="004C2DA0" w:rsidRPr="003B0373">
        <w:t>uptake</w:t>
      </w:r>
      <w:r w:rsidR="006D41F3" w:rsidRPr="003B0373">
        <w:t xml:space="preserve">, </w:t>
      </w:r>
      <w:r w:rsidR="00F46DF1" w:rsidRPr="003B0373">
        <w:t xml:space="preserve">such as </w:t>
      </w:r>
      <w:r w:rsidR="002A3E11">
        <w:t xml:space="preserve">the </w:t>
      </w:r>
      <w:r w:rsidR="008234DF" w:rsidRPr="007B5176">
        <w:t>Powercor and AusNet</w:t>
      </w:r>
      <w:r w:rsidR="002A3E11">
        <w:t xml:space="preserve"> areas</w:t>
      </w:r>
      <w:r w:rsidR="00FD4F01" w:rsidRPr="008234DF">
        <w:t xml:space="preserve">. </w:t>
      </w:r>
    </w:p>
    <w:p w14:paraId="3592F7BA" w14:textId="3EDED0C4" w:rsidR="00192D5C" w:rsidRPr="00603A25" w:rsidRDefault="00192D5C" w:rsidP="00396E5D">
      <w:pPr>
        <w:pStyle w:val="Pull-outBullet1"/>
      </w:pPr>
      <w:r>
        <w:t xml:space="preserve">For </w:t>
      </w:r>
      <w:r w:rsidR="00785BD5">
        <w:t>representative</w:t>
      </w:r>
      <w:r>
        <w:t xml:space="preserve"> average </w:t>
      </w:r>
      <w:r w:rsidRPr="000714B2">
        <w:t>domestic customers on the flat tariff Victorian Default Offer</w:t>
      </w:r>
      <w:r w:rsidR="004436EA" w:rsidRPr="000714B2">
        <w:t>,</w:t>
      </w:r>
      <w:r w:rsidRPr="000714B2">
        <w:t xml:space="preserve"> wholesale electricity </w:t>
      </w:r>
      <w:r w:rsidRPr="00603A25">
        <w:t>costs are $</w:t>
      </w:r>
      <w:r w:rsidR="00162B1F" w:rsidRPr="00603A25">
        <w:t>9</w:t>
      </w:r>
      <w:r w:rsidRPr="00603A25">
        <w:t xml:space="preserve"> (or </w:t>
      </w:r>
      <w:r w:rsidR="007429A0" w:rsidRPr="00603A25">
        <w:t xml:space="preserve">two </w:t>
      </w:r>
      <w:r w:rsidRPr="00603A25">
        <w:t xml:space="preserve">per cent) </w:t>
      </w:r>
      <w:r w:rsidR="00600BA0" w:rsidRPr="00603A25">
        <w:t>high</w:t>
      </w:r>
      <w:r w:rsidR="00022821" w:rsidRPr="00603A25">
        <w:t xml:space="preserve">er </w:t>
      </w:r>
      <w:r w:rsidRPr="00603A25">
        <w:t>in the total annual bill</w:t>
      </w:r>
      <w:r w:rsidR="00551D58" w:rsidRPr="00603A25">
        <w:t xml:space="preserve"> for</w:t>
      </w:r>
      <w:r w:rsidR="00551D58" w:rsidRPr="00603A25" w:rsidDel="00CB710E">
        <w:t xml:space="preserve"> </w:t>
      </w:r>
      <w:r w:rsidR="004173FA" w:rsidRPr="00603A25">
        <w:t>‍</w:t>
      </w:r>
      <w:r w:rsidR="00A07E48" w:rsidRPr="00603A25">
        <w:t>2025</w:t>
      </w:r>
      <w:r w:rsidR="001722A5" w:rsidRPr="00603A25">
        <w:t>–</w:t>
      </w:r>
      <w:r w:rsidR="004173FA" w:rsidRPr="00603A25">
        <w:t>‍</w:t>
      </w:r>
      <w:r w:rsidR="00A07E48" w:rsidRPr="00603A25">
        <w:t>26</w:t>
      </w:r>
      <w:r w:rsidR="004173FA" w:rsidRPr="00603A25">
        <w:t>‍</w:t>
      </w:r>
      <w:r w:rsidR="00A07E48" w:rsidRPr="00603A25">
        <w:t xml:space="preserve"> </w:t>
      </w:r>
      <w:r w:rsidR="004003A2" w:rsidRPr="00603A25">
        <w:t>compared to 2024</w:t>
      </w:r>
      <w:r w:rsidR="004173FA" w:rsidRPr="00603A25">
        <w:t>–</w:t>
      </w:r>
      <w:r w:rsidR="004003A2" w:rsidRPr="00603A25">
        <w:t>25</w:t>
      </w:r>
      <w:r w:rsidRPr="00603A25">
        <w:t>.</w:t>
      </w:r>
      <w:r w:rsidR="000A5110" w:rsidRPr="00603A25">
        <w:t xml:space="preserve"> </w:t>
      </w:r>
    </w:p>
    <w:p w14:paraId="6873E573" w14:textId="58A0CB82" w:rsidR="007C51E7" w:rsidRPr="00603A25" w:rsidRDefault="007239E7" w:rsidP="00396E5D">
      <w:pPr>
        <w:pStyle w:val="Pull-outBullet1"/>
      </w:pPr>
      <w:r w:rsidRPr="00603A25">
        <w:t>For domestic customers, w</w:t>
      </w:r>
      <w:r w:rsidR="007C51E7" w:rsidRPr="00603A25">
        <w:t>holesale electricity costs are $</w:t>
      </w:r>
      <w:r w:rsidR="004C3EE0" w:rsidRPr="00603A25">
        <w:t>501</w:t>
      </w:r>
      <w:r w:rsidR="007C51E7" w:rsidRPr="00603A25">
        <w:t xml:space="preserve"> </w:t>
      </w:r>
      <w:r w:rsidR="00BC6EF4" w:rsidRPr="00603A25">
        <w:t>and</w:t>
      </w:r>
      <w:r w:rsidR="007C51E7" w:rsidRPr="00603A25">
        <w:t xml:space="preserve"> make up around </w:t>
      </w:r>
      <w:r w:rsidR="00450605" w:rsidRPr="00603A25">
        <w:t>30</w:t>
      </w:r>
      <w:r w:rsidR="007C51E7" w:rsidRPr="00603A25">
        <w:t xml:space="preserve"> per cent of a</w:t>
      </w:r>
      <w:r w:rsidR="007C51E7" w:rsidRPr="00603A25" w:rsidDel="007239E7">
        <w:t xml:space="preserve"> </w:t>
      </w:r>
      <w:r w:rsidR="00785BD5" w:rsidRPr="00603A25">
        <w:t>representative</w:t>
      </w:r>
      <w:r w:rsidR="00141E66" w:rsidRPr="00603A25">
        <w:t xml:space="preserve"> </w:t>
      </w:r>
      <w:r w:rsidR="007C51E7" w:rsidRPr="00603A25">
        <w:t xml:space="preserve">annual flat tariff bill (averaged across the five distribution </w:t>
      </w:r>
      <w:r w:rsidR="007C51E7" w:rsidRPr="00603A25" w:rsidDel="005D3EAE">
        <w:t>zones</w:t>
      </w:r>
      <w:r w:rsidR="005D3EAE" w:rsidRPr="00603A25">
        <w:t xml:space="preserve"> and</w:t>
      </w:r>
      <w:r w:rsidR="00B27D58" w:rsidRPr="00603A25">
        <w:t xml:space="preserve"> based on </w:t>
      </w:r>
      <w:r w:rsidR="002879ED" w:rsidRPr="00603A25">
        <w:t>4</w:t>
      </w:r>
      <w:r w:rsidR="00C9200F" w:rsidRPr="00603A25">
        <w:t>,</w:t>
      </w:r>
      <w:r w:rsidR="002879ED" w:rsidRPr="00603A25">
        <w:t>000 kWh</w:t>
      </w:r>
      <w:r w:rsidR="00B23B42" w:rsidRPr="00603A25">
        <w:t xml:space="preserve"> annual consumption</w:t>
      </w:r>
      <w:r w:rsidR="007C51E7" w:rsidRPr="00603A25">
        <w:t>).</w:t>
      </w:r>
    </w:p>
    <w:p w14:paraId="0B3A8F48" w14:textId="66AF5234" w:rsidR="006B06C5" w:rsidRPr="00603A25" w:rsidRDefault="00192D5C" w:rsidP="00396E5D">
      <w:pPr>
        <w:pStyle w:val="Pull-outBullet1"/>
      </w:pPr>
      <w:r w:rsidRPr="00603A25">
        <w:t xml:space="preserve">For </w:t>
      </w:r>
      <w:r w:rsidR="00785BD5" w:rsidRPr="00603A25">
        <w:t>representative</w:t>
      </w:r>
      <w:r w:rsidRPr="00603A25">
        <w:t xml:space="preserve"> average small business customers on the flat tariff Victorian Default Offer</w:t>
      </w:r>
      <w:r w:rsidR="00C039D5" w:rsidRPr="00603A25">
        <w:t>,</w:t>
      </w:r>
      <w:r w:rsidRPr="00603A25">
        <w:t xml:space="preserve"> wholesale electricity costs </w:t>
      </w:r>
      <w:r w:rsidR="003C3446" w:rsidRPr="00603A25">
        <w:t>are</w:t>
      </w:r>
      <w:r w:rsidRPr="00603A25">
        <w:t xml:space="preserve"> </w:t>
      </w:r>
      <w:r w:rsidR="00E57E08" w:rsidRPr="00603A25">
        <w:t>$</w:t>
      </w:r>
      <w:r w:rsidR="002442DB" w:rsidRPr="00603A25">
        <w:t>9</w:t>
      </w:r>
      <w:r w:rsidR="00D96039" w:rsidRPr="00603A25">
        <w:t>7</w:t>
      </w:r>
      <w:r w:rsidRPr="00603A25">
        <w:t xml:space="preserve"> (or </w:t>
      </w:r>
      <w:r w:rsidR="00A42C42">
        <w:t>10</w:t>
      </w:r>
      <w:r w:rsidR="001A525F" w:rsidRPr="00603A25">
        <w:t xml:space="preserve"> </w:t>
      </w:r>
      <w:r w:rsidRPr="00603A25">
        <w:t>per</w:t>
      </w:r>
      <w:r w:rsidR="00E57E08" w:rsidRPr="00603A25">
        <w:t xml:space="preserve"> </w:t>
      </w:r>
      <w:r w:rsidRPr="00603A25">
        <w:t>cent)</w:t>
      </w:r>
      <w:r w:rsidR="00E57E08" w:rsidRPr="00603A25">
        <w:t xml:space="preserve"> higher</w:t>
      </w:r>
      <w:r w:rsidRPr="00603A25">
        <w:t xml:space="preserve"> in the total annual bill</w:t>
      </w:r>
      <w:r w:rsidR="00551D58" w:rsidRPr="00603A25">
        <w:t xml:space="preserve"> for 2025–26</w:t>
      </w:r>
      <w:r w:rsidR="00E57E08" w:rsidRPr="00603A25">
        <w:t xml:space="preserve"> compared to 2024–25</w:t>
      </w:r>
      <w:r w:rsidRPr="00603A25">
        <w:t>.</w:t>
      </w:r>
      <w:r w:rsidR="00864D41" w:rsidRPr="00603A25">
        <w:t xml:space="preserve"> </w:t>
      </w:r>
    </w:p>
    <w:p w14:paraId="6236784E" w14:textId="667D2724" w:rsidR="00192D5C" w:rsidRDefault="002128FD" w:rsidP="00396E5D">
      <w:pPr>
        <w:pStyle w:val="Pull-outBullet1"/>
      </w:pPr>
      <w:r w:rsidRPr="00603A25">
        <w:t>For small businesses, w</w:t>
      </w:r>
      <w:r w:rsidR="00627F92" w:rsidRPr="00603A25">
        <w:t>holesale electricity</w:t>
      </w:r>
      <w:r w:rsidR="00627F92" w:rsidRPr="00603A25" w:rsidDel="0043613C">
        <w:t xml:space="preserve"> </w:t>
      </w:r>
      <w:r w:rsidR="00627F92" w:rsidRPr="00603A25">
        <w:t xml:space="preserve">costs </w:t>
      </w:r>
      <w:r w:rsidR="00141E66" w:rsidRPr="00603A25">
        <w:t>are $</w:t>
      </w:r>
      <w:r w:rsidR="002229CF" w:rsidRPr="00603A25">
        <w:t>1</w:t>
      </w:r>
      <w:r w:rsidR="0043331A" w:rsidRPr="00603A25">
        <w:t>,</w:t>
      </w:r>
      <w:r w:rsidR="00B77843" w:rsidRPr="00603A25">
        <w:t>0</w:t>
      </w:r>
      <w:r w:rsidR="00EB6B97" w:rsidRPr="00603A25">
        <w:t>8</w:t>
      </w:r>
      <w:r w:rsidR="00B77843" w:rsidRPr="00603A25">
        <w:t>4</w:t>
      </w:r>
      <w:r w:rsidR="00141E66" w:rsidRPr="00603A25">
        <w:t xml:space="preserve"> </w:t>
      </w:r>
      <w:r w:rsidR="00347CE9" w:rsidRPr="00603A25">
        <w:t>and</w:t>
      </w:r>
      <w:r w:rsidR="00141E66" w:rsidRPr="00603A25">
        <w:t xml:space="preserve"> make up around </w:t>
      </w:r>
      <w:r w:rsidR="00C709F0" w:rsidRPr="00603A25">
        <w:t>30</w:t>
      </w:r>
      <w:r w:rsidR="0043132E" w:rsidRPr="00603A25">
        <w:t xml:space="preserve"> </w:t>
      </w:r>
      <w:r w:rsidR="00141E66" w:rsidRPr="00603A25">
        <w:t>per cent of a</w:t>
      </w:r>
      <w:r w:rsidR="00141E66" w:rsidRPr="00603A25" w:rsidDel="00B548D6">
        <w:t xml:space="preserve"> </w:t>
      </w:r>
      <w:r w:rsidR="00785BD5" w:rsidRPr="00603A25">
        <w:t>representative</w:t>
      </w:r>
      <w:r w:rsidR="00141E66" w:rsidRPr="00603A25">
        <w:t xml:space="preserve"> annual small business flat tariff bill (averaged across the five distribution zones</w:t>
      </w:r>
      <w:r w:rsidR="00B548D6" w:rsidRPr="00603A25">
        <w:t xml:space="preserve"> and based on </w:t>
      </w:r>
      <w:r w:rsidR="002879ED" w:rsidRPr="00603A25">
        <w:t>10</w:t>
      </w:r>
      <w:r w:rsidR="00C9200F" w:rsidRPr="00603A25">
        <w:t>,</w:t>
      </w:r>
      <w:r w:rsidR="002879ED" w:rsidRPr="00603A25">
        <w:t>000 kWh</w:t>
      </w:r>
      <w:r w:rsidR="00B548D6" w:rsidRPr="00603A25">
        <w:t xml:space="preserve"> </w:t>
      </w:r>
      <w:r w:rsidR="00DA1E35" w:rsidRPr="00603A25">
        <w:t xml:space="preserve">annual </w:t>
      </w:r>
      <w:r w:rsidR="00B548D6" w:rsidRPr="00603A25">
        <w:t>consumption</w:t>
      </w:r>
      <w:r w:rsidR="00141E66" w:rsidRPr="00603A25">
        <w:t>)</w:t>
      </w:r>
      <w:r w:rsidR="00041447" w:rsidRPr="00603A25">
        <w:t>.</w:t>
      </w:r>
    </w:p>
    <w:p w14:paraId="0B3EE99C" w14:textId="3276AA1B" w:rsidR="000D0FA1" w:rsidRPr="00603A25" w:rsidRDefault="00B362C1" w:rsidP="00396E5D">
      <w:pPr>
        <w:pStyle w:val="Pull-outBullet1"/>
      </w:pPr>
      <w:r>
        <w:t>T</w:t>
      </w:r>
      <w:r w:rsidR="00F2704F">
        <w:t>he wholesale electricity cost component</w:t>
      </w:r>
      <w:r>
        <w:t xml:space="preserve"> in our final decision is </w:t>
      </w:r>
      <w:r w:rsidR="000D0FA1" w:rsidRPr="00D130F3">
        <w:t xml:space="preserve">slightly higher than estimated in our draft decision. This is </w:t>
      </w:r>
      <w:r w:rsidR="00686878">
        <w:t xml:space="preserve">mainly </w:t>
      </w:r>
      <w:r w:rsidR="000D0FA1" w:rsidRPr="00D130F3">
        <w:t>due to increases in wholesale</w:t>
      </w:r>
      <w:r w:rsidR="000D0FA1">
        <w:t xml:space="preserve"> future contract prices between our draft and final </w:t>
      </w:r>
      <w:r w:rsidR="000D0FA1" w:rsidRPr="00D130F3">
        <w:t>decision</w:t>
      </w:r>
      <w:r w:rsidR="000D0FA1">
        <w:t xml:space="preserve">. We use two volume weighted future contract types, base swaps and base caps, and update these inputs to best reflect the future wholesale electricity cost to a retailer. Compared to our draft decision base swap contracts have increased by </w:t>
      </w:r>
      <w:r w:rsidR="0016647B">
        <w:t>four</w:t>
      </w:r>
      <w:r w:rsidR="000D0FA1">
        <w:t xml:space="preserve"> per cent and base caps by </w:t>
      </w:r>
      <w:r w:rsidR="0016647B">
        <w:t>10</w:t>
      </w:r>
      <w:r w:rsidR="000D0FA1">
        <w:t xml:space="preserve"> per cent on average across all quarters</w:t>
      </w:r>
      <w:r w:rsidR="00686878">
        <w:t>.</w:t>
      </w:r>
    </w:p>
    <w:p w14:paraId="594BDD70" w14:textId="406B3685" w:rsidR="00674273" w:rsidRPr="00603A25" w:rsidRDefault="006B7E22" w:rsidP="006B7E22">
      <w:bookmarkStart w:id="59" w:name="_Toc191027366"/>
      <w:r w:rsidRPr="00603A25">
        <w:lastRenderedPageBreak/>
        <w:t>The pricing order requires that we have regard to</w:t>
      </w:r>
      <w:r w:rsidR="00BD6CC2" w:rsidRPr="00603A25">
        <w:t xml:space="preserve"> </w:t>
      </w:r>
      <w:r w:rsidR="000D4116" w:rsidRPr="00603A25">
        <w:rPr>
          <w:b/>
        </w:rPr>
        <w:t xml:space="preserve">wholesale </w:t>
      </w:r>
      <w:r w:rsidR="00142270" w:rsidRPr="00603A25">
        <w:rPr>
          <w:b/>
          <w:bCs/>
        </w:rPr>
        <w:t>electr</w:t>
      </w:r>
      <w:r w:rsidR="0020646C" w:rsidRPr="00603A25">
        <w:rPr>
          <w:b/>
          <w:bCs/>
        </w:rPr>
        <w:t>i</w:t>
      </w:r>
      <w:r w:rsidR="00142270" w:rsidRPr="00603A25">
        <w:rPr>
          <w:b/>
          <w:bCs/>
        </w:rPr>
        <w:t xml:space="preserve">city </w:t>
      </w:r>
      <w:r w:rsidR="000D4116" w:rsidRPr="00603A25">
        <w:rPr>
          <w:b/>
        </w:rPr>
        <w:t>costs</w:t>
      </w:r>
      <w:r w:rsidR="000D4116" w:rsidRPr="00603A25">
        <w:t xml:space="preserve"> </w:t>
      </w:r>
      <w:r w:rsidR="004F2FBC" w:rsidRPr="00603A25">
        <w:t>in estimating the efficient costs of electricity retailers</w:t>
      </w:r>
      <w:r w:rsidRPr="00603A25">
        <w:t>.</w:t>
      </w:r>
      <w:r w:rsidRPr="00603A25">
        <w:rPr>
          <w:rStyle w:val="FootnoteReference"/>
        </w:rPr>
        <w:footnoteReference w:id="40"/>
      </w:r>
      <w:r w:rsidRPr="00603A25">
        <w:t xml:space="preserve"> </w:t>
      </w:r>
    </w:p>
    <w:p w14:paraId="5BEFDDAE" w14:textId="4A435BC2" w:rsidR="00B860D8" w:rsidRPr="00603A25" w:rsidRDefault="00B860D8" w:rsidP="00B860D8">
      <w:r w:rsidRPr="00603A25">
        <w:t xml:space="preserve">Retailers </w:t>
      </w:r>
      <w:r w:rsidR="007E30B8" w:rsidRPr="00603A25">
        <w:t>incur</w:t>
      </w:r>
      <w:r w:rsidRPr="00603A25">
        <w:t xml:space="preserve"> wholesale electricity costs when they purchase electricity from the wholesale market to supply </w:t>
      </w:r>
      <w:r w:rsidR="00BC2B64" w:rsidRPr="00603A25">
        <w:t xml:space="preserve">to </w:t>
      </w:r>
      <w:r w:rsidRPr="00603A25">
        <w:t>their customers. In the wholesale electricity market, generators bid to have their electricity sent to the grid and retailers buy electricity to meet their customers</w:t>
      </w:r>
      <w:r w:rsidR="00E45773" w:rsidRPr="00603A25">
        <w:t>’</w:t>
      </w:r>
      <w:r w:rsidRPr="00603A25">
        <w:t xml:space="preserve"> demand</w:t>
      </w:r>
      <w:r w:rsidR="00437F26" w:rsidRPr="00603A25">
        <w:t>s</w:t>
      </w:r>
      <w:r w:rsidR="001D773F" w:rsidRPr="00603A25">
        <w:t>. Electricity prices are reset through this bidding every five minutes and can fluctuate markedly</w:t>
      </w:r>
      <w:r w:rsidRPr="00603A25">
        <w:t xml:space="preserve">. Buying electricity from the wholesale electricity spot market exposes retailers to the risk that electricity prices may be high when they need to purchase electricity. </w:t>
      </w:r>
    </w:p>
    <w:p w14:paraId="17B63884" w14:textId="4F5A846A" w:rsidR="00BC2B64" w:rsidRPr="00603A25" w:rsidRDefault="00BC2B64" w:rsidP="00B860D8">
      <w:r w:rsidRPr="00603A25">
        <w:t xml:space="preserve">Futures markets allow retailers to engage in hedging as a way of managing this risk. When a retailer hedges its wholesale electricity spot risk, the price it pays for electricity can be set, capped, or offset in advance. </w:t>
      </w:r>
      <w:r w:rsidRPr="00603A25" w:rsidDel="000F364B">
        <w:t xml:space="preserve">There are </w:t>
      </w:r>
      <w:r w:rsidRPr="00603A25">
        <w:t>many ways</w:t>
      </w:r>
      <w:r w:rsidRPr="00603A25" w:rsidDel="000F364B">
        <w:t xml:space="preserve"> retailers can hedge their risk</w:t>
      </w:r>
      <w:r w:rsidRPr="00603A25">
        <w:t xml:space="preserve"> including by contracting directly with a generator, through a financial market transaction on ASX Energy, or with another financial intermediary.</w:t>
      </w:r>
    </w:p>
    <w:p w14:paraId="4CDF3F24" w14:textId="4D7B73DB" w:rsidR="0078665A" w:rsidRPr="00603A25" w:rsidRDefault="0078665A" w:rsidP="0078665A">
      <w:pPr>
        <w:pStyle w:val="Heading3"/>
      </w:pPr>
      <w:r w:rsidRPr="00603A25">
        <w:t xml:space="preserve">Our </w:t>
      </w:r>
      <w:r w:rsidR="005B0F2E" w:rsidRPr="00603A25">
        <w:t>final</w:t>
      </w:r>
      <w:r w:rsidRPr="00603A25">
        <w:t xml:space="preserve"> decision </w:t>
      </w:r>
      <w:r w:rsidR="007B7D88" w:rsidRPr="00603A25">
        <w:t>retain</w:t>
      </w:r>
      <w:r w:rsidR="00464376" w:rsidRPr="00603A25">
        <w:t>s</w:t>
      </w:r>
      <w:r w:rsidR="007B7D88" w:rsidRPr="00603A25">
        <w:t xml:space="preserve"> </w:t>
      </w:r>
      <w:r w:rsidRPr="00603A25">
        <w:t xml:space="preserve">a futures market approach </w:t>
      </w:r>
    </w:p>
    <w:p w14:paraId="2B861541" w14:textId="6891AC25" w:rsidR="0078665A" w:rsidRPr="00603A25" w:rsidRDefault="007B7D88" w:rsidP="0078665A">
      <w:r w:rsidRPr="00603A25">
        <w:t>A</w:t>
      </w:r>
      <w:r w:rsidR="0078665A" w:rsidRPr="00603A25">
        <w:t xml:space="preserve"> futures market</w:t>
      </w:r>
      <w:r w:rsidR="00FC74F0" w:rsidRPr="00603A25">
        <w:t>-based</w:t>
      </w:r>
      <w:r w:rsidR="0078665A" w:rsidRPr="00603A25">
        <w:t xml:space="preserve"> approach </w:t>
      </w:r>
      <w:r w:rsidR="00B57E75" w:rsidRPr="00603A25">
        <w:t xml:space="preserve">forecasts wholesale electricity costs by reference to </w:t>
      </w:r>
      <w:r w:rsidR="0078665A" w:rsidRPr="00603A25">
        <w:t xml:space="preserve">the costs a retailer faces in supplying electricity to their customers using financial hedging products. We </w:t>
      </w:r>
      <w:r w:rsidR="00106E96" w:rsidRPr="00603A25">
        <w:t>use</w:t>
      </w:r>
      <w:r w:rsidR="00660BD9" w:rsidRPr="00603A25">
        <w:t xml:space="preserve"> </w:t>
      </w:r>
      <w:r w:rsidR="0078665A" w:rsidRPr="00603A25">
        <w:t xml:space="preserve">this </w:t>
      </w:r>
      <w:r w:rsidR="00106E96" w:rsidRPr="00603A25">
        <w:t>a</w:t>
      </w:r>
      <w:r w:rsidR="001467CB" w:rsidRPr="00603A25">
        <w:t>pproa</w:t>
      </w:r>
      <w:r w:rsidR="0078665A" w:rsidRPr="00603A25">
        <w:t xml:space="preserve">ch </w:t>
      </w:r>
      <w:r w:rsidR="00E07AF7" w:rsidRPr="00603A25">
        <w:t xml:space="preserve">in setting the Victorian Default Offer </w:t>
      </w:r>
      <w:r w:rsidR="001467CB" w:rsidRPr="00603A25">
        <w:t xml:space="preserve">because </w:t>
      </w:r>
      <w:r w:rsidR="005A016B" w:rsidRPr="00603A25">
        <w:t xml:space="preserve">hedging </w:t>
      </w:r>
      <w:r w:rsidR="00774033" w:rsidRPr="00603A25">
        <w:t>reflects</w:t>
      </w:r>
      <w:r w:rsidR="00BE7CA3" w:rsidRPr="00603A25">
        <w:t xml:space="preserve"> how </w:t>
      </w:r>
      <w:r w:rsidR="0023614D" w:rsidRPr="00603A25">
        <w:t xml:space="preserve">a prudent </w:t>
      </w:r>
      <w:r w:rsidR="00F007CE" w:rsidRPr="00603A25">
        <w:t>retailer</w:t>
      </w:r>
      <w:r w:rsidR="00BE7CA3" w:rsidRPr="00603A25">
        <w:t xml:space="preserve"> would limit</w:t>
      </w:r>
      <w:r w:rsidR="00D00421" w:rsidRPr="00603A25">
        <w:t xml:space="preserve"> exposure to high </w:t>
      </w:r>
      <w:r w:rsidR="00BC06B6" w:rsidRPr="00603A25">
        <w:t>wholesale electr</w:t>
      </w:r>
      <w:r w:rsidR="0023614D" w:rsidRPr="00603A25">
        <w:t>i</w:t>
      </w:r>
      <w:r w:rsidR="00BC06B6" w:rsidRPr="00603A25">
        <w:t xml:space="preserve">city </w:t>
      </w:r>
      <w:r w:rsidR="00D00421" w:rsidRPr="00603A25">
        <w:t>spot prices</w:t>
      </w:r>
      <w:r w:rsidR="00BE7CA3" w:rsidRPr="00603A25">
        <w:t xml:space="preserve"> and ensure </w:t>
      </w:r>
      <w:r w:rsidR="00AD493A" w:rsidRPr="00603A25">
        <w:t xml:space="preserve">its </w:t>
      </w:r>
      <w:r w:rsidR="00106E96" w:rsidRPr="00603A25">
        <w:t>wholesale electr</w:t>
      </w:r>
      <w:r w:rsidR="0023614D" w:rsidRPr="00603A25">
        <w:t>i</w:t>
      </w:r>
      <w:r w:rsidR="00106E96" w:rsidRPr="00603A25">
        <w:t>city</w:t>
      </w:r>
      <w:r w:rsidR="0023614D" w:rsidRPr="00603A25">
        <w:t xml:space="preserve"> costs</w:t>
      </w:r>
      <w:r w:rsidR="00AD493A" w:rsidRPr="00603A25">
        <w:t xml:space="preserve"> are efficient</w:t>
      </w:r>
      <w:r w:rsidR="00E9713C" w:rsidRPr="00603A25">
        <w:t>.</w:t>
      </w:r>
      <w:r w:rsidR="00106E96" w:rsidRPr="00603A25">
        <w:t xml:space="preserve"> </w:t>
      </w:r>
      <w:r w:rsidR="00660BD9" w:rsidRPr="00603A25">
        <w:t xml:space="preserve"> </w:t>
      </w:r>
      <w:r w:rsidR="00D00421" w:rsidRPr="00603A25">
        <w:t xml:space="preserve"> </w:t>
      </w:r>
      <w:r w:rsidR="00F007CE" w:rsidRPr="00603A25">
        <w:t xml:space="preserve"> </w:t>
      </w:r>
      <w:r w:rsidR="0078665A" w:rsidRPr="00603A25">
        <w:t xml:space="preserve"> </w:t>
      </w:r>
    </w:p>
    <w:p w14:paraId="2F8D553D" w14:textId="1729695F" w:rsidR="006B7E22" w:rsidRPr="00603A25" w:rsidRDefault="006B7E22" w:rsidP="006B7E22">
      <w:pPr>
        <w:pStyle w:val="Heading3"/>
      </w:pPr>
      <w:bookmarkStart w:id="60" w:name="_Ref192605383"/>
      <w:r w:rsidRPr="00603A25" w:rsidDel="006C0D06">
        <w:t xml:space="preserve">Our </w:t>
      </w:r>
      <w:r w:rsidR="005B0F2E" w:rsidRPr="00603A25">
        <w:t>final</w:t>
      </w:r>
      <w:r w:rsidRPr="00603A25" w:rsidDel="006C0D06">
        <w:t xml:space="preserve"> decision </w:t>
      </w:r>
      <w:bookmarkStart w:id="61" w:name="_Toc160817015"/>
      <w:bookmarkStart w:id="62" w:name="_Toc191027364"/>
      <w:bookmarkStart w:id="63" w:name="_Toc191638289"/>
      <w:r w:rsidR="0028027B" w:rsidRPr="00603A25">
        <w:t>is to</w:t>
      </w:r>
      <w:r w:rsidR="008E0570" w:rsidRPr="00603A25">
        <w:t xml:space="preserve"> change</w:t>
      </w:r>
      <w:r w:rsidR="001F45AB" w:rsidRPr="00603A25">
        <w:t xml:space="preserve"> </w:t>
      </w:r>
      <w:r w:rsidR="00712F13" w:rsidRPr="00603A25">
        <w:t xml:space="preserve">our methodology </w:t>
      </w:r>
      <w:r w:rsidR="001F45AB" w:rsidRPr="00603A25">
        <w:t xml:space="preserve">for </w:t>
      </w:r>
      <w:r w:rsidR="00606CAE" w:rsidRPr="00603A25">
        <w:t xml:space="preserve">estimating customers’ load </w:t>
      </w:r>
      <w:bookmarkEnd w:id="61"/>
      <w:bookmarkEnd w:id="62"/>
      <w:bookmarkEnd w:id="63"/>
      <w:r w:rsidR="00606CAE" w:rsidRPr="00603A25">
        <w:t>profiles</w:t>
      </w:r>
      <w:bookmarkEnd w:id="60"/>
    </w:p>
    <w:p w14:paraId="00218574" w14:textId="77777777" w:rsidR="00E65F21" w:rsidRPr="00603A25" w:rsidRDefault="00120B31" w:rsidP="00874AEB">
      <w:r w:rsidRPr="00603A25">
        <w:t>A key input into forecasting annual wholesale electr</w:t>
      </w:r>
      <w:r w:rsidR="00437F26" w:rsidRPr="00603A25">
        <w:t>i</w:t>
      </w:r>
      <w:r w:rsidRPr="00603A25">
        <w:t xml:space="preserve">city costs in the </w:t>
      </w:r>
      <w:r w:rsidR="00872302" w:rsidRPr="00603A25">
        <w:t>Victorian Default Offer</w:t>
      </w:r>
      <w:r w:rsidRPr="00603A25">
        <w:t xml:space="preserve"> is the customer load profile. </w:t>
      </w:r>
      <w:r w:rsidR="008D6A02" w:rsidRPr="00603A25">
        <w:t>W</w:t>
      </w:r>
      <w:r w:rsidRPr="00603A25">
        <w:t>e aim to use</w:t>
      </w:r>
      <w:r w:rsidR="00412F8B" w:rsidRPr="00603A25">
        <w:t xml:space="preserve"> </w:t>
      </w:r>
      <w:r w:rsidRPr="00603A25">
        <w:t xml:space="preserve">load profile data that is reflective of </w:t>
      </w:r>
      <w:r w:rsidR="00E00D27" w:rsidRPr="00603A25">
        <w:t xml:space="preserve">the </w:t>
      </w:r>
      <w:r w:rsidRPr="00603A25">
        <w:t xml:space="preserve">costs to retailers </w:t>
      </w:r>
      <w:r w:rsidR="007069BD" w:rsidRPr="00603A25">
        <w:t>of</w:t>
      </w:r>
      <w:r w:rsidRPr="00603A25">
        <w:t xml:space="preserve"> purchas</w:t>
      </w:r>
      <w:r w:rsidR="00A94CBD" w:rsidRPr="00603A25">
        <w:t>ing</w:t>
      </w:r>
      <w:r w:rsidRPr="00603A25">
        <w:t xml:space="preserve"> </w:t>
      </w:r>
      <w:r w:rsidR="00BC015E" w:rsidRPr="00603A25">
        <w:t>electr</w:t>
      </w:r>
      <w:r w:rsidR="00AB7B8C" w:rsidRPr="00603A25">
        <w:t>i</w:t>
      </w:r>
      <w:r w:rsidR="00BC015E" w:rsidRPr="00603A25">
        <w:t>city</w:t>
      </w:r>
      <w:r w:rsidRPr="00603A25">
        <w:t xml:space="preserve"> for their residential and small business customers across the coming financial year. </w:t>
      </w:r>
    </w:p>
    <w:p w14:paraId="15223833" w14:textId="58724696" w:rsidR="007C012E" w:rsidRPr="00603A25" w:rsidRDefault="00874AEB" w:rsidP="00874AEB">
      <w:r w:rsidRPr="00603A25">
        <w:t xml:space="preserve">Since </w:t>
      </w:r>
      <w:r w:rsidR="00BC015E" w:rsidRPr="00603A25">
        <w:t>first setting the</w:t>
      </w:r>
      <w:r w:rsidRPr="00603A25">
        <w:t xml:space="preserve"> Victorian Default Offer in 20</w:t>
      </w:r>
      <w:r w:rsidR="008E7EAC">
        <w:t>20</w:t>
      </w:r>
      <w:r w:rsidR="00E62A98" w:rsidRPr="00603A25">
        <w:t>,</w:t>
      </w:r>
      <w:r w:rsidRPr="00603A25">
        <w:t xml:space="preserve"> </w:t>
      </w:r>
      <w:r w:rsidR="00761F83" w:rsidRPr="00603A25">
        <w:t>we have used</w:t>
      </w:r>
      <w:r w:rsidRPr="00603A25">
        <w:t xml:space="preserve"> </w:t>
      </w:r>
      <w:r w:rsidR="00B17EA7" w:rsidRPr="00603A25">
        <w:t xml:space="preserve">30-minute </w:t>
      </w:r>
      <w:r w:rsidRPr="00603A25">
        <w:t xml:space="preserve">interval meter data at a ‘balanced’ position (the </w:t>
      </w:r>
      <w:r w:rsidR="006F6F91" w:rsidRPr="00603A25">
        <w:t>balance</w:t>
      </w:r>
      <w:r w:rsidRPr="00603A25">
        <w:t xml:space="preserve"> of customers’ imports and exports)</w:t>
      </w:r>
      <w:r w:rsidR="00B17EA7" w:rsidRPr="00603A25">
        <w:t xml:space="preserve"> </w:t>
      </w:r>
      <w:r w:rsidR="00DB602A" w:rsidRPr="00603A25">
        <w:t xml:space="preserve">to </w:t>
      </w:r>
      <w:r w:rsidR="00F270CC" w:rsidRPr="00603A25">
        <w:t>produce</w:t>
      </w:r>
      <w:r w:rsidR="00214866" w:rsidRPr="00603A25">
        <w:t xml:space="preserve"> load profiles</w:t>
      </w:r>
      <w:r w:rsidRPr="00603A25">
        <w:t xml:space="preserve">. This approach was informed by the structure of </w:t>
      </w:r>
      <w:r w:rsidR="0064618B" w:rsidRPr="00603A25">
        <w:t>load profile</w:t>
      </w:r>
      <w:r w:rsidRPr="00603A25">
        <w:t xml:space="preserve"> data </w:t>
      </w:r>
      <w:r w:rsidR="002E024A" w:rsidRPr="00603A25">
        <w:t>available from</w:t>
      </w:r>
      <w:r w:rsidRPr="00603A25">
        <w:t xml:space="preserve"> the Australian Energy Market Operator</w:t>
      </w:r>
      <w:r w:rsidR="00A94CBD" w:rsidRPr="00603A25">
        <w:t xml:space="preserve"> </w:t>
      </w:r>
      <w:r w:rsidR="00CA4502" w:rsidRPr="00603A25">
        <w:t xml:space="preserve">(market operator) </w:t>
      </w:r>
      <w:r w:rsidR="00A94CBD" w:rsidRPr="00603A25">
        <w:t>at the time</w:t>
      </w:r>
      <w:r w:rsidRPr="00603A25">
        <w:t>. W</w:t>
      </w:r>
      <w:r w:rsidR="00C56C1D" w:rsidRPr="00603A25">
        <w:t>hile</w:t>
      </w:r>
      <w:r w:rsidR="00C27E85" w:rsidRPr="00603A25">
        <w:t xml:space="preserve"> we</w:t>
      </w:r>
      <w:r w:rsidR="00C56C1D" w:rsidRPr="00603A25">
        <w:t xml:space="preserve"> </w:t>
      </w:r>
      <w:r w:rsidRPr="00603A25">
        <w:t xml:space="preserve">previously </w:t>
      </w:r>
      <w:r w:rsidR="00C27E85" w:rsidRPr="00603A25">
        <w:t xml:space="preserve">relied </w:t>
      </w:r>
      <w:r w:rsidRPr="00603A25">
        <w:t>on interval meter data at a balanced positio</w:t>
      </w:r>
      <w:r w:rsidR="00C56C1D" w:rsidRPr="00603A25">
        <w:t>n</w:t>
      </w:r>
      <w:r w:rsidRPr="00603A25">
        <w:t>,</w:t>
      </w:r>
      <w:r w:rsidR="0052287C" w:rsidRPr="00603A25">
        <w:t xml:space="preserve"> </w:t>
      </w:r>
      <w:r w:rsidR="00F148A7" w:rsidRPr="00603A25">
        <w:t>new</w:t>
      </w:r>
      <w:r w:rsidR="0052287C" w:rsidRPr="00603A25">
        <w:t xml:space="preserve"> load profile data </w:t>
      </w:r>
      <w:r w:rsidR="00D91697" w:rsidRPr="00603A25">
        <w:t>is now</w:t>
      </w:r>
      <w:r w:rsidR="0052287C" w:rsidRPr="00603A25">
        <w:t xml:space="preserve"> available</w:t>
      </w:r>
      <w:r w:rsidR="00256A50" w:rsidRPr="00603A25">
        <w:t xml:space="preserve"> for the last three years</w:t>
      </w:r>
      <w:r w:rsidR="00552F85" w:rsidRPr="00603A25">
        <w:t>,</w:t>
      </w:r>
      <w:r w:rsidR="009A79A7" w:rsidRPr="00603A25">
        <w:t xml:space="preserve"> </w:t>
      </w:r>
      <w:r w:rsidR="00552F85" w:rsidRPr="00603A25">
        <w:t>with</w:t>
      </w:r>
      <w:r w:rsidR="00C56C1D" w:rsidRPr="00603A25">
        <w:t xml:space="preserve"> </w:t>
      </w:r>
      <w:r w:rsidRPr="00603A25">
        <w:t>interval meter data split by imports (customers’ demand for electricity) and exports (from sources like rooftop solar),</w:t>
      </w:r>
      <w:r w:rsidR="00601A72" w:rsidRPr="00603A25">
        <w:t xml:space="preserve"> </w:t>
      </w:r>
      <w:r w:rsidR="00DF6A21" w:rsidRPr="00603A25">
        <w:t xml:space="preserve">as </w:t>
      </w:r>
      <w:r w:rsidRPr="00603A25">
        <w:t xml:space="preserve">recorded at the end of each 5-minute </w:t>
      </w:r>
      <w:r w:rsidR="00973E56" w:rsidRPr="00603A25">
        <w:t xml:space="preserve">and 30-minute </w:t>
      </w:r>
      <w:r w:rsidRPr="00603A25">
        <w:t xml:space="preserve">interval. </w:t>
      </w:r>
    </w:p>
    <w:p w14:paraId="541BEF32" w14:textId="51CBEDA7" w:rsidR="003A2834" w:rsidRPr="00BD3978" w:rsidRDefault="001600D2" w:rsidP="006B7E22">
      <w:r w:rsidRPr="00603A25">
        <w:lastRenderedPageBreak/>
        <w:t xml:space="preserve">We </w:t>
      </w:r>
      <w:r w:rsidR="007C012E" w:rsidRPr="00603A25">
        <w:t xml:space="preserve">have maintained </w:t>
      </w:r>
      <w:r w:rsidR="002A0A18" w:rsidRPr="00603A25">
        <w:t xml:space="preserve">our </w:t>
      </w:r>
      <w:r w:rsidR="008C36C2" w:rsidRPr="00603A25">
        <w:t>approach</w:t>
      </w:r>
      <w:r w:rsidR="008C36C2" w:rsidRPr="00C03F3C">
        <w:t xml:space="preserve"> </w:t>
      </w:r>
      <w:r w:rsidR="004102D2" w:rsidRPr="00C03F3C">
        <w:t xml:space="preserve">to load profiles </w:t>
      </w:r>
      <w:r w:rsidR="008C36C2" w:rsidRPr="00C03F3C">
        <w:t xml:space="preserve">from </w:t>
      </w:r>
      <w:r w:rsidR="004102D2" w:rsidRPr="00C03F3C">
        <w:t>our</w:t>
      </w:r>
      <w:r w:rsidR="008C36C2" w:rsidRPr="00C03F3C">
        <w:t xml:space="preserve"> draft decision</w:t>
      </w:r>
      <w:r w:rsidR="00E92AE5" w:rsidRPr="00C03F3C">
        <w:t>,</w:t>
      </w:r>
      <w:r w:rsidR="002F6FED">
        <w:t xml:space="preserve"> but our</w:t>
      </w:r>
      <w:r w:rsidR="00944C55" w:rsidRPr="00C03F3C">
        <w:t xml:space="preserve"> approach is a change </w:t>
      </w:r>
      <w:r w:rsidR="005D5843" w:rsidRPr="00C03F3C">
        <w:t>from</w:t>
      </w:r>
      <w:r w:rsidR="00944C55" w:rsidRPr="00C03F3C">
        <w:t xml:space="preserve"> previous decisions</w:t>
      </w:r>
      <w:r w:rsidR="00DA7789" w:rsidRPr="00C03F3C">
        <w:t xml:space="preserve">. We have </w:t>
      </w:r>
      <w:r w:rsidR="00AE078B" w:rsidRPr="00C03F3C">
        <w:t xml:space="preserve">moved </w:t>
      </w:r>
      <w:r w:rsidR="00DA7789" w:rsidRPr="00C03F3C">
        <w:t>from</w:t>
      </w:r>
      <w:r w:rsidR="00AD39E9" w:rsidRPr="00C03F3C">
        <w:t xml:space="preserve"> using </w:t>
      </w:r>
      <w:r w:rsidR="006D4173" w:rsidRPr="00C03F3C">
        <w:t>interval meter data at a balanced position</w:t>
      </w:r>
      <w:r w:rsidR="00DA7789" w:rsidRPr="00C03F3C">
        <w:t>,</w:t>
      </w:r>
      <w:r w:rsidR="006D4173" w:rsidRPr="00C03F3C">
        <w:t xml:space="preserve"> to </w:t>
      </w:r>
      <w:r w:rsidR="00455B6A" w:rsidRPr="00C03F3C">
        <w:t xml:space="preserve">now using </w:t>
      </w:r>
      <w:r w:rsidR="003107DA" w:rsidRPr="00C03F3C">
        <w:t xml:space="preserve">a </w:t>
      </w:r>
      <w:r w:rsidR="00E70366" w:rsidRPr="00C03F3C">
        <w:t xml:space="preserve">load </w:t>
      </w:r>
      <w:r w:rsidR="003107DA" w:rsidRPr="00C03F3C">
        <w:t xml:space="preserve">only </w:t>
      </w:r>
      <w:r w:rsidR="00E70366" w:rsidRPr="00C03F3C">
        <w:t xml:space="preserve">(import) </w:t>
      </w:r>
      <w:r w:rsidR="003107DA" w:rsidRPr="00C03F3C">
        <w:t>position</w:t>
      </w:r>
      <w:r w:rsidR="00842599" w:rsidRPr="00C03F3C">
        <w:t xml:space="preserve"> recorded every 5-minutes</w:t>
      </w:r>
      <w:r w:rsidR="00825084">
        <w:t>. This decision was made after considering advice from Frontier Economics</w:t>
      </w:r>
      <w:r w:rsidR="00EF60AC">
        <w:t xml:space="preserve"> </w:t>
      </w:r>
      <w:r w:rsidR="00111AF1" w:rsidRPr="00C03F3C">
        <w:t>(the Fronter Economics Advice)</w:t>
      </w:r>
      <w:r w:rsidR="002A1B7F" w:rsidRPr="00C03F3C">
        <w:t xml:space="preserve"> and </w:t>
      </w:r>
      <w:r w:rsidR="000915F3" w:rsidRPr="00C03F3C">
        <w:t>their</w:t>
      </w:r>
      <w:r w:rsidR="00423D42" w:rsidRPr="00C03F3C">
        <w:t xml:space="preserve"> report </w:t>
      </w:r>
      <w:r w:rsidR="00833B88" w:rsidRPr="00C03F3C">
        <w:t>(the Frontier Economic</w:t>
      </w:r>
      <w:r w:rsidR="00FA3231" w:rsidRPr="00C03F3C">
        <w:t>s</w:t>
      </w:r>
      <w:r w:rsidR="00833B88" w:rsidRPr="00C03F3C">
        <w:t xml:space="preserve"> </w:t>
      </w:r>
      <w:r w:rsidR="000915F3" w:rsidRPr="00C03F3C">
        <w:t xml:space="preserve">Final </w:t>
      </w:r>
      <w:r w:rsidR="00833B88" w:rsidRPr="00C03F3C">
        <w:t>Report</w:t>
      </w:r>
      <w:r w:rsidR="00833B88" w:rsidRPr="00BD3978">
        <w:t xml:space="preserve">) </w:t>
      </w:r>
      <w:r w:rsidR="00E7439F" w:rsidRPr="00BD3978">
        <w:t>on</w:t>
      </w:r>
      <w:r w:rsidR="006B7E22" w:rsidRPr="00BD3978">
        <w:t xml:space="preserve"> wholesale electricity costs for the </w:t>
      </w:r>
      <w:r w:rsidR="00C806E5" w:rsidRPr="00BD3978">
        <w:t>2025</w:t>
      </w:r>
      <w:r w:rsidR="007F4349" w:rsidRPr="00BD3978">
        <w:t>–</w:t>
      </w:r>
      <w:r w:rsidR="00C806E5" w:rsidRPr="00BD3978">
        <w:t xml:space="preserve">26 </w:t>
      </w:r>
      <w:r w:rsidR="006B7E22" w:rsidRPr="00BD3978">
        <w:t>Victorian Default Offer.</w:t>
      </w:r>
      <w:r w:rsidR="004D70AF" w:rsidRPr="00BD3978">
        <w:rPr>
          <w:rStyle w:val="FootnoteReference"/>
        </w:rPr>
        <w:footnoteReference w:id="41"/>
      </w:r>
      <w:r w:rsidR="004724E7" w:rsidRPr="00BD3978">
        <w:t xml:space="preserve"> </w:t>
      </w:r>
    </w:p>
    <w:p w14:paraId="70946D41" w14:textId="77777777" w:rsidR="00ED6498" w:rsidRPr="00BD3978" w:rsidRDefault="00ED6498" w:rsidP="00ED6498">
      <w:r w:rsidRPr="00BD3978">
        <w:t xml:space="preserve">We also had regard to:  </w:t>
      </w:r>
    </w:p>
    <w:p w14:paraId="09305A6A" w14:textId="77777777" w:rsidR="00ED6498" w:rsidRPr="00C03F3C" w:rsidRDefault="00ED6498" w:rsidP="00FA20A9">
      <w:pPr>
        <w:pStyle w:val="ListBullet"/>
      </w:pPr>
      <w:r w:rsidRPr="00C03F3C">
        <w:t>available data and evidence</w:t>
      </w:r>
    </w:p>
    <w:p w14:paraId="0AA51F37" w14:textId="77777777" w:rsidR="00EB3314" w:rsidRDefault="00ED6498" w:rsidP="00FA20A9">
      <w:pPr>
        <w:pStyle w:val="ListBullet"/>
      </w:pPr>
      <w:r w:rsidRPr="00C03F3C">
        <w:t>consultation and consideration of submissions responding to our Request for Comment Paper</w:t>
      </w:r>
      <w:r w:rsidR="00262078" w:rsidRPr="00C03F3C">
        <w:t xml:space="preserve"> and Draft </w:t>
      </w:r>
      <w:r w:rsidR="003C6D96" w:rsidRPr="00C03F3C">
        <w:t>D</w:t>
      </w:r>
      <w:r w:rsidR="00F8025B" w:rsidRPr="00C03F3C">
        <w:t>ecision</w:t>
      </w:r>
      <w:r w:rsidR="00B25C13">
        <w:t xml:space="preserve"> Paper</w:t>
      </w:r>
    </w:p>
    <w:p w14:paraId="6A511051" w14:textId="555BF59C" w:rsidR="00ED6498" w:rsidRPr="00C03F3C" w:rsidRDefault="000C5425" w:rsidP="00FA20A9">
      <w:pPr>
        <w:pStyle w:val="ListBullet"/>
      </w:pPr>
      <w:r w:rsidRPr="00C03F3C">
        <w:t xml:space="preserve">views expressed during our </w:t>
      </w:r>
      <w:r w:rsidR="00C57B79">
        <w:t xml:space="preserve">public forum and </w:t>
      </w:r>
      <w:r w:rsidRPr="00C03F3C">
        <w:t>retailer workshop</w:t>
      </w:r>
      <w:r w:rsidR="00F8025B" w:rsidRPr="00C03F3C">
        <w:t xml:space="preserve"> </w:t>
      </w:r>
    </w:p>
    <w:p w14:paraId="164009D6" w14:textId="0EB742B6" w:rsidR="00EB3314" w:rsidRPr="00C03F3C" w:rsidRDefault="00EB3314" w:rsidP="00FA20A9">
      <w:pPr>
        <w:pStyle w:val="ListBullet"/>
      </w:pPr>
      <w:r w:rsidRPr="00C03F3C">
        <w:t>our obligations and objectives under legislation and the pricing order, particularly with respect to setting the Victorian Default Offer based on retailers</w:t>
      </w:r>
      <w:r>
        <w:t>’</w:t>
      </w:r>
      <w:r w:rsidRPr="00C03F3C">
        <w:t xml:space="preserve"> efficient costs of selling electricity</w:t>
      </w:r>
      <w:r>
        <w:t xml:space="preserve">. </w:t>
      </w:r>
    </w:p>
    <w:p w14:paraId="61D4E337" w14:textId="6FB4FE42" w:rsidR="004C0F17" w:rsidRPr="00C03F3C" w:rsidDel="00AE7548" w:rsidRDefault="00893F5D" w:rsidP="006B7E22">
      <w:r w:rsidRPr="00C03F3C">
        <w:t>The advice</w:t>
      </w:r>
      <w:r w:rsidR="007A7062" w:rsidRPr="00C03F3C">
        <w:t xml:space="preserve"> from Frontier Economics </w:t>
      </w:r>
      <w:r w:rsidRPr="00C03F3C">
        <w:t xml:space="preserve">outlined </w:t>
      </w:r>
      <w:r w:rsidR="006B7E22" w:rsidRPr="00C03F3C">
        <w:t>that</w:t>
      </w:r>
      <w:r w:rsidR="004C0F17" w:rsidRPr="00C03F3C">
        <w:t>:</w:t>
      </w:r>
    </w:p>
    <w:p w14:paraId="72C6C9A2" w14:textId="2786EB0E" w:rsidR="0039621E" w:rsidRPr="00C03F3C" w:rsidDel="00AE7548" w:rsidRDefault="0039621E" w:rsidP="00FA20A9">
      <w:pPr>
        <w:pStyle w:val="ListBullet"/>
      </w:pPr>
      <w:r>
        <w:t>I</w:t>
      </w:r>
      <w:r w:rsidRPr="00C03F3C" w:rsidDel="00AE7548">
        <w:t>n practice, retailers charge customers for all their imports, and then separately credit a feed-in tariff for exports</w:t>
      </w:r>
      <w:r>
        <w:t>.</w:t>
      </w:r>
    </w:p>
    <w:p w14:paraId="4F3233B4" w14:textId="7DF42EA1" w:rsidR="003A1368" w:rsidRPr="00C03F3C" w:rsidDel="00AE7548" w:rsidRDefault="0039621E" w:rsidP="00FA20A9">
      <w:pPr>
        <w:pStyle w:val="ListBullet"/>
      </w:pPr>
      <w:r>
        <w:t>B</w:t>
      </w:r>
      <w:r w:rsidRPr="00C03F3C" w:rsidDel="00AE7548">
        <w:t>ecause</w:t>
      </w:r>
      <w:r w:rsidR="006B7E22" w:rsidRPr="00C03F3C" w:rsidDel="00AE7548">
        <w:t xml:space="preserve"> wholesale prices are lower during the day when exports are occurring, using a load profile based on the balance of customers’ imports and exports results in a </w:t>
      </w:r>
      <w:r w:rsidR="00740D4A">
        <w:t>lower</w:t>
      </w:r>
      <w:r w:rsidR="00740D4A" w:rsidRPr="00C03F3C" w:rsidDel="00AE7548">
        <w:t xml:space="preserve"> </w:t>
      </w:r>
      <w:r w:rsidR="006B7E22" w:rsidRPr="00C03F3C" w:rsidDel="00AE7548">
        <w:t xml:space="preserve">proportion of load occurring during </w:t>
      </w:r>
      <w:r w:rsidR="00740D4A">
        <w:t>low</w:t>
      </w:r>
      <w:r w:rsidR="00740D4A" w:rsidRPr="00C03F3C" w:rsidDel="00AE7548">
        <w:t xml:space="preserve"> </w:t>
      </w:r>
      <w:r w:rsidR="006B7E22" w:rsidRPr="00C03F3C" w:rsidDel="00AE7548">
        <w:t>price periods than under a load only profile</w:t>
      </w:r>
      <w:r>
        <w:t>.</w:t>
      </w:r>
      <w:r w:rsidR="006B7E22" w:rsidRPr="00C03F3C" w:rsidDel="00AE7548">
        <w:t xml:space="preserve"> </w:t>
      </w:r>
    </w:p>
    <w:p w14:paraId="53F650F0" w14:textId="35059017" w:rsidR="003A1368" w:rsidRPr="00C03F3C" w:rsidDel="00AE7548" w:rsidRDefault="009C4AEA" w:rsidP="00FA20A9">
      <w:pPr>
        <w:pStyle w:val="ListBullet"/>
      </w:pPr>
      <w:r>
        <w:t>A balance load profile</w:t>
      </w:r>
      <w:r w:rsidR="006B7E22" w:rsidRPr="00C03F3C" w:rsidDel="00AE7548">
        <w:t xml:space="preserve"> leads to a higher daily average price, compared to a profile based on customers’ load only</w:t>
      </w:r>
      <w:r w:rsidR="0039621E">
        <w:t>.</w:t>
      </w:r>
    </w:p>
    <w:p w14:paraId="2B8BEB25" w14:textId="1BADDFAF" w:rsidR="005B0926" w:rsidRPr="00C03F3C" w:rsidDel="00AE7548" w:rsidRDefault="0039621E" w:rsidP="00FA20A9">
      <w:pPr>
        <w:pStyle w:val="ListBullet"/>
      </w:pPr>
      <w:r>
        <w:t>A</w:t>
      </w:r>
      <w:r w:rsidR="006B7E22" w:rsidRPr="00C03F3C" w:rsidDel="00AE7548">
        <w:t xml:space="preserve"> load only profile is a better estimate of retailers</w:t>
      </w:r>
      <w:r w:rsidR="00254B5B" w:rsidRPr="00C03F3C" w:rsidDel="00AE7548">
        <w:t>’</w:t>
      </w:r>
      <w:r w:rsidR="006B7E22" w:rsidRPr="00C03F3C" w:rsidDel="00AE7548">
        <w:t xml:space="preserve"> wholesale costs because it reflects customers’ demand in isolation of the wholesale cost of customer</w:t>
      </w:r>
      <w:r w:rsidR="00EB428F" w:rsidRPr="00C03F3C" w:rsidDel="00AE7548">
        <w:t>s’</w:t>
      </w:r>
      <w:r w:rsidR="006B7E22" w:rsidRPr="00C03F3C" w:rsidDel="00AE7548">
        <w:t xml:space="preserve"> exports</w:t>
      </w:r>
      <w:r w:rsidR="008C5830" w:rsidRPr="00C03F3C" w:rsidDel="00AE7548">
        <w:t>.</w:t>
      </w:r>
    </w:p>
    <w:p w14:paraId="6A518D1A" w14:textId="6A3BB76D" w:rsidR="00983CF1" w:rsidRPr="0069137D" w:rsidRDefault="00044103" w:rsidP="00D751C0">
      <w:r>
        <w:t>A</w:t>
      </w:r>
      <w:r w:rsidR="0016784E" w:rsidRPr="00C03F3C">
        <w:t xml:space="preserve"> load only profile</w:t>
      </w:r>
      <w:r>
        <w:t xml:space="preserve"> approach</w:t>
      </w:r>
      <w:r w:rsidR="005B0926" w:rsidRPr="00C03F3C">
        <w:t xml:space="preserve"> </w:t>
      </w:r>
      <w:r w:rsidR="00C84DAD" w:rsidRPr="00C03F3C">
        <w:t xml:space="preserve">is </w:t>
      </w:r>
      <w:r w:rsidR="00ED6498" w:rsidRPr="00C03F3C">
        <w:t xml:space="preserve">also </w:t>
      </w:r>
      <w:proofErr w:type="gramStart"/>
      <w:r w:rsidR="00284E34" w:rsidRPr="00C03F3C">
        <w:t>similar</w:t>
      </w:r>
      <w:r w:rsidR="005B0926" w:rsidRPr="00C03F3C">
        <w:t xml:space="preserve"> </w:t>
      </w:r>
      <w:r w:rsidR="00284E34" w:rsidRPr="00104802">
        <w:t>to</w:t>
      </w:r>
      <w:proofErr w:type="gramEnd"/>
      <w:r w:rsidR="005B0926" w:rsidRPr="00104802">
        <w:t xml:space="preserve"> the Australian Energy Regulator’s approach </w:t>
      </w:r>
      <w:r w:rsidR="001C1F6A">
        <w:t xml:space="preserve">to the </w:t>
      </w:r>
      <w:r w:rsidR="00331D7C" w:rsidRPr="00104802">
        <w:t>treatment of solar exports when</w:t>
      </w:r>
      <w:r w:rsidR="00ED3B53" w:rsidRPr="00104802">
        <w:t xml:space="preserve"> </w:t>
      </w:r>
      <w:r w:rsidR="005B0926" w:rsidRPr="00104802">
        <w:t>setting the Default Market Offer.</w:t>
      </w:r>
      <w:r w:rsidR="005B0926" w:rsidRPr="00BD3978">
        <w:rPr>
          <w:rStyle w:val="FootnoteReference"/>
        </w:rPr>
        <w:footnoteReference w:id="42"/>
      </w:r>
      <w:r w:rsidR="00DF6A21" w:rsidRPr="0069137D">
        <w:t xml:space="preserve"> </w:t>
      </w:r>
    </w:p>
    <w:p w14:paraId="53B96A84" w14:textId="5760BACA" w:rsidR="00666E58" w:rsidRPr="0069137D" w:rsidRDefault="00101CDA" w:rsidP="009B6F1B">
      <w:r w:rsidRPr="0069137D">
        <w:t xml:space="preserve">Based on these considerations, </w:t>
      </w:r>
      <w:r w:rsidR="009B6F1B" w:rsidRPr="0069137D">
        <w:t xml:space="preserve">our </w:t>
      </w:r>
      <w:r w:rsidR="006214A8" w:rsidRPr="0069137D">
        <w:t>final</w:t>
      </w:r>
      <w:r w:rsidR="009B6F1B" w:rsidRPr="0069137D">
        <w:t xml:space="preserve"> decision is to</w:t>
      </w:r>
      <w:r w:rsidR="00E34A9A" w:rsidRPr="0069137D">
        <w:t xml:space="preserve"> </w:t>
      </w:r>
      <w:r w:rsidR="00505DB4" w:rsidRPr="0069137D">
        <w:t xml:space="preserve">change </w:t>
      </w:r>
      <w:r w:rsidR="00A556AE">
        <w:t xml:space="preserve">from a balance load profile </w:t>
      </w:r>
      <w:r w:rsidR="00505DB4" w:rsidRPr="0069137D">
        <w:t xml:space="preserve">to </w:t>
      </w:r>
      <w:r w:rsidR="004B1197" w:rsidRPr="0069137D">
        <w:t xml:space="preserve">a </w:t>
      </w:r>
      <w:r w:rsidR="00ED6FD6" w:rsidRPr="0069137D">
        <w:t>load</w:t>
      </w:r>
      <w:r w:rsidR="000232C6" w:rsidRPr="0069137D">
        <w:t xml:space="preserve"> </w:t>
      </w:r>
      <w:r w:rsidR="00804F9F" w:rsidRPr="0069137D">
        <w:t xml:space="preserve">only </w:t>
      </w:r>
      <w:r w:rsidR="00E34A9A" w:rsidRPr="0069137D">
        <w:t>profile</w:t>
      </w:r>
      <w:r w:rsidR="004721C3" w:rsidRPr="0069137D">
        <w:t xml:space="preserve"> </w:t>
      </w:r>
      <w:r w:rsidR="00F869B7" w:rsidRPr="0069137D">
        <w:t>in setting</w:t>
      </w:r>
      <w:r w:rsidR="004721C3" w:rsidRPr="0069137D">
        <w:t xml:space="preserve"> the Victorian Default Offer</w:t>
      </w:r>
      <w:r w:rsidR="003A536F" w:rsidRPr="0069137D">
        <w:t xml:space="preserve">, </w:t>
      </w:r>
      <w:r w:rsidR="007A4320" w:rsidRPr="0069137D">
        <w:t>based on</w:t>
      </w:r>
      <w:r w:rsidR="003A536F" w:rsidRPr="0069137D">
        <w:t xml:space="preserve"> the </w:t>
      </w:r>
      <w:r w:rsidR="00BC216B" w:rsidRPr="0069137D">
        <w:t>m</w:t>
      </w:r>
      <w:r w:rsidR="003A536F" w:rsidRPr="0069137D">
        <w:t xml:space="preserve">arket </w:t>
      </w:r>
      <w:r w:rsidR="00BC216B" w:rsidRPr="0069137D">
        <w:t>o</w:t>
      </w:r>
      <w:r w:rsidR="003A536F" w:rsidRPr="0069137D">
        <w:t>perator’s load only interval meter data recorded at the end of each 5-minute interval</w:t>
      </w:r>
      <w:r w:rsidR="001651D7" w:rsidRPr="0069137D">
        <w:t xml:space="preserve">. We consider this </w:t>
      </w:r>
      <w:r w:rsidR="005C21B4" w:rsidRPr="0069137D">
        <w:t>to be</w:t>
      </w:r>
      <w:r w:rsidR="00124B5A" w:rsidRPr="0069137D">
        <w:t xml:space="preserve"> the most accurate </w:t>
      </w:r>
      <w:r w:rsidR="00186F06" w:rsidRPr="0069137D">
        <w:t xml:space="preserve">available load profile data for </w:t>
      </w:r>
      <w:r w:rsidR="00560B18" w:rsidRPr="0069137D">
        <w:t xml:space="preserve">forecasting </w:t>
      </w:r>
      <w:r w:rsidR="00186F06" w:rsidRPr="0069137D">
        <w:t xml:space="preserve">a retailer’s efficient </w:t>
      </w:r>
      <w:r w:rsidR="00560B18" w:rsidRPr="0069137D">
        <w:t>wholesale electr</w:t>
      </w:r>
      <w:r w:rsidR="003579EB" w:rsidRPr="0069137D">
        <w:t>i</w:t>
      </w:r>
      <w:r w:rsidR="00560B18" w:rsidRPr="0069137D">
        <w:t>city costs</w:t>
      </w:r>
      <w:r w:rsidR="00ED7CFC" w:rsidRPr="0069137D">
        <w:t xml:space="preserve"> and best aligns with the objectives of the </w:t>
      </w:r>
      <w:r w:rsidR="00B5099F" w:rsidRPr="0069137D">
        <w:t>Victorian Default Offer</w:t>
      </w:r>
      <w:r w:rsidR="006C5EC4" w:rsidRPr="0069137D">
        <w:t>.</w:t>
      </w:r>
      <w:r w:rsidR="00980DB0" w:rsidRPr="0069137D">
        <w:t xml:space="preserve"> </w:t>
      </w:r>
    </w:p>
    <w:p w14:paraId="4B9804B7" w14:textId="572C25F7" w:rsidR="009B6F1B" w:rsidRPr="00A66C7E" w:rsidRDefault="005C21B4" w:rsidP="009B6F1B">
      <w:r w:rsidRPr="00A66C7E">
        <w:lastRenderedPageBreak/>
        <w:t>In our view,</w:t>
      </w:r>
      <w:r w:rsidR="002E78DE" w:rsidRPr="00A66C7E">
        <w:t xml:space="preserve"> </w:t>
      </w:r>
      <w:r w:rsidR="00980DB0" w:rsidRPr="00A66C7E">
        <w:t xml:space="preserve">using 5-minute load </w:t>
      </w:r>
      <w:r w:rsidR="0026523C" w:rsidRPr="00A66C7E">
        <w:t xml:space="preserve">only </w:t>
      </w:r>
      <w:r w:rsidR="00980DB0" w:rsidRPr="00A66C7E">
        <w:t xml:space="preserve">data </w:t>
      </w:r>
      <w:r w:rsidR="002E78DE" w:rsidRPr="00A66C7E">
        <w:t>(as opposed to 30-min</w:t>
      </w:r>
      <w:r w:rsidR="005B06FB" w:rsidRPr="00A66C7E">
        <w:t>u</w:t>
      </w:r>
      <w:r w:rsidR="002E78DE" w:rsidRPr="00A66C7E">
        <w:t xml:space="preserve">te </w:t>
      </w:r>
      <w:r w:rsidR="00064288" w:rsidRPr="00A66C7E">
        <w:t xml:space="preserve">load </w:t>
      </w:r>
      <w:r w:rsidR="006820A2" w:rsidRPr="00A66C7E">
        <w:t xml:space="preserve">only </w:t>
      </w:r>
      <w:r w:rsidR="00064288" w:rsidRPr="00A66C7E">
        <w:t xml:space="preserve">data) will </w:t>
      </w:r>
      <w:r w:rsidR="0083566F" w:rsidRPr="00A66C7E">
        <w:t xml:space="preserve">also </w:t>
      </w:r>
      <w:r w:rsidR="00064288" w:rsidRPr="00A66C7E">
        <w:t>provide</w:t>
      </w:r>
      <w:r w:rsidR="00980DB0" w:rsidRPr="00A66C7E">
        <w:t xml:space="preserve"> a more accurate relationship between load and price.</w:t>
      </w:r>
      <w:r w:rsidR="00C827B9" w:rsidRPr="00A66C7E">
        <w:t xml:space="preserve"> </w:t>
      </w:r>
      <w:r w:rsidR="004F2B87" w:rsidRPr="00A66C7E">
        <w:t>Using 5-minute interval</w:t>
      </w:r>
      <w:r w:rsidR="00E35381" w:rsidRPr="00A66C7E">
        <w:t xml:space="preserve"> data</w:t>
      </w:r>
      <w:r w:rsidR="004F2B87" w:rsidRPr="00A66C7E">
        <w:t xml:space="preserve"> </w:t>
      </w:r>
      <w:r w:rsidR="006B534B" w:rsidRPr="00A66C7E">
        <w:t>does not</w:t>
      </w:r>
      <w:r w:rsidR="00E23EEB" w:rsidRPr="00A66C7E">
        <w:t xml:space="preserve"> </w:t>
      </w:r>
      <w:r w:rsidR="00EC0BC9" w:rsidRPr="00A66C7E">
        <w:t>change the</w:t>
      </w:r>
      <w:r w:rsidR="006C1953" w:rsidRPr="00A66C7E">
        <w:t xml:space="preserve"> overall</w:t>
      </w:r>
      <w:r w:rsidR="00EC0BC9" w:rsidRPr="00A66C7E">
        <w:t xml:space="preserve"> </w:t>
      </w:r>
      <w:r w:rsidR="005D20EB" w:rsidRPr="00A66C7E">
        <w:t>load</w:t>
      </w:r>
      <w:r w:rsidR="00EC0BC9" w:rsidRPr="00A66C7E">
        <w:t>, a</w:t>
      </w:r>
      <w:r w:rsidR="006C1953" w:rsidRPr="00A66C7E">
        <w:t>s the</w:t>
      </w:r>
      <w:r w:rsidR="00525FBB" w:rsidRPr="00A66C7E" w:rsidDel="00117F6C">
        <w:t xml:space="preserve"> load </w:t>
      </w:r>
      <w:r w:rsidR="00525FBB" w:rsidRPr="00A66C7E">
        <w:t xml:space="preserve">recorded at the end of a 30-minute interval </w:t>
      </w:r>
      <w:r w:rsidR="00117F6C" w:rsidRPr="00A66C7E">
        <w:t>is th</w:t>
      </w:r>
      <w:r w:rsidR="00E23EEB" w:rsidRPr="00A66C7E">
        <w:t>e</w:t>
      </w:r>
      <w:r w:rsidR="00117F6C" w:rsidRPr="00A66C7E">
        <w:t xml:space="preserve"> same as </w:t>
      </w:r>
      <w:r w:rsidR="00525FBB" w:rsidRPr="00A66C7E">
        <w:t>the sum of the underlying six 5-minute intervals for that same time.</w:t>
      </w:r>
    </w:p>
    <w:p w14:paraId="41743950" w14:textId="53DF3B7E" w:rsidR="00267E4B" w:rsidRPr="004F683B" w:rsidRDefault="00B269C8" w:rsidP="00267E4B">
      <w:r w:rsidRPr="004F683B">
        <w:t>We published aggregated Victorian customers’ 30-minute metered data for the last three years</w:t>
      </w:r>
      <w:r>
        <w:t xml:space="preserve"> on our website</w:t>
      </w:r>
      <w:r w:rsidRPr="004F683B">
        <w:t xml:space="preserve"> </w:t>
      </w:r>
      <w:r>
        <w:t>(using data</w:t>
      </w:r>
      <w:r w:rsidRPr="004F683B" w:rsidDel="00935DD3">
        <w:t xml:space="preserve"> from the </w:t>
      </w:r>
      <w:r w:rsidRPr="004F683B">
        <w:t>market operator</w:t>
      </w:r>
      <w:r>
        <w:t>)</w:t>
      </w:r>
      <w:r w:rsidR="00953C21" w:rsidRPr="004F683B">
        <w:t>.</w:t>
      </w:r>
      <w:r w:rsidR="00953C21" w:rsidRPr="004F683B">
        <w:rPr>
          <w:rStyle w:val="FootnoteReference"/>
        </w:rPr>
        <w:footnoteReference w:id="43"/>
      </w:r>
      <w:r w:rsidR="00953C21" w:rsidRPr="004F683B">
        <w:t xml:space="preserve"> </w:t>
      </w:r>
      <w:r w:rsidR="00267E4B" w:rsidRPr="004F683B">
        <w:t>This data displays aggregated small customer usage in each distribution zone, split by imports, exports and a balance position. To estimate customers’ load profiles</w:t>
      </w:r>
      <w:r w:rsidR="00267E4B">
        <w:t xml:space="preserve"> for the </w:t>
      </w:r>
      <w:r w:rsidR="00267E4B" w:rsidRPr="00BD3978">
        <w:t>2025–26 Victorian Default Offer</w:t>
      </w:r>
      <w:r w:rsidR="00267E4B" w:rsidRPr="004F683B">
        <w:t>, we use</w:t>
      </w:r>
      <w:r w:rsidR="00267E4B">
        <w:t>d</w:t>
      </w:r>
      <w:r w:rsidR="00267E4B" w:rsidRPr="004F683B">
        <w:t xml:space="preserve"> a similar data set, but it </w:t>
      </w:r>
      <w:r w:rsidR="00267E4B">
        <w:t>was</w:t>
      </w:r>
      <w:r w:rsidR="00267E4B" w:rsidRPr="004F683B">
        <w:t xml:space="preserve"> disaggregated by customer types and therefore may not exactly reflect the data published. </w:t>
      </w:r>
    </w:p>
    <w:p w14:paraId="5A8D5E07" w14:textId="22C7859C" w:rsidR="006B7E22" w:rsidRPr="00F258C7" w:rsidRDefault="000E6668" w:rsidP="00FA4BD3">
      <w:pPr>
        <w:pStyle w:val="Heading3"/>
      </w:pPr>
      <w:r w:rsidRPr="00F258C7">
        <w:t xml:space="preserve">We </w:t>
      </w:r>
      <w:r w:rsidR="001E4117" w:rsidRPr="00F258C7">
        <w:t xml:space="preserve">have considered submissions on </w:t>
      </w:r>
      <w:r w:rsidRPr="00F258C7">
        <w:t>how to a</w:t>
      </w:r>
      <w:r w:rsidR="006B7E22" w:rsidRPr="00F258C7">
        <w:t xml:space="preserve">ccount for </w:t>
      </w:r>
      <w:r w:rsidR="003952AA" w:rsidRPr="00F258C7">
        <w:t xml:space="preserve">wholesale electricity </w:t>
      </w:r>
      <w:r w:rsidR="00757DFD" w:rsidRPr="00F258C7">
        <w:t>export</w:t>
      </w:r>
      <w:r w:rsidR="0051268E" w:rsidRPr="00F258C7">
        <w:t>s in customer load profiles</w:t>
      </w:r>
    </w:p>
    <w:p w14:paraId="30D62FB8" w14:textId="506C4506" w:rsidR="009A735B" w:rsidRPr="00E10ACF" w:rsidRDefault="001573A3" w:rsidP="006B7E22">
      <w:r>
        <w:t>Our</w:t>
      </w:r>
      <w:r w:rsidR="005A645D" w:rsidRPr="00F258C7">
        <w:t xml:space="preserve"> </w:t>
      </w:r>
      <w:r w:rsidR="00A81B94">
        <w:t xml:space="preserve">Draft Decision </w:t>
      </w:r>
      <w:r w:rsidR="00780C28">
        <w:t>Paper</w:t>
      </w:r>
      <w:r w:rsidR="005A645D" w:rsidRPr="00F258C7">
        <w:t xml:space="preserve"> sought feedback on</w:t>
      </w:r>
      <w:r w:rsidR="0044383D" w:rsidRPr="00F258C7">
        <w:t xml:space="preserve"> </w:t>
      </w:r>
      <w:r w:rsidR="005D33C0" w:rsidRPr="00F258C7">
        <w:t xml:space="preserve">our </w:t>
      </w:r>
      <w:r w:rsidR="00C331F7">
        <w:t xml:space="preserve">proposed </w:t>
      </w:r>
      <w:r w:rsidR="005D33C0" w:rsidRPr="00F258C7">
        <w:t xml:space="preserve">change in load profile </w:t>
      </w:r>
      <w:r w:rsidR="006B7E22" w:rsidRPr="00F258C7">
        <w:t>in the Victorian Default Offe</w:t>
      </w:r>
      <w:r w:rsidR="00016CDA" w:rsidRPr="00F258C7">
        <w:t>r</w:t>
      </w:r>
      <w:r w:rsidR="00BF4955" w:rsidRPr="00F258C7">
        <w:t>.</w:t>
      </w:r>
      <w:r w:rsidR="00805F2F" w:rsidRPr="00F258C7">
        <w:t xml:space="preserve"> </w:t>
      </w:r>
      <w:r w:rsidR="0001684E">
        <w:t>W</w:t>
      </w:r>
      <w:r w:rsidR="009A735B" w:rsidRPr="00F258C7">
        <w:t xml:space="preserve">e received </w:t>
      </w:r>
      <w:r w:rsidR="00C27065" w:rsidRPr="00F258C7">
        <w:t>1</w:t>
      </w:r>
      <w:r w:rsidR="00143751">
        <w:t>4</w:t>
      </w:r>
      <w:r w:rsidR="009A735B" w:rsidRPr="00F258C7">
        <w:t xml:space="preserve"> submissions</w:t>
      </w:r>
      <w:r w:rsidR="009A735B">
        <w:t xml:space="preserve"> </w:t>
      </w:r>
      <w:r w:rsidR="00234733">
        <w:t xml:space="preserve">from </w:t>
      </w:r>
      <w:r w:rsidR="00752278">
        <w:t>retailers</w:t>
      </w:r>
      <w:r w:rsidR="00DB24BF">
        <w:t xml:space="preserve">, </w:t>
      </w:r>
      <w:r w:rsidR="004A09D2">
        <w:t xml:space="preserve">the </w:t>
      </w:r>
      <w:r w:rsidR="00DB24BF">
        <w:t>retailer</w:t>
      </w:r>
      <w:r w:rsidR="000A023E">
        <w:t xml:space="preserve"> peak body</w:t>
      </w:r>
      <w:r w:rsidR="00752278">
        <w:t>,</w:t>
      </w:r>
      <w:r w:rsidR="000B532B">
        <w:t xml:space="preserve"> a</w:t>
      </w:r>
      <w:r w:rsidR="00752278">
        <w:t xml:space="preserve"> </w:t>
      </w:r>
      <w:r w:rsidR="000A023E">
        <w:t>consumer group</w:t>
      </w:r>
      <w:r w:rsidR="00325E41">
        <w:t>,</w:t>
      </w:r>
      <w:r w:rsidR="00BE5F70">
        <w:t xml:space="preserve"> a joint </w:t>
      </w:r>
      <w:r w:rsidR="006E6C5E">
        <w:t xml:space="preserve">submission from </w:t>
      </w:r>
      <w:r w:rsidR="00325E41">
        <w:t xml:space="preserve">seven </w:t>
      </w:r>
      <w:r w:rsidR="009E32D8">
        <w:t xml:space="preserve">consumer groups, and </w:t>
      </w:r>
      <w:r w:rsidR="00D416F0">
        <w:t>one</w:t>
      </w:r>
      <w:r w:rsidR="009E32D8">
        <w:t xml:space="preserve"> consumer. Of these subm</w:t>
      </w:r>
      <w:r w:rsidR="008C2AED">
        <w:t>ission</w:t>
      </w:r>
      <w:r w:rsidR="00013C52">
        <w:t>s</w:t>
      </w:r>
      <w:r w:rsidR="008C2AED">
        <w:t>,</w:t>
      </w:r>
      <w:r w:rsidR="000A023E">
        <w:t xml:space="preserve"> </w:t>
      </w:r>
      <w:r w:rsidR="009515EC" w:rsidRPr="00E10ACF">
        <w:t>1</w:t>
      </w:r>
      <w:r w:rsidR="00143751">
        <w:t>2</w:t>
      </w:r>
      <w:r w:rsidR="006F0970" w:rsidRPr="00E10ACF">
        <w:t xml:space="preserve"> comment</w:t>
      </w:r>
      <w:r w:rsidR="004C5A26">
        <w:t>ed</w:t>
      </w:r>
      <w:r w:rsidR="006F0970" w:rsidRPr="00E10ACF">
        <w:t xml:space="preserve"> on our </w:t>
      </w:r>
      <w:r w:rsidR="00B64003">
        <w:t xml:space="preserve">change to a load only </w:t>
      </w:r>
      <w:r w:rsidR="00BB7948">
        <w:t>profile and</w:t>
      </w:r>
      <w:r w:rsidR="00667104">
        <w:t xml:space="preserve"> the</w:t>
      </w:r>
      <w:r w:rsidR="00BB7948">
        <w:t xml:space="preserve"> </w:t>
      </w:r>
      <w:r w:rsidR="009F585F">
        <w:t>treatment</w:t>
      </w:r>
      <w:r w:rsidR="006F0970" w:rsidRPr="00147A73">
        <w:t xml:space="preserve"> </w:t>
      </w:r>
      <w:r w:rsidR="00667104">
        <w:t>of</w:t>
      </w:r>
      <w:r w:rsidR="006F0970" w:rsidRPr="00E10ACF">
        <w:t xml:space="preserve"> exports</w:t>
      </w:r>
      <w:r w:rsidR="00CB6336" w:rsidRPr="00E10ACF">
        <w:t>.</w:t>
      </w:r>
      <w:r w:rsidR="00042AFC">
        <w:t xml:space="preserve"> </w:t>
      </w:r>
    </w:p>
    <w:p w14:paraId="4F8C1973" w14:textId="1FB95831" w:rsidR="00237229" w:rsidRDefault="00661707" w:rsidP="00661707">
      <w:r w:rsidRPr="003C1E58">
        <w:t xml:space="preserve">Overall, </w:t>
      </w:r>
      <w:r w:rsidR="00991947">
        <w:t xml:space="preserve">the </w:t>
      </w:r>
      <w:r w:rsidRPr="003C1E58">
        <w:t xml:space="preserve">submissions </w:t>
      </w:r>
      <w:r w:rsidR="00FA6DAD">
        <w:t xml:space="preserve">from electricity </w:t>
      </w:r>
      <w:r w:rsidR="00497CF9">
        <w:t>retailers</w:t>
      </w:r>
      <w:r w:rsidR="00FA6DAD">
        <w:t xml:space="preserve"> </w:t>
      </w:r>
      <w:r w:rsidR="005D29B2">
        <w:t xml:space="preserve">and the retailer peak body </w:t>
      </w:r>
      <w:r w:rsidR="002D4052">
        <w:t>opposed</w:t>
      </w:r>
      <w:r w:rsidR="007D3AFE" w:rsidRPr="003C1E58">
        <w:t xml:space="preserve"> the change and </w:t>
      </w:r>
      <w:r w:rsidRPr="003C1E58">
        <w:t xml:space="preserve">supported </w:t>
      </w:r>
      <w:r w:rsidR="00C856CF" w:rsidRPr="003C1E58">
        <w:t>reinstating</w:t>
      </w:r>
      <w:r w:rsidRPr="003C1E58">
        <w:t xml:space="preserve"> a </w:t>
      </w:r>
      <w:r w:rsidR="006A085B" w:rsidRPr="003C1E58">
        <w:t>balance</w:t>
      </w:r>
      <w:r w:rsidR="009A6BFD" w:rsidRPr="003C1E58">
        <w:t xml:space="preserve"> </w:t>
      </w:r>
      <w:r w:rsidRPr="003C1E58">
        <w:t xml:space="preserve">load profile that </w:t>
      </w:r>
      <w:r w:rsidR="009A6BFD" w:rsidRPr="003C1E58">
        <w:t>include</w:t>
      </w:r>
      <w:r w:rsidR="00641DFB" w:rsidRPr="003C1E58">
        <w:t>s</w:t>
      </w:r>
      <w:r w:rsidR="009A6BFD" w:rsidRPr="003C1E58">
        <w:t xml:space="preserve"> </w:t>
      </w:r>
      <w:r w:rsidR="004F030D" w:rsidRPr="003C1E58">
        <w:t>customers</w:t>
      </w:r>
      <w:r w:rsidR="00817D98" w:rsidRPr="003C1E58">
        <w:t>’ exports</w:t>
      </w:r>
      <w:r w:rsidRPr="003C1E58">
        <w:t>.</w:t>
      </w:r>
    </w:p>
    <w:p w14:paraId="7297E08C" w14:textId="21138047" w:rsidR="00D410DD" w:rsidRDefault="003237F1" w:rsidP="00661707">
      <w:r>
        <w:t>C</w:t>
      </w:r>
      <w:r w:rsidR="00E265AA">
        <w:t xml:space="preserve">onsumer groups and </w:t>
      </w:r>
      <w:r w:rsidR="004E6D5F">
        <w:t>EnergyAustralia</w:t>
      </w:r>
      <w:r w:rsidR="00070D85" w:rsidRPr="003C1E58">
        <w:t xml:space="preserve"> supported </w:t>
      </w:r>
      <w:r w:rsidR="0094386D">
        <w:t>the use of</w:t>
      </w:r>
      <w:r w:rsidR="003D631B" w:rsidRPr="003C1E58">
        <w:t xml:space="preserve"> a load only profile</w:t>
      </w:r>
      <w:r w:rsidR="00F476CE">
        <w:t>,</w:t>
      </w:r>
      <w:r w:rsidR="00070D85" w:rsidRPr="003C1E58">
        <w:t xml:space="preserve"> </w:t>
      </w:r>
      <w:r w:rsidR="001A7BBE">
        <w:t>with EnergyAustralia</w:t>
      </w:r>
      <w:r w:rsidR="00BD1E99" w:rsidRPr="003C1E58">
        <w:t xml:space="preserve"> </w:t>
      </w:r>
      <w:r w:rsidR="003B5312">
        <w:t>suggesting</w:t>
      </w:r>
      <w:r w:rsidR="00456BD5" w:rsidRPr="003C1E58">
        <w:t xml:space="preserve"> a transitional </w:t>
      </w:r>
      <w:r w:rsidR="00797867" w:rsidRPr="003C1E58">
        <w:t>approach.</w:t>
      </w:r>
      <w:r w:rsidR="003460B2" w:rsidRPr="003C1E58">
        <w:rPr>
          <w:rStyle w:val="FootnoteReference"/>
        </w:rPr>
        <w:footnoteReference w:id="44"/>
      </w:r>
      <w:r w:rsidR="00DD2893" w:rsidRPr="003C1E58">
        <w:t xml:space="preserve"> </w:t>
      </w:r>
      <w:r w:rsidR="00725956">
        <w:t xml:space="preserve">AGL </w:t>
      </w:r>
      <w:r w:rsidR="001A46A3">
        <w:t xml:space="preserve">opposed the change but </w:t>
      </w:r>
      <w:r w:rsidR="00725956">
        <w:t xml:space="preserve">also </w:t>
      </w:r>
      <w:r w:rsidR="00A60DB9">
        <w:t xml:space="preserve">suggested a transitional approach to </w:t>
      </w:r>
      <w:r w:rsidR="00FD2E2E">
        <w:t>a load only profile.</w:t>
      </w:r>
      <w:r w:rsidR="00490429">
        <w:rPr>
          <w:rStyle w:val="FootnoteReference"/>
        </w:rPr>
        <w:footnoteReference w:id="45"/>
      </w:r>
      <w:r w:rsidR="00FD2E2E">
        <w:t xml:space="preserve"> </w:t>
      </w:r>
    </w:p>
    <w:p w14:paraId="2297A7F0" w14:textId="5A27905C" w:rsidR="00661707" w:rsidRPr="003C1E58" w:rsidRDefault="00661707" w:rsidP="00A93496">
      <w:pPr>
        <w:keepNext/>
      </w:pPr>
      <w:r w:rsidRPr="003C1E58">
        <w:lastRenderedPageBreak/>
        <w:t xml:space="preserve">The </w:t>
      </w:r>
      <w:r w:rsidR="00FE1011" w:rsidRPr="003C1E58">
        <w:t>primary</w:t>
      </w:r>
      <w:r w:rsidRPr="003C1E58">
        <w:t xml:space="preserve"> reasons submissions did not support the removal of exports from the load profile were: </w:t>
      </w:r>
    </w:p>
    <w:p w14:paraId="6D83BE58" w14:textId="552BF544" w:rsidR="00C37A4E" w:rsidRPr="003C1E58" w:rsidRDefault="00661707" w:rsidP="00A93496">
      <w:pPr>
        <w:pStyle w:val="ListBullet"/>
        <w:keepNext/>
      </w:pPr>
      <w:r w:rsidRPr="003C1E58">
        <w:t>solar adds more risk to a retailer’s ability to hedge accurately</w:t>
      </w:r>
    </w:p>
    <w:p w14:paraId="49F57D28" w14:textId="3ADA0266" w:rsidR="0083040D" w:rsidRPr="003C1E58" w:rsidRDefault="0083040D" w:rsidP="00A93496">
      <w:pPr>
        <w:pStyle w:val="ListBullet"/>
        <w:keepNext/>
      </w:pPr>
      <w:r>
        <w:t>the</w:t>
      </w:r>
      <w:r w:rsidR="00B80584">
        <w:t>y consider</w:t>
      </w:r>
      <w:r w:rsidR="00E336E0">
        <w:t>ed</w:t>
      </w:r>
      <w:r w:rsidR="00B80584">
        <w:t xml:space="preserve"> </w:t>
      </w:r>
      <w:r>
        <w:t>the switch to a load only profile is</w:t>
      </w:r>
      <w:r w:rsidRPr="003C1E58">
        <w:t xml:space="preserve"> a major </w:t>
      </w:r>
      <w:r>
        <w:t xml:space="preserve">and sudden </w:t>
      </w:r>
      <w:r w:rsidRPr="003C1E58">
        <w:t xml:space="preserve">change </w:t>
      </w:r>
      <w:r>
        <w:t>which</w:t>
      </w:r>
      <w:r w:rsidRPr="003C1E58">
        <w:t xml:space="preserve"> should be phased in</w:t>
      </w:r>
      <w:r>
        <w:t>.</w:t>
      </w:r>
    </w:p>
    <w:p w14:paraId="26426211" w14:textId="5DC73C16" w:rsidR="009935B4" w:rsidRDefault="00E43A95" w:rsidP="00A369E8">
      <w:r w:rsidRPr="00EB7E56">
        <w:t xml:space="preserve">Retailers </w:t>
      </w:r>
      <w:r w:rsidR="00E8613F">
        <w:t>explained</w:t>
      </w:r>
      <w:r w:rsidRPr="00EB7E56">
        <w:t xml:space="preserve"> that solar load increases their </w:t>
      </w:r>
      <w:r w:rsidR="0058733C" w:rsidRPr="00EB7E56">
        <w:t xml:space="preserve">hedging costs as </w:t>
      </w:r>
      <w:r w:rsidR="00B47AED" w:rsidRPr="00EB7E56">
        <w:t xml:space="preserve">their customer </w:t>
      </w:r>
      <w:r w:rsidR="00E92270" w:rsidRPr="00EB7E56">
        <w:t>load become</w:t>
      </w:r>
      <w:r w:rsidR="007408B8">
        <w:t>s</w:t>
      </w:r>
      <w:r w:rsidR="00E92270" w:rsidRPr="00EB7E56">
        <w:t xml:space="preserve"> peakier</w:t>
      </w:r>
      <w:r w:rsidR="00CA41A6">
        <w:t xml:space="preserve"> and more difficult to hedge in the wholesale market</w:t>
      </w:r>
      <w:r w:rsidR="00E92270" w:rsidRPr="00EB7E56">
        <w:t>.</w:t>
      </w:r>
      <w:r w:rsidR="00E92270" w:rsidRPr="00EB7E56">
        <w:rPr>
          <w:rStyle w:val="FootnoteReference"/>
        </w:rPr>
        <w:footnoteReference w:id="46"/>
      </w:r>
      <w:r w:rsidR="00920A5B" w:rsidRPr="00EB7E56">
        <w:t xml:space="preserve"> </w:t>
      </w:r>
      <w:r w:rsidR="00E93AC0" w:rsidRPr="00EB7E56">
        <w:t>T</w:t>
      </w:r>
      <w:r w:rsidR="0074031F" w:rsidRPr="00EB7E56">
        <w:t xml:space="preserve">he </w:t>
      </w:r>
      <w:r w:rsidR="00AA730A" w:rsidRPr="00EB7E56">
        <w:t xml:space="preserve">peakier load </w:t>
      </w:r>
      <w:r w:rsidR="009E49B2" w:rsidRPr="00EB7E56">
        <w:t xml:space="preserve">comes about as demand decreases during the day but then </w:t>
      </w:r>
      <w:r w:rsidR="00FB7822" w:rsidRPr="00EB7E56">
        <w:t>peaks</w:t>
      </w:r>
      <w:r w:rsidR="00572460">
        <w:t xml:space="preserve"> more sharply</w:t>
      </w:r>
      <w:r w:rsidR="00FB7822" w:rsidRPr="00EB7E56">
        <w:t xml:space="preserve"> in the evening. </w:t>
      </w:r>
    </w:p>
    <w:p w14:paraId="479EA3BE" w14:textId="00EB9CDF" w:rsidR="00DC0E4F" w:rsidRDefault="004659C6" w:rsidP="00A369E8">
      <w:r w:rsidRPr="001F5CCB">
        <w:t>Frontier Economics’ STRIKE model will select the optimal mix of hedging contracts to match the loa</w:t>
      </w:r>
      <w:r>
        <w:t>d</w:t>
      </w:r>
      <w:r w:rsidRPr="001F5CCB">
        <w:t xml:space="preserve">, naturally accommodating hedging costs. STRIKE estimates the retailer’s exposure to the wholesale market based on its load and wholesale cost. This, along with hedging products, </w:t>
      </w:r>
      <w:r>
        <w:t>is</w:t>
      </w:r>
      <w:r w:rsidRPr="001F5CCB">
        <w:t xml:space="preserve"> used to calculate the lowest cost cont</w:t>
      </w:r>
      <w:r>
        <w:t>r</w:t>
      </w:r>
      <w:r w:rsidRPr="001F5CCB">
        <w:t>act mix that a retailer must use to cover its wholesale risk</w:t>
      </w:r>
      <w:r w:rsidR="00282175" w:rsidRPr="0094542E">
        <w:t>.</w:t>
      </w:r>
      <w:r w:rsidR="00256476" w:rsidRPr="0094542E">
        <w:rPr>
          <w:rStyle w:val="FootnoteReference"/>
        </w:rPr>
        <w:footnoteReference w:id="47"/>
      </w:r>
      <w:r w:rsidR="006A0149" w:rsidRPr="0094542E">
        <w:t xml:space="preserve"> </w:t>
      </w:r>
      <w:r w:rsidR="00B26BBE" w:rsidRPr="0094542E">
        <w:t>W</w:t>
      </w:r>
      <w:r w:rsidR="00A25B9F" w:rsidRPr="0094542E">
        <w:t>e</w:t>
      </w:r>
      <w:r w:rsidR="00B26BBE" w:rsidRPr="0094542E">
        <w:t xml:space="preserve"> acknowledge that retailers </w:t>
      </w:r>
      <w:r w:rsidR="00514F60" w:rsidRPr="0094542E">
        <w:t>may</w:t>
      </w:r>
      <w:r w:rsidR="00B26BBE" w:rsidRPr="0094542E">
        <w:t xml:space="preserve"> have </w:t>
      </w:r>
      <w:r w:rsidR="00CB2C75" w:rsidRPr="0094542E">
        <w:t xml:space="preserve">wholesale </w:t>
      </w:r>
      <w:r w:rsidR="00514F60" w:rsidRPr="0094542E">
        <w:t xml:space="preserve">electricity </w:t>
      </w:r>
      <w:r w:rsidR="00CB2C75" w:rsidRPr="0094542E">
        <w:t>market cost</w:t>
      </w:r>
      <w:r w:rsidR="00514F60" w:rsidRPr="0094542E">
        <w:t>s</w:t>
      </w:r>
      <w:r w:rsidR="00CB2C75" w:rsidRPr="0094542E">
        <w:t xml:space="preserve"> and hedging strategies that differ to the approach we have taken</w:t>
      </w:r>
      <w:r w:rsidR="00A25B9F" w:rsidRPr="0094542E">
        <w:t>.</w:t>
      </w:r>
      <w:r w:rsidR="006A0149" w:rsidRPr="0094542E">
        <w:t xml:space="preserve"> </w:t>
      </w:r>
    </w:p>
    <w:p w14:paraId="30CADF94" w14:textId="20747908" w:rsidR="00CA278F" w:rsidRDefault="0081627B" w:rsidP="00A369E8">
      <w:r>
        <w:t>Consistent with the advice we have received</w:t>
      </w:r>
      <w:r w:rsidR="00ED0F5C">
        <w:t>, an efficient approach</w:t>
      </w:r>
      <w:r w:rsidR="00884624">
        <w:t xml:space="preserve"> to </w:t>
      </w:r>
      <w:r w:rsidR="00DB29DD">
        <w:t>wholesale electricity costs</w:t>
      </w:r>
      <w:r w:rsidR="00884624">
        <w:t xml:space="preserve"> for the purpose of the default offer is to use a load only profile and </w:t>
      </w:r>
      <w:r w:rsidR="00BB5A4F">
        <w:t xml:space="preserve">include </w:t>
      </w:r>
      <w:r w:rsidR="00884624">
        <w:t>a wholesale electricity cost of exports</w:t>
      </w:r>
      <w:r w:rsidR="007F4F45">
        <w:t xml:space="preserve">. </w:t>
      </w:r>
      <w:r w:rsidR="003D06A5">
        <w:t xml:space="preserve">This </w:t>
      </w:r>
      <w:r w:rsidR="00306596">
        <w:t>approach</w:t>
      </w:r>
      <w:r w:rsidR="003D06A5">
        <w:t xml:space="preserve"> reflects</w:t>
      </w:r>
      <w:r w:rsidR="001B55BE">
        <w:t xml:space="preserve"> the </w:t>
      </w:r>
      <w:r w:rsidR="005E7A79">
        <w:t>import and export</w:t>
      </w:r>
      <w:r w:rsidR="001B55BE">
        <w:t xml:space="preserve"> </w:t>
      </w:r>
      <w:r w:rsidR="00306596">
        <w:t xml:space="preserve">wholesale </w:t>
      </w:r>
      <w:r w:rsidR="001B55BE">
        <w:t>costs</w:t>
      </w:r>
      <w:r w:rsidR="00306596">
        <w:t xml:space="preserve"> to retailers</w:t>
      </w:r>
      <w:r w:rsidR="001B55BE">
        <w:t xml:space="preserve"> and </w:t>
      </w:r>
      <w:r w:rsidR="003D06A5">
        <w:t xml:space="preserve">most </w:t>
      </w:r>
      <w:r w:rsidR="00EF1C81">
        <w:t xml:space="preserve">efficient </w:t>
      </w:r>
      <w:r w:rsidR="008128A6">
        <w:t xml:space="preserve">method of recovering </w:t>
      </w:r>
      <w:r w:rsidR="00F07014">
        <w:t>them</w:t>
      </w:r>
      <w:r w:rsidR="006D000C">
        <w:t>.</w:t>
      </w:r>
      <w:r w:rsidR="00884624">
        <w:t xml:space="preserve"> </w:t>
      </w:r>
      <w:r w:rsidR="002B14B2">
        <w:t>Frontier Economic</w:t>
      </w:r>
      <w:r w:rsidR="005177D7">
        <w:t>s</w:t>
      </w:r>
      <w:r w:rsidR="00FA569D">
        <w:t>’</w:t>
      </w:r>
      <w:r w:rsidR="005177D7">
        <w:t xml:space="preserve"> </w:t>
      </w:r>
      <w:r w:rsidR="002A6DE7">
        <w:t xml:space="preserve">Final </w:t>
      </w:r>
      <w:r w:rsidR="00A613EE">
        <w:t>R</w:t>
      </w:r>
      <w:r w:rsidR="002A6DE7">
        <w:t xml:space="preserve">eport </w:t>
      </w:r>
      <w:r w:rsidR="00A613EE">
        <w:t>explains</w:t>
      </w:r>
      <w:r w:rsidR="00E70775">
        <w:t>:</w:t>
      </w:r>
      <w:r w:rsidR="00A613EE">
        <w:t xml:space="preserve"> </w:t>
      </w:r>
    </w:p>
    <w:p w14:paraId="66B61FEF" w14:textId="1C6E3473" w:rsidR="0081627B" w:rsidRDefault="007939D9" w:rsidP="00CA278F">
      <w:pPr>
        <w:pStyle w:val="Quote"/>
      </w:pPr>
      <w:r w:rsidRPr="00DB77E6">
        <w:rPr>
          <w:rStyle w:val="QuoteChar"/>
        </w:rPr>
        <w:t>“</w:t>
      </w:r>
      <w:proofErr w:type="gramStart"/>
      <w:r w:rsidRPr="00DB77E6">
        <w:rPr>
          <w:rStyle w:val="QuoteChar"/>
        </w:rPr>
        <w:t>it</w:t>
      </w:r>
      <w:proofErr w:type="gramEnd"/>
      <w:r w:rsidRPr="00DB77E6">
        <w:rPr>
          <w:rStyle w:val="QuoteChar"/>
        </w:rPr>
        <w:t xml:space="preserve"> is logical to recognise that a retailer will be settled both for a residential customer’s imports and a residential customer’s exports, and likely will seek to hedge that combined load, but nevertheless to identify different WECs for these loads and set different prices for loads. Indeed, these different prices are the VDO and the FiT.”</w:t>
      </w:r>
      <w:r w:rsidR="00DB77E6">
        <w:rPr>
          <w:rStyle w:val="FootnoteReference"/>
        </w:rPr>
        <w:footnoteReference w:id="48"/>
      </w:r>
    </w:p>
    <w:p w14:paraId="7F899972" w14:textId="7C2EF046" w:rsidR="00CC0DC5" w:rsidRPr="0094542E" w:rsidRDefault="00CC0DC5" w:rsidP="00A369E8">
      <w:r w:rsidRPr="0094542E">
        <w:t>In addition to this, we</w:t>
      </w:r>
      <w:r w:rsidR="006F0E63" w:rsidRPr="0094542E">
        <w:t xml:space="preserve"> have observed that default offer customers a</w:t>
      </w:r>
      <w:r w:rsidR="00AB4E08" w:rsidRPr="0094542E">
        <w:t>re</w:t>
      </w:r>
      <w:r w:rsidR="006F0E63" w:rsidRPr="0094542E">
        <w:t xml:space="preserve"> less likely to have solar</w:t>
      </w:r>
      <w:r w:rsidR="00EB17C9" w:rsidRPr="0094542E">
        <w:t>,</w:t>
      </w:r>
      <w:r w:rsidR="006F0E63" w:rsidRPr="0094542E">
        <w:t xml:space="preserve"> compared to the Victorian average</w:t>
      </w:r>
      <w:r w:rsidR="00EB17C9" w:rsidRPr="0094542E">
        <w:t>,</w:t>
      </w:r>
      <w:r w:rsidR="008E1EB3" w:rsidRPr="0094542E">
        <w:t xml:space="preserve"> so default offer customers </w:t>
      </w:r>
      <w:r w:rsidR="001B6304" w:rsidRPr="0094542E">
        <w:t xml:space="preserve">would have a </w:t>
      </w:r>
      <w:r w:rsidR="001B6304" w:rsidRPr="008301C9">
        <w:t>lower solar load</w:t>
      </w:r>
      <w:r w:rsidR="00AB4E08" w:rsidRPr="008301C9">
        <w:t>.</w:t>
      </w:r>
      <w:r w:rsidR="00AB4E08" w:rsidRPr="008301C9">
        <w:rPr>
          <w:rStyle w:val="FootnoteReference"/>
        </w:rPr>
        <w:footnoteReference w:id="49"/>
      </w:r>
      <w:r w:rsidR="006F0E63" w:rsidRPr="008301C9">
        <w:t xml:space="preserve"> </w:t>
      </w:r>
      <w:r w:rsidR="001C45B9" w:rsidRPr="008301C9">
        <w:t xml:space="preserve">We </w:t>
      </w:r>
      <w:r w:rsidR="001C45B9" w:rsidRPr="008301C9">
        <w:lastRenderedPageBreak/>
        <w:t>also</w:t>
      </w:r>
      <w:r w:rsidR="0008065F" w:rsidRPr="008301C9">
        <w:t xml:space="preserve"> regard the objective of the Victorian Default Offer</w:t>
      </w:r>
      <w:r w:rsidR="006B4F85" w:rsidRPr="008301C9">
        <w:t>,</w:t>
      </w:r>
      <w:r w:rsidR="0008065F" w:rsidRPr="008301C9">
        <w:t xml:space="preserve"> which includes to provide a simple electricity option for consumers unable or unwilling to engage in the electricity market</w:t>
      </w:r>
      <w:r w:rsidR="00B30B09" w:rsidRPr="008301C9">
        <w:t>.</w:t>
      </w:r>
      <w:r w:rsidR="00B30B09" w:rsidRPr="008301C9">
        <w:rPr>
          <w:rStyle w:val="FootnoteReference"/>
        </w:rPr>
        <w:footnoteReference w:id="50"/>
      </w:r>
      <w:r w:rsidR="00B30B09" w:rsidRPr="008301C9">
        <w:t xml:space="preserve"> T</w:t>
      </w:r>
      <w:r w:rsidR="001732C5" w:rsidRPr="008301C9">
        <w:t xml:space="preserve">herefore </w:t>
      </w:r>
      <w:r w:rsidR="0008065F" w:rsidRPr="008301C9">
        <w:t>we consider a load only profile to be an efficient approach to estimating wholesale electricity costs for the Victorian Default Offer</w:t>
      </w:r>
      <w:r w:rsidR="00C21399" w:rsidRPr="008301C9">
        <w:t xml:space="preserve">, </w:t>
      </w:r>
      <w:r w:rsidR="0008065F" w:rsidRPr="008301C9">
        <w:t>consistent with this objective.</w:t>
      </w:r>
      <w:r w:rsidR="0008065F" w:rsidRPr="00FA20A9">
        <w:t xml:space="preserve"> </w:t>
      </w:r>
    </w:p>
    <w:p w14:paraId="44D854EB" w14:textId="447E9792" w:rsidR="0064491C" w:rsidRPr="001F5CCB" w:rsidRDefault="002561DB" w:rsidP="003F3C6A">
      <w:r w:rsidRPr="002561DB">
        <w:t>GloBird</w:t>
      </w:r>
      <w:r w:rsidR="00677AB3">
        <w:t xml:space="preserve"> Energy</w:t>
      </w:r>
      <w:r w:rsidRPr="002561DB">
        <w:t xml:space="preserve"> </w:t>
      </w:r>
      <w:r w:rsidR="002832A2">
        <w:t>noted</w:t>
      </w:r>
      <w:r w:rsidRPr="002561DB">
        <w:t xml:space="preserve"> that</w:t>
      </w:r>
      <w:r w:rsidR="002832A2">
        <w:t xml:space="preserve"> many</w:t>
      </w:r>
      <w:r w:rsidRPr="002561DB">
        <w:t xml:space="preserve"> solar customers prefer flat rate tariffs but tend to have lower annual energy usage, which increases costs for retailers</w:t>
      </w:r>
      <w:r w:rsidR="005D2B58" w:rsidRPr="0094542E">
        <w:t>.</w:t>
      </w:r>
      <w:r w:rsidR="005D2B58" w:rsidRPr="0094542E">
        <w:rPr>
          <w:rStyle w:val="FootnoteReference"/>
        </w:rPr>
        <w:footnoteReference w:id="51"/>
      </w:r>
      <w:r w:rsidR="00504EC0" w:rsidRPr="0094542E">
        <w:t xml:space="preserve"> </w:t>
      </w:r>
      <w:r>
        <w:t xml:space="preserve">As a result, GloBird </w:t>
      </w:r>
      <w:r w:rsidR="00677AB3">
        <w:t xml:space="preserve">Energy </w:t>
      </w:r>
      <w:r>
        <w:t xml:space="preserve">argued that solar customers should be moved to time-of-use tariffs. </w:t>
      </w:r>
      <w:r w:rsidR="005D2B58" w:rsidRPr="0094542E">
        <w:t>W</w:t>
      </w:r>
      <w:r w:rsidR="0004729F">
        <w:t>e acknowledge that w</w:t>
      </w:r>
      <w:r w:rsidR="00AF5FD7" w:rsidRPr="0094542E">
        <w:t>hen</w:t>
      </w:r>
      <w:r w:rsidR="006A0149" w:rsidRPr="0094542E">
        <w:t xml:space="preserve"> customers </w:t>
      </w:r>
      <w:r w:rsidR="0004729F">
        <w:t>switch</w:t>
      </w:r>
      <w:r w:rsidR="0004729F" w:rsidRPr="0094542E">
        <w:t xml:space="preserve"> </w:t>
      </w:r>
      <w:r w:rsidR="006A0149" w:rsidRPr="0094542E">
        <w:t xml:space="preserve">to </w:t>
      </w:r>
      <w:r w:rsidR="00FD1C8B" w:rsidRPr="0094542E">
        <w:t>a standing</w:t>
      </w:r>
      <w:r w:rsidR="006A0149" w:rsidRPr="0094542E">
        <w:t xml:space="preserve"> offer</w:t>
      </w:r>
      <w:r w:rsidR="0004729F">
        <w:t>,</w:t>
      </w:r>
      <w:r w:rsidR="006A0149" w:rsidRPr="0094542E">
        <w:t xml:space="preserve"> they </w:t>
      </w:r>
      <w:r w:rsidR="0004729F">
        <w:t xml:space="preserve">generally </w:t>
      </w:r>
      <w:r w:rsidR="006A0149" w:rsidRPr="0094542E">
        <w:t xml:space="preserve">retain their existing </w:t>
      </w:r>
      <w:r w:rsidR="003C473E" w:rsidRPr="0094542E">
        <w:t>network</w:t>
      </w:r>
      <w:r w:rsidR="001353A1" w:rsidRPr="0094542E">
        <w:t xml:space="preserve"> </w:t>
      </w:r>
      <w:r w:rsidR="006A0149" w:rsidRPr="0094542E">
        <w:t>tariff type</w:t>
      </w:r>
      <w:r w:rsidR="00FB6055">
        <w:t>.</w:t>
      </w:r>
      <w:r w:rsidR="00332B24" w:rsidRPr="0094542E">
        <w:t xml:space="preserve"> </w:t>
      </w:r>
      <w:r w:rsidR="002E4EA2">
        <w:t>However,</w:t>
      </w:r>
      <w:r w:rsidR="00154506">
        <w:t xml:space="preserve"> for solar customers on market offers</w:t>
      </w:r>
      <w:r w:rsidR="00EB192F">
        <w:t xml:space="preserve"> (</w:t>
      </w:r>
      <w:proofErr w:type="gramStart"/>
      <w:r w:rsidR="004D653D">
        <w:t>the vast majority of</w:t>
      </w:r>
      <w:proofErr w:type="gramEnd"/>
      <w:r w:rsidR="004D653D">
        <w:t xml:space="preserve"> solar customers are on market offers)</w:t>
      </w:r>
      <w:r w:rsidR="00200CA9" w:rsidRPr="0094542E">
        <w:t>,</w:t>
      </w:r>
      <w:r w:rsidR="00282175" w:rsidRPr="0094542E">
        <w:t xml:space="preserve"> retailers </w:t>
      </w:r>
      <w:r w:rsidR="00032B5E" w:rsidRPr="0094542E">
        <w:t xml:space="preserve">are </w:t>
      </w:r>
      <w:r w:rsidR="00140CBC">
        <w:t>well</w:t>
      </w:r>
      <w:r w:rsidR="00140CBC" w:rsidRPr="0094542E">
        <w:t xml:space="preserve"> </w:t>
      </w:r>
      <w:r w:rsidR="00032B5E" w:rsidRPr="0094542E">
        <w:t>placed to</w:t>
      </w:r>
      <w:r w:rsidR="00282175" w:rsidRPr="0094542E">
        <w:t xml:space="preserve"> engage with </w:t>
      </w:r>
      <w:r w:rsidR="00095451">
        <w:t>them and promote</w:t>
      </w:r>
      <w:r w:rsidR="00282175" w:rsidRPr="0094542E">
        <w:t xml:space="preserve"> </w:t>
      </w:r>
      <w:r w:rsidR="00B1266D" w:rsidRPr="0094542E">
        <w:t xml:space="preserve">demand management strategies </w:t>
      </w:r>
      <w:r w:rsidR="007C5091">
        <w:t>– such as</w:t>
      </w:r>
      <w:r w:rsidR="002C2B53">
        <w:t xml:space="preserve"> </w:t>
      </w:r>
      <w:r w:rsidR="00714DF5">
        <w:t xml:space="preserve">switching to retail </w:t>
      </w:r>
      <w:r w:rsidR="00282175" w:rsidRPr="0094542E">
        <w:t>time-of-use tariffs</w:t>
      </w:r>
      <w:r w:rsidR="00085F2A">
        <w:t xml:space="preserve"> –</w:t>
      </w:r>
      <w:r w:rsidR="00282175" w:rsidRPr="0094542E">
        <w:t xml:space="preserve"> to</w:t>
      </w:r>
      <w:r w:rsidR="00D5270E">
        <w:t xml:space="preserve"> help</w:t>
      </w:r>
      <w:r w:rsidR="00282175" w:rsidRPr="0094542E">
        <w:t xml:space="preserve"> manage th</w:t>
      </w:r>
      <w:r w:rsidR="00CB2712">
        <w:t>eir</w:t>
      </w:r>
      <w:r w:rsidR="00282175" w:rsidRPr="0094542E">
        <w:t xml:space="preserve"> </w:t>
      </w:r>
      <w:r w:rsidR="00282175" w:rsidRPr="008301C9">
        <w:t>risk</w:t>
      </w:r>
      <w:r w:rsidR="57005801" w:rsidRPr="008301C9">
        <w:t>.</w:t>
      </w:r>
      <w:r w:rsidR="00152120" w:rsidRPr="008301C9">
        <w:t xml:space="preserve"> </w:t>
      </w:r>
      <w:r w:rsidR="007328DB" w:rsidRPr="008301C9">
        <w:t>Moreover, it is also consistent with Victorian legislation requirements that retailers must offer solar customers the same electricity tariffs and terms and conditions as they offer to other non-solar customers.</w:t>
      </w:r>
      <w:r w:rsidR="007328DB" w:rsidRPr="008301C9">
        <w:rPr>
          <w:rStyle w:val="FootnoteReference"/>
        </w:rPr>
        <w:footnoteReference w:id="52"/>
      </w:r>
      <w:r w:rsidR="007328DB" w:rsidRPr="008301C9">
        <w:t xml:space="preserve"> This includes</w:t>
      </w:r>
      <w:r w:rsidR="007328DB" w:rsidRPr="00FA20A9">
        <w:t xml:space="preserve"> such offers being made to customers on the Victorian Default Offer.</w:t>
      </w:r>
      <w:r w:rsidR="007328DB">
        <w:t xml:space="preserve"> </w:t>
      </w:r>
      <w:r w:rsidR="00E12B09" w:rsidRPr="00E374D3">
        <w:t>Frontier Economics ha</w:t>
      </w:r>
      <w:r w:rsidR="00D763C2">
        <w:t>s</w:t>
      </w:r>
      <w:r w:rsidR="00E12B09" w:rsidRPr="00E374D3">
        <w:t xml:space="preserve"> </w:t>
      </w:r>
      <w:r w:rsidR="00806FD4">
        <w:t>responded to</w:t>
      </w:r>
      <w:r w:rsidR="001E1337" w:rsidRPr="00E374D3">
        <w:t xml:space="preserve"> </w:t>
      </w:r>
      <w:r w:rsidR="00E12B09" w:rsidRPr="00E374D3">
        <w:t>submissions</w:t>
      </w:r>
      <w:r w:rsidR="007F3550">
        <w:t xml:space="preserve">, including </w:t>
      </w:r>
      <w:r w:rsidR="00F732FF">
        <w:t>the points raised by</w:t>
      </w:r>
      <w:r w:rsidR="007F3550">
        <w:t xml:space="preserve"> </w:t>
      </w:r>
      <w:r w:rsidR="00BC0C7F">
        <w:t>GloBird</w:t>
      </w:r>
      <w:r w:rsidR="00677AB3">
        <w:t xml:space="preserve"> Energy</w:t>
      </w:r>
      <w:r w:rsidR="001E1337">
        <w:t>,</w:t>
      </w:r>
      <w:r w:rsidR="00BC0C7F">
        <w:t xml:space="preserve"> </w:t>
      </w:r>
      <w:r w:rsidR="00E12B09" w:rsidRPr="00E374D3">
        <w:t xml:space="preserve">in </w:t>
      </w:r>
      <w:r w:rsidR="001E1337">
        <w:t>its</w:t>
      </w:r>
      <w:r w:rsidR="001E1337" w:rsidRPr="00E374D3">
        <w:t xml:space="preserve"> </w:t>
      </w:r>
      <w:r w:rsidR="00E12B09" w:rsidRPr="00E374D3">
        <w:t>Final Report.</w:t>
      </w:r>
      <w:r w:rsidR="00E12B09" w:rsidRPr="00E374D3">
        <w:rPr>
          <w:rStyle w:val="FootnoteReference"/>
        </w:rPr>
        <w:footnoteReference w:id="53"/>
      </w:r>
    </w:p>
    <w:p w14:paraId="4E81C05C" w14:textId="6C5BC970" w:rsidR="00D30A58" w:rsidRPr="008C32FC" w:rsidRDefault="00E15699" w:rsidP="003F3C6A">
      <w:r>
        <w:t>Red Energy expressed that retailers would now need to change their approach to hedging wholesale electricity costs and their feed-in tariffs.</w:t>
      </w:r>
      <w:r>
        <w:rPr>
          <w:rStyle w:val="FootnoteReference"/>
        </w:rPr>
        <w:footnoteReference w:id="54"/>
      </w:r>
      <w:r>
        <w:t xml:space="preserve"> </w:t>
      </w:r>
    </w:p>
    <w:p w14:paraId="1BE3F893" w14:textId="21DE9A91" w:rsidR="009C4266" w:rsidRPr="008C32FC" w:rsidRDefault="00FE2FC8" w:rsidP="003F3C6A">
      <w:r w:rsidRPr="0072465E">
        <w:t>We ack</w:t>
      </w:r>
      <w:r w:rsidR="00E33B4B" w:rsidRPr="0072465E">
        <w:t xml:space="preserve">nowledge that </w:t>
      </w:r>
      <w:r w:rsidR="00737EEF" w:rsidRPr="0072465E">
        <w:t>market settlements</w:t>
      </w:r>
      <w:r w:rsidR="006C3364" w:rsidRPr="0072465E">
        <w:t xml:space="preserve"> would be </w:t>
      </w:r>
      <w:r w:rsidR="00D47634" w:rsidRPr="0072465E">
        <w:t>at</w:t>
      </w:r>
      <w:r w:rsidR="006C3364" w:rsidRPr="0072465E">
        <w:t xml:space="preserve"> a balance position and that </w:t>
      </w:r>
      <w:r w:rsidR="00E33B4B" w:rsidRPr="0072465E">
        <w:t xml:space="preserve">retailers </w:t>
      </w:r>
      <w:r w:rsidR="0040664E" w:rsidRPr="0072465E">
        <w:t xml:space="preserve">may </w:t>
      </w:r>
      <w:r w:rsidR="006C3364" w:rsidRPr="0072465E">
        <w:t xml:space="preserve">seek to hedge their total customer load </w:t>
      </w:r>
      <w:r w:rsidR="006943F1" w:rsidRPr="0072465E">
        <w:t xml:space="preserve">in line with their </w:t>
      </w:r>
      <w:r w:rsidR="0078712A">
        <w:t xml:space="preserve">individual </w:t>
      </w:r>
      <w:r w:rsidR="00110013" w:rsidRPr="0072465E">
        <w:t>risk</w:t>
      </w:r>
      <w:r w:rsidR="00221DDA" w:rsidRPr="0072465E">
        <w:t xml:space="preserve"> management</w:t>
      </w:r>
      <w:r w:rsidR="000D193E" w:rsidRPr="0072465E">
        <w:t xml:space="preserve"> strategies</w:t>
      </w:r>
      <w:r w:rsidR="0040664E" w:rsidRPr="0072465E">
        <w:t>.</w:t>
      </w:r>
      <w:r w:rsidR="006C3364" w:rsidRPr="0072465E">
        <w:t xml:space="preserve"> </w:t>
      </w:r>
      <w:r w:rsidR="0072465E" w:rsidRPr="0072465E">
        <w:t>However,</w:t>
      </w:r>
      <w:r w:rsidR="006C3364" w:rsidRPr="0072465E">
        <w:t xml:space="preserve"> when setting the Victorian Default Offer</w:t>
      </w:r>
      <w:r w:rsidR="00654C20" w:rsidRPr="00FA20A9">
        <w:t>,</w:t>
      </w:r>
      <w:r w:rsidR="006C3364" w:rsidRPr="00FA20A9">
        <w:t xml:space="preserve"> we consider</w:t>
      </w:r>
      <w:r w:rsidR="00A0410E" w:rsidRPr="00FA20A9">
        <w:t xml:space="preserve"> the manner in which settlement occur</w:t>
      </w:r>
      <w:r w:rsidR="00610A1D">
        <w:t>s</w:t>
      </w:r>
      <w:r w:rsidR="00A0410E" w:rsidRPr="00FA20A9">
        <w:t xml:space="preserve"> differs </w:t>
      </w:r>
      <w:r w:rsidR="00CA516B" w:rsidRPr="00FA20A9">
        <w:t>to</w:t>
      </w:r>
      <w:r w:rsidR="00A0410E" w:rsidRPr="00FA20A9">
        <w:t xml:space="preserve"> the approach taken to estimate the wholesale electricity cost</w:t>
      </w:r>
      <w:r w:rsidR="00717E95" w:rsidRPr="00FA20A9">
        <w:t>.</w:t>
      </w:r>
      <w:r w:rsidR="002A4AF2" w:rsidRPr="00FA20A9">
        <w:rPr>
          <w:rStyle w:val="FootnoteReference"/>
        </w:rPr>
        <w:footnoteReference w:id="55"/>
      </w:r>
      <w:r w:rsidR="008873DE" w:rsidRPr="00FA20A9">
        <w:t xml:space="preserve"> </w:t>
      </w:r>
      <w:r w:rsidR="009C4266" w:rsidRPr="00FA20A9">
        <w:t>The pricing order states we must base the Victorian Default Offer on the efficient costs of the sale of electricity by a retailer.</w:t>
      </w:r>
      <w:r w:rsidR="009C4266" w:rsidRPr="00FA20A9">
        <w:rPr>
          <w:rStyle w:val="FootnoteReference"/>
        </w:rPr>
        <w:footnoteReference w:id="56"/>
      </w:r>
      <w:r w:rsidR="00633F92" w:rsidRPr="00FA20A9">
        <w:t xml:space="preserve"> </w:t>
      </w:r>
      <w:r w:rsidR="006F73D4" w:rsidRPr="00FA20A9">
        <w:t>The pricing order</w:t>
      </w:r>
      <w:r w:rsidR="00633F92" w:rsidRPr="00FA20A9">
        <w:t xml:space="preserve"> doesn’t require us to determine tariffs based on </w:t>
      </w:r>
      <w:r w:rsidR="006A3E50" w:rsidRPr="00FA20A9">
        <w:t>the actual costs</w:t>
      </w:r>
      <w:r w:rsidR="009C0BE7" w:rsidRPr="00FA20A9">
        <w:t xml:space="preserve"> of an </w:t>
      </w:r>
      <w:r w:rsidR="003F3C6A" w:rsidRPr="00FA20A9">
        <w:t xml:space="preserve">individual </w:t>
      </w:r>
      <w:r w:rsidR="00633F92" w:rsidRPr="00FA20A9">
        <w:t>retailer</w:t>
      </w:r>
      <w:r w:rsidR="009C0BE7" w:rsidRPr="00FA20A9">
        <w:t xml:space="preserve"> </w:t>
      </w:r>
      <w:r w:rsidR="00633F92" w:rsidRPr="00FA20A9">
        <w:t xml:space="preserve">and therefore </w:t>
      </w:r>
      <w:r w:rsidR="001432B4" w:rsidRPr="00FA20A9">
        <w:t xml:space="preserve">the hedging </w:t>
      </w:r>
      <w:r w:rsidR="00633F92" w:rsidRPr="00FA20A9">
        <w:t>practices</w:t>
      </w:r>
      <w:r w:rsidR="006840A4" w:rsidRPr="00FA20A9">
        <w:t xml:space="preserve"> of any individual</w:t>
      </w:r>
      <w:r w:rsidR="006840A4">
        <w:t xml:space="preserve"> retailer</w:t>
      </w:r>
      <w:r w:rsidR="00E9405A">
        <w:t>.</w:t>
      </w:r>
      <w:r w:rsidR="00E9405A">
        <w:rPr>
          <w:rStyle w:val="FootnoteReference"/>
        </w:rPr>
        <w:footnoteReference w:id="57"/>
      </w:r>
      <w:r w:rsidR="004B1FD2">
        <w:t xml:space="preserve"> As discussed above</w:t>
      </w:r>
      <w:r w:rsidR="004706BD">
        <w:t>,</w:t>
      </w:r>
      <w:r w:rsidR="004B1FD2">
        <w:t xml:space="preserve"> we </w:t>
      </w:r>
      <w:r w:rsidR="004772F9">
        <w:t>considered retailers may use different approaches</w:t>
      </w:r>
      <w:r w:rsidR="002D0445">
        <w:t xml:space="preserve"> t</w:t>
      </w:r>
      <w:r w:rsidR="00A872BD">
        <w:t>han</w:t>
      </w:r>
      <w:r w:rsidR="005A2CEE">
        <w:t xml:space="preserve"> we do in the Victorian Default </w:t>
      </w:r>
      <w:r w:rsidR="005A2CEE">
        <w:lastRenderedPageBreak/>
        <w:t xml:space="preserve">Offer, including different approaches to hedging </w:t>
      </w:r>
      <w:r w:rsidR="00012586">
        <w:t xml:space="preserve">their wholesale electricity costs </w:t>
      </w:r>
      <w:r w:rsidR="005A2CEE">
        <w:t xml:space="preserve">and feed-in tariffs. </w:t>
      </w:r>
      <w:r w:rsidR="00285C3A">
        <w:t>For example</w:t>
      </w:r>
      <w:r w:rsidR="00AA5A2E">
        <w:t>,</w:t>
      </w:r>
      <w:r w:rsidR="00285C3A">
        <w:t xml:space="preserve"> r</w:t>
      </w:r>
      <w:r w:rsidR="005A2CEE">
        <w:t xml:space="preserve">etailers can mitigate </w:t>
      </w:r>
      <w:r w:rsidR="00FF25F1">
        <w:t xml:space="preserve">wholesale market risks through a range of </w:t>
      </w:r>
      <w:r w:rsidR="004706BD">
        <w:t>hedging instruments and products</w:t>
      </w:r>
      <w:r w:rsidR="00AF2931">
        <w:t>,</w:t>
      </w:r>
      <w:r w:rsidR="004706BD">
        <w:t xml:space="preserve"> as well as consumer education and demand management strategies. </w:t>
      </w:r>
      <w:r w:rsidR="004B1FD2">
        <w:t xml:space="preserve"> </w:t>
      </w:r>
    </w:p>
    <w:p w14:paraId="64651DBE" w14:textId="56F65FB6" w:rsidR="007670A4" w:rsidRDefault="00E64253" w:rsidP="00A369E8">
      <w:r w:rsidRPr="008C32FC">
        <w:t xml:space="preserve">Other submissions suggested that </w:t>
      </w:r>
      <w:r>
        <w:t>the</w:t>
      </w:r>
      <w:r w:rsidRPr="008C32FC">
        <w:t xml:space="preserve"> </w:t>
      </w:r>
      <w:r>
        <w:t xml:space="preserve">proposed </w:t>
      </w:r>
      <w:r w:rsidRPr="008C32FC">
        <w:t xml:space="preserve">change </w:t>
      </w:r>
      <w:r>
        <w:t xml:space="preserve">to the </w:t>
      </w:r>
      <w:r w:rsidRPr="008C32FC">
        <w:t>load profile and remov</w:t>
      </w:r>
      <w:r>
        <w:t>al of</w:t>
      </w:r>
      <w:r w:rsidRPr="008C32FC">
        <w:t xml:space="preserve"> solar exports was a significant change and should be phased in.</w:t>
      </w:r>
      <w:r w:rsidRPr="008C32FC">
        <w:rPr>
          <w:rStyle w:val="FootnoteReference"/>
        </w:rPr>
        <w:footnoteReference w:id="58"/>
      </w:r>
      <w:r>
        <w:t xml:space="preserve"> </w:t>
      </w:r>
      <w:r w:rsidR="002A19E3">
        <w:t>W</w:t>
      </w:r>
      <w:r w:rsidR="00262A00" w:rsidRPr="00D36B0A">
        <w:t>e</w:t>
      </w:r>
      <w:r w:rsidR="002A19E3">
        <w:t xml:space="preserve"> consider there has been sufficient notice and consultation with industry on our proposed change to the load profile. In particular</w:t>
      </w:r>
      <w:r w:rsidR="007670A4">
        <w:t>:</w:t>
      </w:r>
      <w:r w:rsidR="00262A00" w:rsidRPr="00D36B0A">
        <w:t xml:space="preserve"> </w:t>
      </w:r>
    </w:p>
    <w:p w14:paraId="1C447592" w14:textId="2D006186" w:rsidR="002306EE" w:rsidRDefault="007670A4" w:rsidP="00564EE5">
      <w:pPr>
        <w:pStyle w:val="ListBullet"/>
      </w:pPr>
      <w:r>
        <w:t xml:space="preserve">We </w:t>
      </w:r>
      <w:r w:rsidR="00262A00" w:rsidRPr="00D36B0A">
        <w:t xml:space="preserve">foreshadowed </w:t>
      </w:r>
      <w:r w:rsidR="00A77F58">
        <w:t>our intention to consider this change in the</w:t>
      </w:r>
      <w:r w:rsidR="00D55324" w:rsidRPr="00D36B0A">
        <w:t xml:space="preserve"> 2024</w:t>
      </w:r>
      <w:r w:rsidR="004E22BD" w:rsidRPr="00D36B0A">
        <w:t>–</w:t>
      </w:r>
      <w:r w:rsidR="00D55324" w:rsidRPr="00D36B0A">
        <w:t xml:space="preserve">25 </w:t>
      </w:r>
      <w:r w:rsidR="00CD4BBE" w:rsidRPr="00D36B0A">
        <w:t xml:space="preserve">Victorian Default Offer Final Decision </w:t>
      </w:r>
      <w:r w:rsidR="004E22BD" w:rsidRPr="00D36B0A">
        <w:t>Paper</w:t>
      </w:r>
      <w:r w:rsidR="006B2B2D">
        <w:t>, published May 2024</w:t>
      </w:r>
      <w:r w:rsidR="005E4F24" w:rsidRPr="00D36B0A">
        <w:t>.</w:t>
      </w:r>
      <w:r w:rsidR="00916CB9">
        <w:rPr>
          <w:rStyle w:val="FootnoteReference"/>
        </w:rPr>
        <w:footnoteReference w:id="59"/>
      </w:r>
      <w:r w:rsidR="005E4F24" w:rsidRPr="00D36B0A">
        <w:t xml:space="preserve"> </w:t>
      </w:r>
    </w:p>
    <w:p w14:paraId="70EB92B7" w14:textId="0D555584" w:rsidR="00B55717" w:rsidRDefault="002306EE" w:rsidP="00564EE5">
      <w:pPr>
        <w:pStyle w:val="ListBullet"/>
      </w:pPr>
      <w:r>
        <w:t>T</w:t>
      </w:r>
      <w:r w:rsidR="1ED45F5A" w:rsidRPr="00D36B0A">
        <w:t>hat</w:t>
      </w:r>
      <w:r w:rsidR="00572514" w:rsidRPr="00D36B0A">
        <w:t xml:space="preserve"> </w:t>
      </w:r>
      <w:r w:rsidR="00395EF2" w:rsidRPr="00D36B0A">
        <w:t xml:space="preserve">statement </w:t>
      </w:r>
      <w:r w:rsidR="00BE4D4A">
        <w:t>followed</w:t>
      </w:r>
      <w:r w:rsidR="00BE4D4A" w:rsidRPr="00D36B0A">
        <w:t xml:space="preserve"> </w:t>
      </w:r>
      <w:r w:rsidR="00395EF2" w:rsidRPr="00D36B0A">
        <w:t xml:space="preserve">the </w:t>
      </w:r>
      <w:r w:rsidR="00E96A7A">
        <w:t>Australian Energy Regulator</w:t>
      </w:r>
      <w:r w:rsidR="00395EF2" w:rsidRPr="00D36B0A">
        <w:t xml:space="preserve"> </w:t>
      </w:r>
      <w:r w:rsidR="00DD58DF">
        <w:t>adoption</w:t>
      </w:r>
      <w:r w:rsidR="00481A28">
        <w:t xml:space="preserve"> of</w:t>
      </w:r>
      <w:r w:rsidR="00DD58DF" w:rsidRPr="00D36B0A">
        <w:t xml:space="preserve"> </w:t>
      </w:r>
      <w:r w:rsidR="00395EF2" w:rsidRPr="00D36B0A">
        <w:t xml:space="preserve">a </w:t>
      </w:r>
      <w:r w:rsidR="002476B2" w:rsidRPr="00D36B0A">
        <w:t xml:space="preserve">load only approach </w:t>
      </w:r>
      <w:r w:rsidR="00E05A76">
        <w:t>to</w:t>
      </w:r>
      <w:r w:rsidR="002476B2" w:rsidRPr="00D36B0A">
        <w:t xml:space="preserve"> interval metering </w:t>
      </w:r>
      <w:r w:rsidR="00D95DA8" w:rsidRPr="00D36B0A">
        <w:t xml:space="preserve">data in its </w:t>
      </w:r>
      <w:r w:rsidR="00DF23A6">
        <w:t>2024</w:t>
      </w:r>
      <w:r w:rsidR="001E6242">
        <w:t>–25 (</w:t>
      </w:r>
      <w:r w:rsidR="00D95DA8" w:rsidRPr="00D36B0A">
        <w:t xml:space="preserve">DMO </w:t>
      </w:r>
      <w:r w:rsidR="00E42556" w:rsidRPr="00D36B0A">
        <w:t>6</w:t>
      </w:r>
      <w:r w:rsidR="001E6242">
        <w:t>)</w:t>
      </w:r>
      <w:r w:rsidR="00E42556" w:rsidRPr="00D36B0A">
        <w:t xml:space="preserve"> </w:t>
      </w:r>
      <w:r w:rsidR="005057AE">
        <w:t xml:space="preserve">draft and </w:t>
      </w:r>
      <w:r w:rsidR="00E42556" w:rsidRPr="00D36B0A">
        <w:t xml:space="preserve">final </w:t>
      </w:r>
      <w:r w:rsidR="00E154D3">
        <w:t>determinations</w:t>
      </w:r>
      <w:r w:rsidR="00E42556" w:rsidRPr="00D36B0A">
        <w:t xml:space="preserve"> </w:t>
      </w:r>
      <w:r w:rsidR="00DE2B47">
        <w:t>(</w:t>
      </w:r>
      <w:r w:rsidR="005057AE">
        <w:t xml:space="preserve">March and </w:t>
      </w:r>
      <w:r w:rsidR="009E0CFF" w:rsidRPr="00D36B0A">
        <w:t>May 2024</w:t>
      </w:r>
      <w:r w:rsidR="00DE2B47">
        <w:t>)</w:t>
      </w:r>
      <w:r w:rsidR="009E0CFF" w:rsidRPr="00D36B0A">
        <w:t>.</w:t>
      </w:r>
      <w:r w:rsidR="002066DF" w:rsidRPr="00D36B0A">
        <w:rPr>
          <w:rStyle w:val="FootnoteReference"/>
        </w:rPr>
        <w:footnoteReference w:id="60"/>
      </w:r>
      <w:r w:rsidR="00E42556" w:rsidRPr="00D36B0A">
        <w:t xml:space="preserve"> </w:t>
      </w:r>
    </w:p>
    <w:p w14:paraId="4BA10EBD" w14:textId="212538D2" w:rsidR="00257BFD" w:rsidRDefault="00257BFD" w:rsidP="00A369E8">
      <w:r>
        <w:t xml:space="preserve">We </w:t>
      </w:r>
      <w:r w:rsidR="002A61CC">
        <w:t>consult</w:t>
      </w:r>
      <w:r w:rsidR="00737F81">
        <w:t>ed on this change through:</w:t>
      </w:r>
    </w:p>
    <w:p w14:paraId="21ADE572" w14:textId="3B7030DC" w:rsidR="00737F81" w:rsidRDefault="00737F81" w:rsidP="00564EE5">
      <w:pPr>
        <w:pStyle w:val="ListBullet"/>
      </w:pPr>
      <w:r>
        <w:t>our Request for Comment Paper</w:t>
      </w:r>
    </w:p>
    <w:p w14:paraId="6B14E237" w14:textId="2EB2A2A5" w:rsidR="00737F81" w:rsidRDefault="00737F81" w:rsidP="00564EE5">
      <w:pPr>
        <w:pStyle w:val="ListBullet"/>
      </w:pPr>
      <w:r>
        <w:t>our Draft Decision Paper</w:t>
      </w:r>
    </w:p>
    <w:p w14:paraId="0EBC74AF" w14:textId="66C711EB" w:rsidR="00737F81" w:rsidRDefault="00737F81" w:rsidP="00564EE5">
      <w:pPr>
        <w:pStyle w:val="ListBullet"/>
      </w:pPr>
      <w:r>
        <w:t>a retailer workshop hosted with Frontier Economics.</w:t>
      </w:r>
    </w:p>
    <w:p w14:paraId="3D49DB2E" w14:textId="024BF7A8" w:rsidR="00346793" w:rsidRPr="00D36B0A" w:rsidRDefault="00E138B6" w:rsidP="00A369E8">
      <w:r>
        <w:t xml:space="preserve">We note the Australian Energy Regulator </w:t>
      </w:r>
      <w:r w:rsidR="007E5C38">
        <w:t>consult</w:t>
      </w:r>
      <w:r w:rsidR="006A768C">
        <w:t>ed</w:t>
      </w:r>
      <w:r w:rsidR="007E5C38">
        <w:t xml:space="preserve"> on changes to </w:t>
      </w:r>
      <w:r w:rsidR="00CF7D75">
        <w:t>its</w:t>
      </w:r>
      <w:r w:rsidR="007E5C38">
        <w:t xml:space="preserve"> load profiles wider than</w:t>
      </w:r>
      <w:r w:rsidR="00D8598A">
        <w:t xml:space="preserve"> the treatment of exports within</w:t>
      </w:r>
      <w:r w:rsidR="007E5C38">
        <w:t xml:space="preserve"> interval metering data, </w:t>
      </w:r>
      <w:r w:rsidR="00D8598A">
        <w:t>including</w:t>
      </w:r>
      <w:r w:rsidR="007E5C38">
        <w:t xml:space="preserve"> blended approach</w:t>
      </w:r>
      <w:r w:rsidR="00D8598A">
        <w:t>es</w:t>
      </w:r>
      <w:r w:rsidR="007E5C38">
        <w:t xml:space="preserve"> to accumulation meter data sets</w:t>
      </w:r>
      <w:r w:rsidR="00D8598A">
        <w:t>.</w:t>
      </w:r>
      <w:r w:rsidR="007E5C38">
        <w:t xml:space="preserve"> </w:t>
      </w:r>
      <w:r w:rsidR="00B75C1C">
        <w:t xml:space="preserve">We use interval metering data, not accumulation meter data, therefore a blended approach is not relevant to the Victorian Default Offer. </w:t>
      </w:r>
    </w:p>
    <w:p w14:paraId="0F3267A5" w14:textId="2ED5CC09" w:rsidR="00AB7071" w:rsidRPr="00D36B0A" w:rsidRDefault="00AB7071" w:rsidP="00A369E8">
      <w:r>
        <w:t xml:space="preserve">Based on these actions, we consider </w:t>
      </w:r>
      <w:r w:rsidR="007926F9">
        <w:t>stakeholders have had sufficient opportunity to understand and respond to the proposed change.</w:t>
      </w:r>
    </w:p>
    <w:p w14:paraId="1C39B36C" w14:textId="0FB3EE75" w:rsidR="005663AC" w:rsidRPr="00B4008D" w:rsidRDefault="005663AC" w:rsidP="005663AC">
      <w:pPr>
        <w:pStyle w:val="Heading3"/>
        <w:rPr>
          <w:highlight w:val="lightGray"/>
        </w:rPr>
      </w:pPr>
      <w:r w:rsidRPr="002544A6">
        <w:t xml:space="preserve">We have included a wholesale electricity </w:t>
      </w:r>
      <w:r w:rsidR="00A50603" w:rsidRPr="002544A6">
        <w:t xml:space="preserve">cost of </w:t>
      </w:r>
      <w:r w:rsidRPr="002544A6">
        <w:t>export</w:t>
      </w:r>
      <w:r w:rsidR="00A50603" w:rsidRPr="002544A6">
        <w:t>s</w:t>
      </w:r>
    </w:p>
    <w:p w14:paraId="736BAC6E" w14:textId="1D18B150" w:rsidR="00886DAD" w:rsidRDefault="00886DAD" w:rsidP="00886DAD">
      <w:r>
        <w:t>Our Draft Decision Paper sought feedback on how to account for the wholesale electricity cost of exports if a load only profile is adopted.</w:t>
      </w:r>
      <w:r w:rsidR="003B511C">
        <w:t xml:space="preserve"> </w:t>
      </w:r>
      <w:r w:rsidR="003B511C" w:rsidRPr="005663AC">
        <w:t xml:space="preserve">In considering whether to adopt a load only profile, we </w:t>
      </w:r>
      <w:r w:rsidR="003B511C">
        <w:t xml:space="preserve">had regard to whether there are other costs associated with customers’ exports that need to be accounted for in the Victorian Default Offer. We had regard to the interaction between the social cost of carbon in Victoria’s regulated minimum feed-in tariff and the wholesale electricity cost component of the Victorian Default Offer. </w:t>
      </w:r>
    </w:p>
    <w:p w14:paraId="04C2E177" w14:textId="7F8F89C3" w:rsidR="00886DAD" w:rsidRDefault="00886DAD" w:rsidP="00886DAD">
      <w:r w:rsidRPr="005663AC">
        <w:lastRenderedPageBreak/>
        <w:t>Some retailers were concerned that removing exports from the load profile</w:t>
      </w:r>
      <w:r>
        <w:t xml:space="preserve"> would leave them without sufficient revenue to cover the payment of </w:t>
      </w:r>
      <w:r w:rsidRPr="005663AC">
        <w:t>exports</w:t>
      </w:r>
      <w:r w:rsidR="005A4B42">
        <w:t xml:space="preserve"> when prices are negative</w:t>
      </w:r>
      <w:r w:rsidRPr="005663AC">
        <w:t xml:space="preserve"> </w:t>
      </w:r>
      <w:r w:rsidR="001A2FD9">
        <w:t>while Victoria has a regulated minimum feed-in tariff</w:t>
      </w:r>
      <w:r w:rsidRPr="005663AC">
        <w:t>.</w:t>
      </w:r>
      <w:r w:rsidRPr="005663AC">
        <w:rPr>
          <w:rStyle w:val="FootnoteReference"/>
        </w:rPr>
        <w:footnoteReference w:id="61"/>
      </w:r>
      <w:r w:rsidRPr="005663AC">
        <w:t xml:space="preserve"> </w:t>
      </w:r>
    </w:p>
    <w:p w14:paraId="090DAA7F" w14:textId="265B0AC5" w:rsidR="002618C5" w:rsidRDefault="00546612" w:rsidP="00F102D5">
      <w:r w:rsidRPr="008A461B">
        <w:t>From 1 July 2025, the commission will no longer be required to determine the minimum feed</w:t>
      </w:r>
      <w:r w:rsidR="00353618" w:rsidRPr="008A461B">
        <w:t>-</w:t>
      </w:r>
      <w:r w:rsidRPr="008A461B">
        <w:t>in tariff</w:t>
      </w:r>
      <w:r w:rsidR="00B16F76" w:rsidRPr="008A461B">
        <w:t>s</w:t>
      </w:r>
      <w:r w:rsidRPr="008A461B">
        <w:t>, and instead retailers will be free to determine their own feed</w:t>
      </w:r>
      <w:r w:rsidR="00AD7ABD" w:rsidRPr="008A461B">
        <w:t>-</w:t>
      </w:r>
      <w:r w:rsidRPr="008A461B">
        <w:t>in tariffs, however feed</w:t>
      </w:r>
      <w:r w:rsidR="00AD7ABD" w:rsidRPr="008A461B">
        <w:t>-</w:t>
      </w:r>
      <w:r w:rsidRPr="008A461B">
        <w:t>in tariffs cannot fall below $0.00 per kWh</w:t>
      </w:r>
      <w:r w:rsidR="00E3538A" w:rsidRPr="008A461B">
        <w:t>.</w:t>
      </w:r>
      <w:r w:rsidR="005B4A6A" w:rsidRPr="008A461B">
        <w:rPr>
          <w:rStyle w:val="FootnoteReference"/>
        </w:rPr>
        <w:footnoteReference w:id="62"/>
      </w:r>
      <w:r w:rsidR="00AA5014" w:rsidRPr="00FA20A9">
        <w:t xml:space="preserve"> </w:t>
      </w:r>
    </w:p>
    <w:p w14:paraId="4141DF15" w14:textId="17889474" w:rsidR="00F102D5" w:rsidRPr="007978CA" w:rsidRDefault="008876D0" w:rsidP="00F102D5">
      <w:r>
        <w:t>W</w:t>
      </w:r>
      <w:r w:rsidR="00037254" w:rsidRPr="00AF4FC7">
        <w:t xml:space="preserve">hen the wholesale electricity price is negative, a retailer’s customers’ exports result in a settlement payment from the retailer to the market operator (which may be offset in part or in full by settlement payments for the </w:t>
      </w:r>
      <w:r w:rsidR="00037254" w:rsidRPr="00FC7DA4">
        <w:t xml:space="preserve">customers’ imports), yet </w:t>
      </w:r>
      <w:r w:rsidR="0074719C" w:rsidRPr="00FC7DA4">
        <w:t xml:space="preserve">retailers </w:t>
      </w:r>
      <w:r w:rsidR="005D1C82" w:rsidRPr="00FC7DA4">
        <w:t xml:space="preserve">cannot </w:t>
      </w:r>
      <w:r w:rsidR="003F76A4" w:rsidRPr="00FC7DA4">
        <w:t xml:space="preserve">recover this cost </w:t>
      </w:r>
      <w:r w:rsidR="00FC7DA4" w:rsidRPr="00FC7DA4">
        <w:t>by charging</w:t>
      </w:r>
      <w:r w:rsidR="00037254" w:rsidRPr="00FC7DA4">
        <w:t xml:space="preserve"> </w:t>
      </w:r>
      <w:r w:rsidR="00872EC8">
        <w:t>their</w:t>
      </w:r>
      <w:r w:rsidR="00037254" w:rsidRPr="00FC7DA4">
        <w:t xml:space="preserve"> solar customers</w:t>
      </w:r>
      <w:r w:rsidR="00FC7DA4" w:rsidRPr="00FC7DA4">
        <w:t xml:space="preserve"> to export </w:t>
      </w:r>
      <w:r w:rsidR="00FC7DA4" w:rsidRPr="00386C6C">
        <w:t>electricity</w:t>
      </w:r>
      <w:r w:rsidR="00037254" w:rsidRPr="00386C6C">
        <w:t>.</w:t>
      </w:r>
      <w:r w:rsidR="00F102D5" w:rsidRPr="00386C6C">
        <w:t xml:space="preserve"> This is an additional cost that retailers </w:t>
      </w:r>
      <w:r w:rsidR="00202C9C">
        <w:t xml:space="preserve">would face for their customers’ </w:t>
      </w:r>
      <w:r w:rsidR="00202C9C" w:rsidRPr="00381A66">
        <w:t xml:space="preserve">exports </w:t>
      </w:r>
      <w:r w:rsidR="00202C9C">
        <w:t>(a wholesale electricity cost of exports)</w:t>
      </w:r>
      <w:r w:rsidR="00F102D5" w:rsidRPr="00386C6C">
        <w:t xml:space="preserve">, so </w:t>
      </w:r>
      <w:r w:rsidR="00DD31C1">
        <w:t>in our Draft Decision Paper we</w:t>
      </w:r>
      <w:r w:rsidR="00EE1B9D">
        <w:t xml:space="preserve"> sought feedback on how to account for this cost in </w:t>
      </w:r>
      <w:r w:rsidR="00DD31C1">
        <w:t>the Victorian Default Offer</w:t>
      </w:r>
      <w:r w:rsidR="00202C9C">
        <w:t>.</w:t>
      </w:r>
    </w:p>
    <w:p w14:paraId="72675AC4" w14:textId="2D85705A" w:rsidR="00386C6C" w:rsidRDefault="00386C6C" w:rsidP="00386C6C">
      <w:r>
        <w:t xml:space="preserve">GloBird </w:t>
      </w:r>
      <w:r w:rsidR="00677AB3">
        <w:t>Energy</w:t>
      </w:r>
      <w:r>
        <w:t xml:space="preserve"> made a submission that we should have regard to the Large</w:t>
      </w:r>
      <w:r w:rsidR="00DA283B">
        <w:t>-Scale</w:t>
      </w:r>
      <w:r>
        <w:t xml:space="preserve"> Generation Certificate (LGC) prices when determining the wholesale electricity cost for solar exports:</w:t>
      </w:r>
    </w:p>
    <w:p w14:paraId="0211FDC7" w14:textId="225399DC" w:rsidR="00386C6C" w:rsidRDefault="000E5CEF" w:rsidP="00386C6C">
      <w:pPr>
        <w:pStyle w:val="Quote"/>
      </w:pPr>
      <w:r>
        <w:t>“</w:t>
      </w:r>
      <w:r w:rsidR="00386C6C">
        <w:t>The negative solar generation value may be calculated through determining the expected amount of customer exports sold and the expected wholesale price when this occurs…Typically, when there is excess rooftop solar, prices are negative. Large scale renewable plant tends to offer in their generation at around the prevailing negative LGC price. This results in the net revenue received (electricity + LGC) being breakeven.</w:t>
      </w:r>
      <w:r>
        <w:t>”</w:t>
      </w:r>
      <w:r w:rsidR="00386C6C">
        <w:rPr>
          <w:rStyle w:val="FootnoteReference"/>
        </w:rPr>
        <w:footnoteReference w:id="63"/>
      </w:r>
      <w:r w:rsidR="00386C6C">
        <w:t xml:space="preserve"> </w:t>
      </w:r>
    </w:p>
    <w:p w14:paraId="13FBF8DB" w14:textId="2E1439CC" w:rsidR="005B46EC" w:rsidRDefault="00386C6C" w:rsidP="00386C6C">
      <w:r>
        <w:t>We consider that a solar</w:t>
      </w:r>
      <w:r w:rsidR="00BB7AAB">
        <w:t>-</w:t>
      </w:r>
      <w:r>
        <w:t>weighted wholesale electricity cost is an appropriate price for exports. This is because it is the wholesale price we appl</w:t>
      </w:r>
      <w:r w:rsidR="00BB7AAB">
        <w:t>ied</w:t>
      </w:r>
      <w:r>
        <w:t xml:space="preserve"> to solar exports in the regulated minimum feed-in tariffs.</w:t>
      </w:r>
      <w:r>
        <w:rPr>
          <w:rStyle w:val="FootnoteReference"/>
        </w:rPr>
        <w:footnoteReference w:id="64"/>
      </w:r>
      <w:r>
        <w:t xml:space="preserve"> This solar</w:t>
      </w:r>
      <w:r w:rsidR="00BB7AAB">
        <w:t>-</w:t>
      </w:r>
      <w:r>
        <w:t xml:space="preserve">weighted wholesale electricity cost is derived from market outcomes which </w:t>
      </w:r>
      <w:r>
        <w:lastRenderedPageBreak/>
        <w:t>would be influenced, in part, by LGC prices</w:t>
      </w:r>
      <w:r w:rsidR="00B06673">
        <w:t>.</w:t>
      </w:r>
      <w:r w:rsidR="005B46EC">
        <w:t xml:space="preserve"> </w:t>
      </w:r>
      <w:r w:rsidR="00E563BD">
        <w:t xml:space="preserve">Our final decision has included a wholesale </w:t>
      </w:r>
      <w:r w:rsidR="002F7DD1">
        <w:t>electricity</w:t>
      </w:r>
      <w:r w:rsidR="00E563BD">
        <w:t xml:space="preserve"> cost of exports</w:t>
      </w:r>
      <w:r w:rsidR="002F7DD1">
        <w:t xml:space="preserve"> </w:t>
      </w:r>
      <w:r w:rsidR="000F5858">
        <w:t>using a solar-weighted</w:t>
      </w:r>
      <w:r w:rsidR="0074798E">
        <w:t xml:space="preserve"> wholesale price for 2025–26</w:t>
      </w:r>
      <w:r w:rsidR="002F7DD1">
        <w:t>.</w:t>
      </w:r>
    </w:p>
    <w:p w14:paraId="72BB829D" w14:textId="6D8C40B3" w:rsidR="00E563BD" w:rsidRDefault="007E126B" w:rsidP="00386C6C">
      <w:r w:rsidRPr="008A461B">
        <w:t>As mentioned above, when deciding to adopt a load-only profile, we considered the interaction between the social cost of carbon in Victoria’s regulated feed-in tariff and the wholesale electricity cost component of the Victorian Default Offer. The draft decision reflected legislative requirements at the time by including the social cost of carbon. As this is no longer a mandated part of the feed-in tariff, it has been removed from the Victorian Default Offer</w:t>
      </w:r>
      <w:r w:rsidR="00F450FF" w:rsidRPr="008A461B">
        <w:t>.</w:t>
      </w:r>
      <w:r w:rsidR="001B21AC" w:rsidRPr="008A461B">
        <w:rPr>
          <w:rStyle w:val="FootnoteReference"/>
        </w:rPr>
        <w:footnoteReference w:id="65"/>
      </w:r>
      <w:r w:rsidR="00FB4CE4" w:rsidRPr="008A461B">
        <w:t xml:space="preserve"> </w:t>
      </w:r>
      <w:r w:rsidR="006B145C" w:rsidRPr="008A461B">
        <w:t>In its place, the final decision includes a component for wholesale electricity cost of exports to ensure retailers can recover efficient costs. We will continue to consult on the approach and methodology for setting the Victorian Default Offer, including how wholesale electricity costs are treated, in future reviews.</w:t>
      </w:r>
    </w:p>
    <w:p w14:paraId="1018A334" w14:textId="74931FC3" w:rsidR="005663AC" w:rsidRDefault="005663AC" w:rsidP="00BF205D">
      <w:r w:rsidRPr="004369AD">
        <w:t xml:space="preserve">We calculated the wholesale </w:t>
      </w:r>
      <w:r w:rsidR="009B4916" w:rsidRPr="004369AD">
        <w:t>electricity cost of</w:t>
      </w:r>
      <w:r w:rsidRPr="004369AD">
        <w:t xml:space="preserve"> exports by </w:t>
      </w:r>
      <w:r w:rsidR="004369AD" w:rsidRPr="004369AD">
        <w:t>multiplying</w:t>
      </w:r>
      <w:r w:rsidRPr="004369AD">
        <w:t xml:space="preserve"> the total exports </w:t>
      </w:r>
      <w:r w:rsidR="004369AD" w:rsidRPr="004369AD">
        <w:t>(</w:t>
      </w:r>
      <w:r w:rsidRPr="004369AD">
        <w:t>provided in the market operator metering data</w:t>
      </w:r>
      <w:r w:rsidR="004369AD" w:rsidRPr="004369AD">
        <w:t>)</w:t>
      </w:r>
      <w:r w:rsidRPr="004369AD">
        <w:t xml:space="preserve"> by our forecast solar</w:t>
      </w:r>
      <w:r w:rsidR="004369AD" w:rsidRPr="004369AD">
        <w:t>-</w:t>
      </w:r>
      <w:r w:rsidRPr="004369AD">
        <w:t>weighted wholesale price</w:t>
      </w:r>
      <w:r w:rsidR="004369AD" w:rsidRPr="004369AD">
        <w:t xml:space="preserve"> for 2025–26</w:t>
      </w:r>
      <w:r w:rsidRPr="004369AD">
        <w:t>. We then divide</w:t>
      </w:r>
      <w:r w:rsidR="001204BE" w:rsidRPr="004369AD">
        <w:t>d</w:t>
      </w:r>
      <w:r w:rsidRPr="004369AD">
        <w:t xml:space="preserve"> this cost by forecast consumption for </w:t>
      </w:r>
      <w:r w:rsidR="004369AD" w:rsidRPr="004369AD">
        <w:t>the same period</w:t>
      </w:r>
      <w:r w:rsidRPr="004369AD">
        <w:t>. This</w:t>
      </w:r>
      <w:r w:rsidR="00B271D1" w:rsidRPr="004369AD" w:rsidDel="003E7883">
        <w:t xml:space="preserve"> </w:t>
      </w:r>
      <w:r w:rsidR="00B271D1" w:rsidRPr="00564EE5">
        <w:t>resulted</w:t>
      </w:r>
      <w:r w:rsidRPr="004369AD">
        <w:t xml:space="preserve"> in a cost of </w:t>
      </w:r>
      <w:r w:rsidRPr="00FE000E">
        <w:t>$</w:t>
      </w:r>
      <w:r w:rsidR="00512398" w:rsidRPr="00FE000E">
        <w:t>1.</w:t>
      </w:r>
      <w:r w:rsidR="00A1330D" w:rsidRPr="00FE000E">
        <w:t>8</w:t>
      </w:r>
      <w:r w:rsidR="00FE000E">
        <w:t>5</w:t>
      </w:r>
      <w:r w:rsidRPr="00564EE5">
        <w:t xml:space="preserve"> </w:t>
      </w:r>
      <w:r w:rsidRPr="004369AD">
        <w:t>per megawatt hour.</w:t>
      </w:r>
      <w:r>
        <w:t xml:space="preserve"> </w:t>
      </w:r>
    </w:p>
    <w:p w14:paraId="54ED1A86" w14:textId="312A31C8" w:rsidR="00BB72B9" w:rsidRDefault="00BB72B9" w:rsidP="00610F02">
      <w:pPr>
        <w:pStyle w:val="Heading3"/>
      </w:pPr>
      <w:r w:rsidRPr="00B45608">
        <w:t xml:space="preserve">Our </w:t>
      </w:r>
      <w:r w:rsidR="00065B84">
        <w:t>final</w:t>
      </w:r>
      <w:r w:rsidRPr="00B45608">
        <w:t xml:space="preserve"> decision is to</w:t>
      </w:r>
      <w:r w:rsidR="005F4CDE" w:rsidRPr="00C82510">
        <w:t xml:space="preserve"> continue</w:t>
      </w:r>
      <w:r w:rsidR="005F4CDE" w:rsidRPr="00065B84">
        <w:t xml:space="preserve"> using a</w:t>
      </w:r>
      <w:r>
        <w:t xml:space="preserve"> </w:t>
      </w:r>
      <w:r w:rsidR="007E3C07" w:rsidRPr="00065B84">
        <w:t>Monte Carlo simulation to forecast demand and spot prices</w:t>
      </w:r>
    </w:p>
    <w:p w14:paraId="07A2E456" w14:textId="24DD46C8" w:rsidR="00AF3F2A" w:rsidRPr="00AC2D02" w:rsidRDefault="006B7E22" w:rsidP="006B7E22">
      <w:r w:rsidRPr="00053068">
        <w:t xml:space="preserve">To forecast </w:t>
      </w:r>
      <w:r w:rsidR="007763C3" w:rsidRPr="00053068">
        <w:t>customer</w:t>
      </w:r>
      <w:r w:rsidR="00C62F7A" w:rsidRPr="00053068">
        <w:t>s’ electr</w:t>
      </w:r>
      <w:r w:rsidR="000207BA" w:rsidRPr="00053068">
        <w:t>i</w:t>
      </w:r>
      <w:r w:rsidR="00C62F7A" w:rsidRPr="00053068">
        <w:t xml:space="preserve">city </w:t>
      </w:r>
      <w:r w:rsidRPr="00053068">
        <w:t xml:space="preserve">demand and the relationship between price and demand, </w:t>
      </w:r>
      <w:r w:rsidR="00407A5D" w:rsidRPr="00053068">
        <w:t xml:space="preserve">we </w:t>
      </w:r>
      <w:r w:rsidRPr="00053068">
        <w:t>analyse</w:t>
      </w:r>
      <w:r w:rsidR="000D596C" w:rsidRPr="00053068">
        <w:t xml:space="preserve"> </w:t>
      </w:r>
      <w:r w:rsidRPr="00053068">
        <w:t>historical data on load and prices</w:t>
      </w:r>
      <w:r w:rsidR="00FA60A6" w:rsidRPr="00053068">
        <w:t xml:space="preserve">. </w:t>
      </w:r>
      <w:r w:rsidR="00207E4D" w:rsidRPr="00053068">
        <w:t>We have previously used the most recent three years of interval meter data and</w:t>
      </w:r>
      <w:r w:rsidR="00172151" w:rsidRPr="00053068">
        <w:t xml:space="preserve"> </w:t>
      </w:r>
      <w:r w:rsidR="00207E4D" w:rsidRPr="00053068">
        <w:t xml:space="preserve">wholesale electricity spot prices </w:t>
      </w:r>
      <w:r w:rsidR="00825E61" w:rsidRPr="00053068">
        <w:t xml:space="preserve">(both </w:t>
      </w:r>
      <w:r w:rsidR="00207E4D" w:rsidRPr="00053068">
        <w:t>recorded at 30-minute intervals)</w:t>
      </w:r>
      <w:r w:rsidR="00D32B17">
        <w:t xml:space="preserve">. We </w:t>
      </w:r>
      <w:r w:rsidR="00185521" w:rsidRPr="00053068">
        <w:t>source</w:t>
      </w:r>
      <w:r w:rsidR="00C16234">
        <w:t xml:space="preserve"> this data </w:t>
      </w:r>
      <w:r w:rsidR="00207E4D" w:rsidRPr="00053068">
        <w:t xml:space="preserve">from the </w:t>
      </w:r>
      <w:r w:rsidR="001A305F" w:rsidRPr="00053068">
        <w:t>m</w:t>
      </w:r>
      <w:r w:rsidR="00207E4D" w:rsidRPr="00053068">
        <w:t xml:space="preserve">arket </w:t>
      </w:r>
      <w:r w:rsidR="001A305F" w:rsidRPr="00053068">
        <w:t>o</w:t>
      </w:r>
      <w:r w:rsidR="00207E4D" w:rsidRPr="00053068">
        <w:t>perator</w:t>
      </w:r>
      <w:r w:rsidR="0034362C">
        <w:t xml:space="preserve"> for use in the Monte Carlo sim</w:t>
      </w:r>
      <w:r w:rsidR="009D1716">
        <w:t>ulation</w:t>
      </w:r>
      <w:r w:rsidR="00207E4D" w:rsidRPr="00053068">
        <w:t>.</w:t>
      </w:r>
      <w:r w:rsidR="00C97E5A" w:rsidRPr="00AC2D02">
        <w:rPr>
          <w:rStyle w:val="FootnoteReference"/>
        </w:rPr>
        <w:footnoteReference w:id="66"/>
      </w:r>
      <w:r w:rsidR="00207E4D" w:rsidRPr="00AC2D02">
        <w:t xml:space="preserve"> </w:t>
      </w:r>
    </w:p>
    <w:p w14:paraId="0A5A3ACF" w14:textId="43446FAD" w:rsidR="00B75440" w:rsidRPr="00A51E77" w:rsidRDefault="00207E4D" w:rsidP="006B7E22">
      <w:r w:rsidRPr="00AC2D02">
        <w:t xml:space="preserve">In our view, </w:t>
      </w:r>
      <w:r w:rsidR="000A4B51" w:rsidRPr="00AC2D02">
        <w:t>a</w:t>
      </w:r>
      <w:r w:rsidRPr="00AC2D02">
        <w:t xml:space="preserve"> </w:t>
      </w:r>
      <w:r w:rsidR="00541D0B" w:rsidRPr="00AC2D02">
        <w:t>three-year sample</w:t>
      </w:r>
      <w:r w:rsidR="00C43038" w:rsidRPr="00AC2D02">
        <w:t xml:space="preserve"> period</w:t>
      </w:r>
      <w:r w:rsidRPr="00AC2D02">
        <w:t xml:space="preserve"> </w:t>
      </w:r>
      <w:r w:rsidR="00541D0B" w:rsidRPr="00AC2D02">
        <w:t>reflects a reasonable balance of providing an appropriate time series</w:t>
      </w:r>
      <w:r w:rsidRPr="00AC2D02">
        <w:t xml:space="preserve"> to </w:t>
      </w:r>
      <w:r w:rsidR="00541D0B" w:rsidRPr="00AC2D02">
        <w:t>analyse wholesale costs, while accounting for</w:t>
      </w:r>
      <w:r w:rsidRPr="00AC2D02">
        <w:t xml:space="preserve"> changes in demand patterns</w:t>
      </w:r>
      <w:r w:rsidR="00541D0B" w:rsidRPr="00AC2D02">
        <w:t>. Using a shorter period would place</w:t>
      </w:r>
      <w:r w:rsidRPr="00AC2D02">
        <w:t xml:space="preserve"> </w:t>
      </w:r>
      <w:r w:rsidRPr="00A51E77">
        <w:t xml:space="preserve">emphasis on short-term market dynamics or one-off weather events. </w:t>
      </w:r>
      <w:r w:rsidR="00175267" w:rsidRPr="00A51E77">
        <w:t>We have therefore retained this approach</w:t>
      </w:r>
      <w:r w:rsidR="006C618F" w:rsidRPr="00A51E77">
        <w:t xml:space="preserve"> in our </w:t>
      </w:r>
      <w:r w:rsidR="00DA05C1" w:rsidRPr="00A51E77">
        <w:t>final</w:t>
      </w:r>
      <w:r w:rsidR="006C618F" w:rsidRPr="00A51E77">
        <w:t xml:space="preserve"> decision</w:t>
      </w:r>
      <w:r w:rsidR="00150060" w:rsidRPr="00A51E77">
        <w:t xml:space="preserve">, </w:t>
      </w:r>
      <w:r w:rsidR="00A308F0" w:rsidRPr="00A51E77">
        <w:t>aside from</w:t>
      </w:r>
      <w:r w:rsidR="00150060" w:rsidRPr="00A51E77">
        <w:t xml:space="preserve"> using </w:t>
      </w:r>
      <w:r w:rsidR="00446845" w:rsidRPr="00A51E77">
        <w:t>demand and price</w:t>
      </w:r>
      <w:r w:rsidR="001A7DCE" w:rsidRPr="00A51E77">
        <w:t xml:space="preserve"> data recorded at 5-minute intervals</w:t>
      </w:r>
      <w:r w:rsidR="005A0DF9" w:rsidRPr="00A51E77">
        <w:t>.</w:t>
      </w:r>
      <w:r w:rsidRPr="00A51E77">
        <w:t xml:space="preserve"> </w:t>
      </w:r>
    </w:p>
    <w:p w14:paraId="43948E6E" w14:textId="26D3A9F8" w:rsidR="004C4603" w:rsidRPr="00FB5DC2" w:rsidRDefault="006B7E22" w:rsidP="006B7E22">
      <w:r w:rsidRPr="00A51E77">
        <w:t xml:space="preserve">The Monte Carlo simulation randomly generates a year of </w:t>
      </w:r>
      <w:r w:rsidR="008C1785">
        <w:t>5</w:t>
      </w:r>
      <w:r w:rsidRPr="00A51E77">
        <w:t xml:space="preserve">-minute observations. </w:t>
      </w:r>
      <w:r w:rsidR="002C5892" w:rsidRPr="00A51E77">
        <w:t>T</w:t>
      </w:r>
      <w:r w:rsidRPr="00A51E77">
        <w:t xml:space="preserve">his process </w:t>
      </w:r>
      <w:r w:rsidR="002C5892" w:rsidRPr="00A51E77">
        <w:t xml:space="preserve">is repeated </w:t>
      </w:r>
      <w:r w:rsidRPr="00A51E77">
        <w:t>500 times to generate a range of simulated years.</w:t>
      </w:r>
      <w:r w:rsidRPr="00E27A28">
        <w:rPr>
          <w:rStyle w:val="FootnoteReference"/>
        </w:rPr>
        <w:footnoteReference w:id="67"/>
      </w:r>
      <w:r w:rsidRPr="003B638B">
        <w:t xml:space="preserve"> Each simulated year is normalised</w:t>
      </w:r>
      <w:r w:rsidRPr="007D3A4E">
        <w:t xml:space="preserve"> </w:t>
      </w:r>
      <w:r w:rsidRPr="003B638B">
        <w:t>to maintain load shape and the correlation between load and price</w:t>
      </w:r>
      <w:r w:rsidR="00873113" w:rsidRPr="003B638B">
        <w:t xml:space="preserve"> and</w:t>
      </w:r>
      <w:r w:rsidR="002C5892" w:rsidRPr="003B638B">
        <w:t xml:space="preserve"> scaled </w:t>
      </w:r>
      <w:r w:rsidRPr="003B638B">
        <w:t xml:space="preserve">to </w:t>
      </w:r>
      <w:r w:rsidR="00FD7183">
        <w:t>5</w:t>
      </w:r>
      <w:r w:rsidRPr="003B638B">
        <w:t>-minute prices</w:t>
      </w:r>
      <w:r w:rsidR="003308E9">
        <w:t>.</w:t>
      </w:r>
      <w:r w:rsidRPr="003B638B">
        <w:t xml:space="preserve"> </w:t>
      </w:r>
      <w:r w:rsidR="00566AE2">
        <w:lastRenderedPageBreak/>
        <w:t>This is done s</w:t>
      </w:r>
      <w:r w:rsidRPr="003B638B">
        <w:t>o that the time</w:t>
      </w:r>
      <w:r w:rsidRPr="003B638B">
        <w:rPr>
          <w:rFonts w:ascii="Cambria Math" w:hAnsi="Cambria Math" w:cs="Cambria Math"/>
        </w:rPr>
        <w:t>‑</w:t>
      </w:r>
      <w:r w:rsidRPr="003B638B">
        <w:t>weighted average price in each quarter is equal to the relevant quarterly ASX Energy base swap price for 2025–26, subtracting a contract premium.</w:t>
      </w:r>
      <w:r w:rsidRPr="00FB5DC2">
        <w:rPr>
          <w:rStyle w:val="FootnoteReference"/>
        </w:rPr>
        <w:footnoteReference w:id="68"/>
      </w:r>
      <w:r w:rsidRPr="00FB5DC2">
        <w:t xml:space="preserve"> </w:t>
      </w:r>
      <w:r w:rsidR="009860D4" w:rsidRPr="00FB5DC2">
        <w:t>Our methodology exclude</w:t>
      </w:r>
      <w:r w:rsidR="008F29E1">
        <w:t>d</w:t>
      </w:r>
      <w:r w:rsidR="009860D4" w:rsidRPr="00FB5DC2">
        <w:t xml:space="preserve"> days on which </w:t>
      </w:r>
      <w:r w:rsidR="00A71F02">
        <w:t xml:space="preserve">ASX market </w:t>
      </w:r>
      <w:r w:rsidR="009860D4" w:rsidRPr="00FB5DC2">
        <w:t xml:space="preserve">participants exercise their contract options from these trade-weighted averages, as </w:t>
      </w:r>
      <w:r w:rsidR="000465D7">
        <w:t xml:space="preserve">our approach assumes that </w:t>
      </w:r>
      <w:r w:rsidR="009860D4" w:rsidRPr="00FB5DC2">
        <w:t xml:space="preserve">retailers </w:t>
      </w:r>
      <w:r w:rsidR="000465D7">
        <w:t>use swaps and caps to hedge</w:t>
      </w:r>
      <w:r w:rsidR="009860D4" w:rsidRPr="00FB5DC2">
        <w:t xml:space="preserve"> their </w:t>
      </w:r>
      <w:r w:rsidR="000465D7">
        <w:t>load, but not options</w:t>
      </w:r>
      <w:r w:rsidR="004C4603" w:rsidRPr="00FB5DC2">
        <w:t>.</w:t>
      </w:r>
    </w:p>
    <w:p w14:paraId="160FFB2D" w14:textId="3A3CF656" w:rsidR="006B7E22" w:rsidRPr="00761A89" w:rsidRDefault="006B7E22" w:rsidP="006B7E22">
      <w:r w:rsidRPr="00FB5DC2">
        <w:t>These simulations give a range of possible outcomes for demand and the relationship between price and demand for 2025–26.</w:t>
      </w:r>
    </w:p>
    <w:p w14:paraId="7E239F9F" w14:textId="73E2690B" w:rsidR="006B7E22" w:rsidRPr="009F38F3" w:rsidRDefault="002154D5" w:rsidP="00A97FA6">
      <w:pPr>
        <w:pStyle w:val="Heading3"/>
      </w:pPr>
      <w:r>
        <w:t xml:space="preserve">Our </w:t>
      </w:r>
      <w:r w:rsidR="00065B84">
        <w:t>final</w:t>
      </w:r>
      <w:r>
        <w:t xml:space="preserve"> decision is to </w:t>
      </w:r>
      <w:r w:rsidRPr="00FB5DC2">
        <w:t>retain</w:t>
      </w:r>
      <w:r>
        <w:t xml:space="preserve"> our approach to </w:t>
      </w:r>
      <w:r w:rsidR="009841D9">
        <w:t>estimating an</w:t>
      </w:r>
      <w:r w:rsidR="006B7E22" w:rsidRPr="009F38F3">
        <w:t xml:space="preserve"> efficient hedging position</w:t>
      </w:r>
    </w:p>
    <w:p w14:paraId="37AF9265" w14:textId="3A88AF57" w:rsidR="006B7E22" w:rsidRPr="009132A6" w:rsidRDefault="006B7E22" w:rsidP="006B7E22">
      <w:r w:rsidRPr="009132A6">
        <w:t xml:space="preserve">With this range of possible demand conditions, </w:t>
      </w:r>
      <w:r w:rsidR="004C4603" w:rsidRPr="009132A6">
        <w:t>we</w:t>
      </w:r>
      <w:r w:rsidRPr="009132A6">
        <w:t xml:space="preserve"> estimate</w:t>
      </w:r>
      <w:r w:rsidR="00292A12">
        <w:t>d</w:t>
      </w:r>
      <w:r w:rsidRPr="009132A6">
        <w:t xml:space="preserve"> the hedging position a prudent retailer would adopt. The hedging position is the level of protection from spot prices, using a combination of hedging contracts, that a retailer selects. </w:t>
      </w:r>
    </w:p>
    <w:p w14:paraId="658FFB70" w14:textId="3F6BF942" w:rsidR="006B7E22" w:rsidRPr="009132A6" w:rsidRDefault="00F84046" w:rsidP="006B7E22">
      <w:r>
        <w:t>We</w:t>
      </w:r>
      <w:r w:rsidRPr="009132A6">
        <w:t xml:space="preserve"> </w:t>
      </w:r>
      <w:r w:rsidR="006B7E22" w:rsidRPr="009132A6">
        <w:t>use</w:t>
      </w:r>
      <w:r w:rsidR="00113842" w:rsidRPr="009132A6">
        <w:t>d</w:t>
      </w:r>
      <w:r w:rsidR="006B7E22" w:rsidRPr="009132A6">
        <w:t xml:space="preserve"> </w:t>
      </w:r>
      <w:r w:rsidR="00E25C1B">
        <w:t xml:space="preserve">Frontier </w:t>
      </w:r>
      <w:r>
        <w:t>Economics’</w:t>
      </w:r>
      <w:r w:rsidR="006B7E22" w:rsidRPr="009132A6">
        <w:t xml:space="preserve"> STRIKE model to develop an efficient contracting position</w:t>
      </w:r>
      <w:r>
        <w:t xml:space="preserve"> for making our final decision</w:t>
      </w:r>
      <w:r w:rsidRPr="009132A6">
        <w:t>.</w:t>
      </w:r>
      <w:r w:rsidR="006B7E22" w:rsidRPr="009132A6">
        <w:t xml:space="preserve"> The model use</w:t>
      </w:r>
      <w:r w:rsidR="0016742C">
        <w:t>d</w:t>
      </w:r>
      <w:r w:rsidR="006B7E22" w:rsidRPr="009132A6">
        <w:t xml:space="preserve"> ASX Energy </w:t>
      </w:r>
      <w:r w:rsidR="009B5F94" w:rsidRPr="009132A6">
        <w:t xml:space="preserve">base swap and base cap </w:t>
      </w:r>
      <w:r w:rsidR="009E00A4" w:rsidRPr="009132A6">
        <w:t xml:space="preserve">future </w:t>
      </w:r>
      <w:r w:rsidR="006B7E22" w:rsidRPr="009132A6">
        <w:t xml:space="preserve">contract prices, </w:t>
      </w:r>
      <w:r w:rsidR="00B556E6" w:rsidRPr="009132A6">
        <w:t xml:space="preserve">three years of </w:t>
      </w:r>
      <w:r w:rsidR="006B7E22" w:rsidRPr="009132A6">
        <w:t xml:space="preserve">historical </w:t>
      </w:r>
      <w:r w:rsidR="000150BE" w:rsidRPr="009132A6">
        <w:t xml:space="preserve">load data and </w:t>
      </w:r>
      <w:r w:rsidR="006B7E22" w:rsidRPr="009132A6">
        <w:t xml:space="preserve">spot prices from the </w:t>
      </w:r>
      <w:r w:rsidR="00E41413" w:rsidRPr="009132A6">
        <w:t>m</w:t>
      </w:r>
      <w:r w:rsidR="006B7E22" w:rsidRPr="009132A6">
        <w:t xml:space="preserve">arket </w:t>
      </w:r>
      <w:r w:rsidR="00E41413" w:rsidRPr="009132A6">
        <w:t>o</w:t>
      </w:r>
      <w:r w:rsidR="006B7E22" w:rsidRPr="009132A6">
        <w:t xml:space="preserve">perator, and the spot price and demand conditions </w:t>
      </w:r>
      <w:r w:rsidR="00821FC0">
        <w:t xml:space="preserve">generated </w:t>
      </w:r>
      <w:r w:rsidR="006B7E22" w:rsidRPr="009132A6">
        <w:t xml:space="preserve">from </w:t>
      </w:r>
      <w:r w:rsidR="00821FC0">
        <w:t>this historical data by</w:t>
      </w:r>
      <w:r w:rsidR="006B7E22" w:rsidRPr="009132A6">
        <w:t xml:space="preserve"> the Monte Carlo simulations. Using this data, the STRIKE model determine</w:t>
      </w:r>
      <w:r w:rsidR="002463BE">
        <w:t>d</w:t>
      </w:r>
      <w:r w:rsidR="006B7E22" w:rsidRPr="009132A6">
        <w:t xml:space="preserve"> a hedging position </w:t>
      </w:r>
      <w:r w:rsidR="003510B6" w:rsidRPr="009132A6">
        <w:t>that represents an efficient mix of hedging products that a prudent retailer would use to represent a position th</w:t>
      </w:r>
      <w:r w:rsidR="0036573A" w:rsidRPr="009132A6">
        <w:t>a</w:t>
      </w:r>
      <w:r w:rsidR="003510B6" w:rsidRPr="009132A6">
        <w:t xml:space="preserve">t is the lowest </w:t>
      </w:r>
      <w:r w:rsidR="0036573A" w:rsidRPr="009132A6">
        <w:t>energy purchase cost for the lowest level of risk.</w:t>
      </w:r>
    </w:p>
    <w:p w14:paraId="4B5834EF" w14:textId="541D54F5" w:rsidR="008B2577" w:rsidRPr="009132A6" w:rsidRDefault="008B2577" w:rsidP="008B2577">
      <w:r w:rsidRPr="009132A6">
        <w:t>To estimate the cost of this hedging position, we use</w:t>
      </w:r>
      <w:r w:rsidR="00505000">
        <w:t>d</w:t>
      </w:r>
      <w:r w:rsidRPr="009132A6">
        <w:t xml:space="preserve"> the 12-month trade-weighted contract prices from ASX Energy for base swap and base cap contracts. </w:t>
      </w:r>
      <w:r w:rsidR="006A5C7B" w:rsidRPr="009132A6">
        <w:t>There are many different hedging products available. However, we continue to use futures prices from ASX Energy to estimate wholesale electricity cost</w:t>
      </w:r>
      <w:r w:rsidR="00EF071D" w:rsidRPr="009132A6">
        <w:t>s</w:t>
      </w:r>
      <w:r w:rsidR="006A5C7B" w:rsidRPr="009132A6">
        <w:t>, as participants publicly trade ASX Energy contracts, so prices and volumes are transparent</w:t>
      </w:r>
      <w:r w:rsidR="00EF071D" w:rsidRPr="009132A6">
        <w:t>.</w:t>
      </w:r>
    </w:p>
    <w:p w14:paraId="5FADF437" w14:textId="2C4625B4" w:rsidR="006B7E22" w:rsidRDefault="00A37B10" w:rsidP="006B7E22">
      <w:r w:rsidRPr="00A201D1">
        <w:t xml:space="preserve">We </w:t>
      </w:r>
      <w:r w:rsidR="00A35F84">
        <w:t>consider</w:t>
      </w:r>
      <w:r w:rsidR="00A35F84" w:rsidRPr="00A201D1">
        <w:t xml:space="preserve"> </w:t>
      </w:r>
      <w:r w:rsidRPr="00A201D1">
        <w:t>t</w:t>
      </w:r>
      <w:r w:rsidR="003E7E2B" w:rsidRPr="00A201D1">
        <w:t>h</w:t>
      </w:r>
      <w:r w:rsidRPr="00A201D1">
        <w:t xml:space="preserve">at </w:t>
      </w:r>
      <w:r w:rsidR="00891CB2" w:rsidRPr="00A201D1">
        <w:t xml:space="preserve">our </w:t>
      </w:r>
      <w:r w:rsidR="00065B84" w:rsidRPr="00A201D1">
        <w:t>final</w:t>
      </w:r>
      <w:r w:rsidR="00891CB2" w:rsidRPr="00A201D1">
        <w:t xml:space="preserve"> decision to </w:t>
      </w:r>
      <w:r w:rsidRPr="00A201D1">
        <w:t>chang</w:t>
      </w:r>
      <w:r w:rsidR="00891CB2" w:rsidRPr="00A201D1">
        <w:t>e</w:t>
      </w:r>
      <w:r w:rsidRPr="00A201D1">
        <w:t xml:space="preserve"> </w:t>
      </w:r>
      <w:r w:rsidR="00403450" w:rsidRPr="00A201D1">
        <w:t>to</w:t>
      </w:r>
      <w:r w:rsidRPr="00A201D1">
        <w:t xml:space="preserve"> a load </w:t>
      </w:r>
      <w:r w:rsidR="00403450" w:rsidRPr="00A201D1">
        <w:t>only p</w:t>
      </w:r>
      <w:r w:rsidR="00891CB2" w:rsidRPr="00A201D1">
        <w:t>rofile</w:t>
      </w:r>
      <w:r w:rsidR="00C757F0" w:rsidRPr="00A201D1">
        <w:t xml:space="preserve"> in setting the Victorian </w:t>
      </w:r>
      <w:r w:rsidR="00040E30" w:rsidRPr="00A201D1">
        <w:t>Default</w:t>
      </w:r>
      <w:r w:rsidR="00C757F0" w:rsidRPr="00A201D1">
        <w:t xml:space="preserve"> Offer </w:t>
      </w:r>
      <w:r w:rsidR="00D04945">
        <w:t xml:space="preserve">will </w:t>
      </w:r>
      <w:r w:rsidR="006B7E22" w:rsidRPr="00A201D1">
        <w:t xml:space="preserve">naturally </w:t>
      </w:r>
      <w:r w:rsidR="00F50AE3" w:rsidRPr="00A201D1">
        <w:t>adjust</w:t>
      </w:r>
      <w:r w:rsidR="006B7E22" w:rsidRPr="00A201D1">
        <w:t xml:space="preserve"> </w:t>
      </w:r>
      <w:r w:rsidR="006B7E22" w:rsidRPr="00A201D1" w:rsidDel="00C757F0">
        <w:t xml:space="preserve">the </w:t>
      </w:r>
      <w:r w:rsidR="006B7E22" w:rsidRPr="00A201D1">
        <w:t>hedging position</w:t>
      </w:r>
      <w:r w:rsidR="006D0C6D">
        <w:t xml:space="preserve"> within the STRIKE model</w:t>
      </w:r>
      <w:r w:rsidR="00C757F0" w:rsidRPr="00A201D1">
        <w:t>,</w:t>
      </w:r>
      <w:r w:rsidR="006B7E22" w:rsidRPr="00A201D1">
        <w:t xml:space="preserve"> because the underlying load to be serviced by the hedging contracts is different. </w:t>
      </w:r>
      <w:r w:rsidR="00ED1A8F" w:rsidRPr="00A201D1">
        <w:t xml:space="preserve">We </w:t>
      </w:r>
      <w:r w:rsidR="00F50AE3" w:rsidRPr="00A201D1">
        <w:t>have</w:t>
      </w:r>
      <w:r w:rsidR="00701A3D" w:rsidRPr="00A201D1">
        <w:t xml:space="preserve"> </w:t>
      </w:r>
      <w:r w:rsidR="00F11947">
        <w:t xml:space="preserve">therefore </w:t>
      </w:r>
      <w:r w:rsidR="00B22010" w:rsidRPr="00A201D1">
        <w:t xml:space="preserve">not </w:t>
      </w:r>
      <w:r w:rsidR="00F50AE3" w:rsidRPr="00A201D1">
        <w:t>made any</w:t>
      </w:r>
      <w:r w:rsidR="006B7E22" w:rsidRPr="00A201D1">
        <w:t xml:space="preserve"> explicit adjustments </w:t>
      </w:r>
      <w:r w:rsidR="00701A3D" w:rsidRPr="00A201D1">
        <w:t xml:space="preserve">to </w:t>
      </w:r>
      <w:r w:rsidR="003A740B" w:rsidRPr="00A201D1">
        <w:t xml:space="preserve">the </w:t>
      </w:r>
      <w:r w:rsidR="00D967E3" w:rsidRPr="00A201D1">
        <w:t xml:space="preserve">hedging </w:t>
      </w:r>
      <w:r w:rsidR="003A740B" w:rsidRPr="00A201D1">
        <w:t>position</w:t>
      </w:r>
      <w:r w:rsidR="00F01A65" w:rsidRPr="00A201D1">
        <w:t xml:space="preserve"> we </w:t>
      </w:r>
      <w:r w:rsidR="003205CB" w:rsidRPr="00A201D1">
        <w:t xml:space="preserve">have </w:t>
      </w:r>
      <w:r w:rsidR="00F01A65" w:rsidRPr="00A201D1">
        <w:t>use</w:t>
      </w:r>
      <w:r w:rsidR="003205CB" w:rsidRPr="00A201D1">
        <w:t>d</w:t>
      </w:r>
      <w:r w:rsidR="006B7E22" w:rsidRPr="00A201D1">
        <w:t>.</w:t>
      </w:r>
      <w:r w:rsidR="006B7E22">
        <w:t xml:space="preserve"> </w:t>
      </w:r>
    </w:p>
    <w:p w14:paraId="41D00311" w14:textId="71A8C7D3" w:rsidR="006B7E22" w:rsidRPr="001D4ADD" w:rsidDel="00A91826" w:rsidRDefault="008547EF" w:rsidP="00A85C07">
      <w:pPr>
        <w:pStyle w:val="Heading3"/>
      </w:pPr>
      <w:r>
        <w:t xml:space="preserve">Our </w:t>
      </w:r>
      <w:r w:rsidR="00065B84">
        <w:t>final</w:t>
      </w:r>
      <w:r>
        <w:t xml:space="preserve"> decision is to </w:t>
      </w:r>
      <w:r w:rsidRPr="008E7EAB">
        <w:t>continue</w:t>
      </w:r>
      <w:r>
        <w:t xml:space="preserve"> to </w:t>
      </w:r>
      <w:r w:rsidR="009C296E">
        <w:t>apply a</w:t>
      </w:r>
      <w:r w:rsidR="006B7E22" w:rsidRPr="001D4ADD" w:rsidDel="00A91826">
        <w:t xml:space="preserve"> volatility</w:t>
      </w:r>
      <w:r w:rsidR="009C296E">
        <w:t xml:space="preserve"> </w:t>
      </w:r>
      <w:r w:rsidR="00FB513C">
        <w:t>a</w:t>
      </w:r>
      <w:r w:rsidR="009C296E">
        <w:t xml:space="preserve">llowance </w:t>
      </w:r>
      <w:r w:rsidR="00FB513C">
        <w:t>in forecasting wholesale electricity prices</w:t>
      </w:r>
    </w:p>
    <w:p w14:paraId="78097BA8" w14:textId="77777777" w:rsidR="00FF2C7E" w:rsidRPr="005013BC" w:rsidRDefault="00AA5C4F" w:rsidP="005123E3">
      <w:r w:rsidRPr="005013BC">
        <w:t xml:space="preserve">For </w:t>
      </w:r>
      <w:r w:rsidR="006652BA" w:rsidRPr="005013BC">
        <w:t>our</w:t>
      </w:r>
      <w:r w:rsidRPr="005013BC">
        <w:t xml:space="preserve"> </w:t>
      </w:r>
      <w:r w:rsidR="00065B84" w:rsidRPr="005013BC">
        <w:t>final</w:t>
      </w:r>
      <w:r w:rsidRPr="005013BC">
        <w:t xml:space="preserve"> decision, we have continued to </w:t>
      </w:r>
      <w:r w:rsidR="00C60194" w:rsidRPr="005013BC">
        <w:t>apply</w:t>
      </w:r>
      <w:r w:rsidR="006B7E22" w:rsidRPr="005013BC">
        <w:t xml:space="preserve"> </w:t>
      </w:r>
      <w:r w:rsidR="008C60EA" w:rsidRPr="005013BC">
        <w:t>a</w:t>
      </w:r>
      <w:r w:rsidR="006B7E22" w:rsidRPr="005013BC" w:rsidDel="00A91826">
        <w:t xml:space="preserve"> volatility allowance </w:t>
      </w:r>
      <w:r w:rsidR="001148D2" w:rsidRPr="005013BC">
        <w:t>to the</w:t>
      </w:r>
      <w:r w:rsidR="00C60194" w:rsidRPr="005013BC">
        <w:t xml:space="preserve"> wholesale electr</w:t>
      </w:r>
      <w:r w:rsidR="006A23B8" w:rsidRPr="005013BC">
        <w:t>i</w:t>
      </w:r>
      <w:r w:rsidR="00C60194" w:rsidRPr="005013BC">
        <w:t>city cost</w:t>
      </w:r>
      <w:r w:rsidR="001148D2" w:rsidRPr="005013BC">
        <w:t xml:space="preserve"> components of the </w:t>
      </w:r>
      <w:r w:rsidR="00E00FCD" w:rsidRPr="005013BC">
        <w:t>Victorian Default Offer cost stack</w:t>
      </w:r>
      <w:r w:rsidR="00184879" w:rsidRPr="005013BC">
        <w:t xml:space="preserve">. This allowance </w:t>
      </w:r>
      <w:r w:rsidR="006B7E22" w:rsidRPr="005013BC" w:rsidDel="00A91826">
        <w:t>cover</w:t>
      </w:r>
      <w:r w:rsidR="00184879" w:rsidRPr="005013BC">
        <w:t>s</w:t>
      </w:r>
      <w:r w:rsidR="006B7E22" w:rsidRPr="005013BC" w:rsidDel="00A91826">
        <w:t xml:space="preserve"> the cost </w:t>
      </w:r>
      <w:r w:rsidR="00624181" w:rsidRPr="005013BC">
        <w:t xml:space="preserve">to </w:t>
      </w:r>
      <w:r w:rsidR="000C41DD" w:rsidRPr="005013BC">
        <w:lastRenderedPageBreak/>
        <w:t>retailers</w:t>
      </w:r>
      <w:r w:rsidR="006B7E22" w:rsidRPr="005013BC" w:rsidDel="00A91826">
        <w:t xml:space="preserve"> of holding working capital to </w:t>
      </w:r>
      <w:r w:rsidR="00D007F0" w:rsidRPr="005013BC">
        <w:t xml:space="preserve">fund spot market purchases </w:t>
      </w:r>
      <w:r w:rsidR="00D73107" w:rsidRPr="005013BC">
        <w:t xml:space="preserve">during periods of very high spot prices (which </w:t>
      </w:r>
      <w:r w:rsidR="00FB7C43" w:rsidRPr="005013BC">
        <w:t>are unexpected and hard to predict</w:t>
      </w:r>
      <w:r w:rsidR="00D73107" w:rsidRPr="005013BC">
        <w:t>)</w:t>
      </w:r>
      <w:r w:rsidR="006B7E22" w:rsidRPr="005013BC" w:rsidDel="00A91826">
        <w:t xml:space="preserve">. </w:t>
      </w:r>
    </w:p>
    <w:p w14:paraId="0CB2A2D7" w14:textId="4B3EF5AA" w:rsidR="005123E3" w:rsidRPr="005013BC" w:rsidRDefault="006B7E22" w:rsidP="005123E3">
      <w:r w:rsidRPr="005013BC">
        <w:t>We</w:t>
      </w:r>
      <w:r w:rsidR="00ED11F9" w:rsidRPr="005013BC">
        <w:t xml:space="preserve"> </w:t>
      </w:r>
      <w:r w:rsidR="00360216" w:rsidRPr="005013BC">
        <w:t>calculate</w:t>
      </w:r>
      <w:r w:rsidR="002147D4">
        <w:t>d</w:t>
      </w:r>
      <w:r w:rsidR="00360216" w:rsidRPr="005013BC" w:rsidDel="00A91826">
        <w:t xml:space="preserve"> </w:t>
      </w:r>
      <w:r w:rsidRPr="005013BC">
        <w:t xml:space="preserve">the </w:t>
      </w:r>
      <w:r w:rsidR="003B3B19" w:rsidRPr="005013BC">
        <w:t>volatility allowance</w:t>
      </w:r>
      <w:r w:rsidRPr="005013BC">
        <w:t xml:space="preserve"> </w:t>
      </w:r>
      <w:r w:rsidR="00360216" w:rsidRPr="005013BC">
        <w:t xml:space="preserve">based </w:t>
      </w:r>
      <w:r w:rsidRPr="005013BC" w:rsidDel="00A91826">
        <w:t xml:space="preserve">on the difference between </w:t>
      </w:r>
      <w:r w:rsidRPr="005013BC">
        <w:t>our forecast</w:t>
      </w:r>
      <w:r w:rsidRPr="005013BC" w:rsidDel="00A91826">
        <w:t xml:space="preserve"> wholesale electricity costs for the median simulated year and th</w:t>
      </w:r>
      <w:r w:rsidRPr="005013BC">
        <w:t>ose for the costliest</w:t>
      </w:r>
      <w:r w:rsidRPr="005013BC" w:rsidDel="00A91826">
        <w:t xml:space="preserve"> simulated year</w:t>
      </w:r>
      <w:r w:rsidRPr="005013BC">
        <w:t xml:space="preserve">. This is completed for </w:t>
      </w:r>
      <w:r w:rsidRPr="005013BC" w:rsidDel="00A91826">
        <w:t xml:space="preserve">each </w:t>
      </w:r>
      <w:r w:rsidR="00284291" w:rsidRPr="005013BC">
        <w:t>of the fi</w:t>
      </w:r>
      <w:r w:rsidR="005123E3" w:rsidRPr="005013BC">
        <w:t xml:space="preserve">ve Victorian </w:t>
      </w:r>
      <w:r w:rsidRPr="005013BC" w:rsidDel="00A91826">
        <w:t>distribution area</w:t>
      </w:r>
      <w:r w:rsidR="00931943" w:rsidRPr="005013BC">
        <w:t>s</w:t>
      </w:r>
      <w:r w:rsidRPr="005013BC" w:rsidDel="00D007F0">
        <w:t xml:space="preserve">. </w:t>
      </w:r>
    </w:p>
    <w:p w14:paraId="34921148" w14:textId="01A8EEA7" w:rsidR="006B7E22" w:rsidRPr="005013BC" w:rsidDel="00A91826" w:rsidRDefault="0033789A" w:rsidP="006B7E22">
      <w:r w:rsidRPr="005013BC">
        <w:t>In</w:t>
      </w:r>
      <w:r w:rsidR="006B7E22" w:rsidRPr="005013BC" w:rsidDel="00A91826">
        <w:t xml:space="preserve"> some years, actual costs will be higher than expected</w:t>
      </w:r>
      <w:r w:rsidR="00C60922" w:rsidRPr="005013BC">
        <w:t>. I</w:t>
      </w:r>
      <w:r w:rsidR="006B7E22" w:rsidRPr="005013BC" w:rsidDel="00A91826">
        <w:t>n others</w:t>
      </w:r>
      <w:r w:rsidR="00C60922" w:rsidRPr="005013BC">
        <w:t>,</w:t>
      </w:r>
      <w:r w:rsidR="006B7E22" w:rsidRPr="005013BC" w:rsidDel="00A91826">
        <w:t xml:space="preserve"> it will be lower. </w:t>
      </w:r>
      <w:r w:rsidR="00C60922" w:rsidRPr="005013BC">
        <w:t>O</w:t>
      </w:r>
      <w:r w:rsidR="006B7E22" w:rsidRPr="005013BC" w:rsidDel="00A91826">
        <w:t>n average over time, we would expect the higher and lower costs to balance out.</w:t>
      </w:r>
    </w:p>
    <w:p w14:paraId="62ADC29B" w14:textId="5614761B" w:rsidR="006B7E22" w:rsidRPr="005013BC" w:rsidDel="00A91826" w:rsidRDefault="006B7E22" w:rsidP="006B7E22">
      <w:r w:rsidRPr="005013BC">
        <w:t>Our</w:t>
      </w:r>
      <w:r w:rsidRPr="005013BC" w:rsidDel="00A91826">
        <w:t xml:space="preserve"> methodology means in general we would expect there to be relatively little unhedged load. For example, during the very high spot prices experienced during 2022, we monitored the exposure retailers would face if they had adopted the hedging position assumed in our </w:t>
      </w:r>
      <w:r w:rsidR="009D43D8" w:rsidRPr="005013BC">
        <w:t>2022–23</w:t>
      </w:r>
      <w:r w:rsidR="00B5657F" w:rsidRPr="005013BC">
        <w:t xml:space="preserve"> </w:t>
      </w:r>
      <w:r w:rsidRPr="005013BC" w:rsidDel="00A91826">
        <w:t xml:space="preserve">Victorian Default Offer wholesale </w:t>
      </w:r>
      <w:r w:rsidR="00B5657F" w:rsidRPr="005013BC">
        <w:t xml:space="preserve">electricity </w:t>
      </w:r>
      <w:r w:rsidRPr="005013BC" w:rsidDel="00A91826">
        <w:t xml:space="preserve">cost benchmark. We found that retailers hedged in this way would have had very little unhedged load and therefore little need for working capital to support the extreme market scenario that eventuated. </w:t>
      </w:r>
    </w:p>
    <w:p w14:paraId="3F0FB124" w14:textId="14F41E53" w:rsidR="006B7E22" w:rsidRPr="005013BC" w:rsidDel="00A91826" w:rsidRDefault="006B7E22" w:rsidP="006B7E22">
      <w:r w:rsidRPr="005013BC">
        <w:t xml:space="preserve">We acknowledge that some retailers may choose a riskier hedging position than assumed in our wholesale cost benchmark and therefore have higher working capital requirements. </w:t>
      </w:r>
      <w:r w:rsidR="00F5626A" w:rsidRPr="005013BC">
        <w:t xml:space="preserve">However, under the </w:t>
      </w:r>
      <w:r w:rsidRPr="005013BC">
        <w:t>pricing order</w:t>
      </w:r>
      <w:r w:rsidR="00F5626A" w:rsidRPr="005013BC">
        <w:t xml:space="preserve">, </w:t>
      </w:r>
      <w:r w:rsidRPr="005013BC">
        <w:t xml:space="preserve">the </w:t>
      </w:r>
      <w:r w:rsidR="00A52607">
        <w:t>Victorian Default Offer must be based on the efficient</w:t>
      </w:r>
      <w:r w:rsidR="00C47774">
        <w:t xml:space="preserve"> </w:t>
      </w:r>
      <w:r w:rsidRPr="005013BC">
        <w:t xml:space="preserve">costs of </w:t>
      </w:r>
      <w:r w:rsidR="00E157B7">
        <w:t>the sale of electricity by a</w:t>
      </w:r>
      <w:r w:rsidRPr="005013BC">
        <w:t xml:space="preserve"> retailer, and we are not required to set our cost benchmarks to reflect the actual costs of individual retailers.</w:t>
      </w:r>
      <w:r w:rsidRPr="005013BC">
        <w:rPr>
          <w:rStyle w:val="FootnoteReference"/>
        </w:rPr>
        <w:footnoteReference w:id="69"/>
      </w:r>
      <w:r w:rsidRPr="005013BC">
        <w:t xml:space="preserve"> </w:t>
      </w:r>
    </w:p>
    <w:p w14:paraId="376B9854" w14:textId="78C36FB5" w:rsidR="00BF7E90" w:rsidRDefault="006B7E22" w:rsidP="00A006B7">
      <w:r w:rsidRPr="005013BC" w:rsidDel="00A91826">
        <w:t xml:space="preserve">Further, those retailers with greater exposure to the wholesale spot price would also spend less on hedging contract costs. As a result, if we were to increase the volatility </w:t>
      </w:r>
      <w:r w:rsidRPr="005013BC">
        <w:t>allowance,</w:t>
      </w:r>
      <w:r w:rsidRPr="005013BC" w:rsidDel="00A91826">
        <w:t xml:space="preserve"> we would also have to make a commensurate decrease in hedging contract purchase costs.</w:t>
      </w:r>
    </w:p>
    <w:p w14:paraId="2C361103" w14:textId="2F76BB69" w:rsidR="00A233E1" w:rsidRDefault="00A233E1" w:rsidP="001E7214">
      <w:pPr>
        <w:pStyle w:val="Heading3"/>
      </w:pPr>
      <w:r>
        <w:t>W</w:t>
      </w:r>
      <w:r w:rsidR="00B62DA8">
        <w:t xml:space="preserve">holesale electricity costs </w:t>
      </w:r>
      <w:r w:rsidR="00AD144B">
        <w:t xml:space="preserve">are </w:t>
      </w:r>
      <w:r w:rsidR="00E17799">
        <w:t>slightly higher</w:t>
      </w:r>
      <w:r w:rsidR="00AD144B">
        <w:t xml:space="preserve"> </w:t>
      </w:r>
      <w:r w:rsidR="005F1CB9">
        <w:t xml:space="preserve">in </w:t>
      </w:r>
      <w:r w:rsidR="00785BD5">
        <w:t>representative</w:t>
      </w:r>
      <w:r w:rsidR="00CE5D84">
        <w:t xml:space="preserve"> domestic customer</w:t>
      </w:r>
      <w:r w:rsidR="00D170ED">
        <w:t xml:space="preserve"> bill</w:t>
      </w:r>
      <w:r w:rsidR="00CE5D84">
        <w:t>s</w:t>
      </w:r>
      <w:r w:rsidR="00771026">
        <w:t xml:space="preserve"> compared to 2024–25</w:t>
      </w:r>
    </w:p>
    <w:p w14:paraId="1712F48A" w14:textId="7018179A" w:rsidR="00027314" w:rsidRDefault="007614CC" w:rsidP="00A006B7">
      <w:r>
        <w:t>Wholesale electricity costs</w:t>
      </w:r>
      <w:r w:rsidR="00C92A69">
        <w:t xml:space="preserve"> </w:t>
      </w:r>
      <w:r w:rsidR="004D57E3">
        <w:t xml:space="preserve">are the </w:t>
      </w:r>
      <w:r w:rsidR="004D57E3" w:rsidRPr="001F1142">
        <w:t>second largest</w:t>
      </w:r>
      <w:r w:rsidR="004D57E3">
        <w:t xml:space="preserve"> component of </w:t>
      </w:r>
      <w:r w:rsidR="00446035">
        <w:t xml:space="preserve">annual </w:t>
      </w:r>
      <w:r w:rsidR="004D57E3">
        <w:t xml:space="preserve">bills, </w:t>
      </w:r>
      <w:r w:rsidR="00C92A69">
        <w:t>mak</w:t>
      </w:r>
      <w:r w:rsidR="004D57E3">
        <w:t>ing</w:t>
      </w:r>
      <w:r w:rsidR="00C92A69">
        <w:t xml:space="preserve"> up </w:t>
      </w:r>
      <w:r w:rsidR="005C3DC0" w:rsidRPr="001F1142">
        <w:t>30</w:t>
      </w:r>
      <w:r w:rsidR="00C92A69">
        <w:t xml:space="preserve"> per cent of both domestic and small business Victorian Default Offer customers</w:t>
      </w:r>
      <w:r w:rsidR="00136481">
        <w:t>’</w:t>
      </w:r>
      <w:r w:rsidR="00C92A69">
        <w:t xml:space="preserve"> bills for 2025–26. This </w:t>
      </w:r>
      <w:r w:rsidR="00385557">
        <w:t>component</w:t>
      </w:r>
      <w:r w:rsidR="002B4FE7">
        <w:t xml:space="preserve"> is a yearly cost of $</w:t>
      </w:r>
      <w:r w:rsidR="00C02B2B" w:rsidRPr="001F1142">
        <w:t>501</w:t>
      </w:r>
      <w:r w:rsidR="002B4FE7">
        <w:t xml:space="preserve"> for a </w:t>
      </w:r>
      <w:r w:rsidR="00785BD5">
        <w:t>representative</w:t>
      </w:r>
      <w:r w:rsidR="002B4FE7">
        <w:t xml:space="preserve"> </w:t>
      </w:r>
      <w:r w:rsidR="003B4CF0">
        <w:t xml:space="preserve">domestic </w:t>
      </w:r>
      <w:r w:rsidR="00BA2CBA">
        <w:t>customer</w:t>
      </w:r>
      <w:r w:rsidR="002B4FE7">
        <w:t xml:space="preserve"> </w:t>
      </w:r>
      <w:r w:rsidR="00385557">
        <w:t>and</w:t>
      </w:r>
      <w:r w:rsidR="002B4FE7">
        <w:t xml:space="preserve"> $</w:t>
      </w:r>
      <w:r w:rsidR="00016665" w:rsidRPr="001F1142">
        <w:t>1</w:t>
      </w:r>
      <w:r w:rsidR="00DE5BCC" w:rsidRPr="001F1142">
        <w:t>,</w:t>
      </w:r>
      <w:r w:rsidR="00016665" w:rsidRPr="001F1142">
        <w:t>0</w:t>
      </w:r>
      <w:r w:rsidR="004120CF" w:rsidRPr="001F1142">
        <w:t>8</w:t>
      </w:r>
      <w:r w:rsidR="00CF50EA" w:rsidRPr="001F1142">
        <w:t>4</w:t>
      </w:r>
      <w:r w:rsidR="002B4FE7">
        <w:t xml:space="preserve"> for a </w:t>
      </w:r>
      <w:r w:rsidR="00785BD5">
        <w:t>representative</w:t>
      </w:r>
      <w:r w:rsidR="002B4FE7">
        <w:t xml:space="preserve"> small business </w:t>
      </w:r>
      <w:r w:rsidR="00A97070">
        <w:t xml:space="preserve">customer </w:t>
      </w:r>
      <w:r w:rsidR="002B4FE7">
        <w:t xml:space="preserve">on the default offer. </w:t>
      </w:r>
    </w:p>
    <w:p w14:paraId="43BCC030" w14:textId="50DCD6D5" w:rsidR="00F020D3" w:rsidRDefault="00C07EBA" w:rsidP="00A006B7">
      <w:r>
        <w:t>F</w:t>
      </w:r>
      <w:r w:rsidR="0071371A">
        <w:t>or</w:t>
      </w:r>
      <w:r w:rsidR="00396BE0">
        <w:t xml:space="preserve"> </w:t>
      </w:r>
      <w:r w:rsidR="00785BD5">
        <w:t>representative</w:t>
      </w:r>
      <w:r w:rsidR="00396BE0">
        <w:t xml:space="preserve"> </w:t>
      </w:r>
      <w:r w:rsidR="008412B1">
        <w:t>domestic customers</w:t>
      </w:r>
      <w:r w:rsidR="00480B60">
        <w:t>, wholesale electricity costs</w:t>
      </w:r>
      <w:r w:rsidR="00AB16EB">
        <w:t xml:space="preserve"> </w:t>
      </w:r>
      <w:r w:rsidR="00480B60">
        <w:t>are</w:t>
      </w:r>
      <w:r w:rsidR="00ED16AC">
        <w:t xml:space="preserve"> $</w:t>
      </w:r>
      <w:r w:rsidR="00883CC9">
        <w:t>9</w:t>
      </w:r>
      <w:r w:rsidR="00AB16EB">
        <w:t xml:space="preserve"> </w:t>
      </w:r>
      <w:r w:rsidR="00ED16AC">
        <w:t xml:space="preserve">(or </w:t>
      </w:r>
      <w:r w:rsidR="00883CC9" w:rsidRPr="001F1142">
        <w:t>two</w:t>
      </w:r>
      <w:r w:rsidR="00AB16EB">
        <w:t xml:space="preserve"> per cent</w:t>
      </w:r>
      <w:r w:rsidR="00ED16AC">
        <w:t>)</w:t>
      </w:r>
      <w:r w:rsidR="00AB16EB">
        <w:t xml:space="preserve"> </w:t>
      </w:r>
      <w:r w:rsidR="00E17799">
        <w:rPr>
          <w:b/>
        </w:rPr>
        <w:t>higher</w:t>
      </w:r>
      <w:r w:rsidR="00E17799">
        <w:t xml:space="preserve"> </w:t>
      </w:r>
      <w:r w:rsidR="00AB16EB">
        <w:t xml:space="preserve">than </w:t>
      </w:r>
      <w:r w:rsidR="0034443C">
        <w:t xml:space="preserve">in our 2024–25 Victorian Default Offer. </w:t>
      </w:r>
      <w:r w:rsidR="000D69DF">
        <w:t xml:space="preserve">For </w:t>
      </w:r>
      <w:r w:rsidR="00785BD5">
        <w:t>representative</w:t>
      </w:r>
      <w:r w:rsidR="000D69DF">
        <w:t xml:space="preserve"> small business customers</w:t>
      </w:r>
      <w:r w:rsidR="008B3E55">
        <w:t xml:space="preserve"> this cost is $</w:t>
      </w:r>
      <w:r w:rsidR="002933BD" w:rsidRPr="001F1142">
        <w:t>9</w:t>
      </w:r>
      <w:r w:rsidR="000A5F3E" w:rsidRPr="001F1142">
        <w:t>7</w:t>
      </w:r>
      <w:r w:rsidR="008B3E55">
        <w:t xml:space="preserve"> (or</w:t>
      </w:r>
      <w:r w:rsidR="00431088">
        <w:t xml:space="preserve"> </w:t>
      </w:r>
      <w:r w:rsidR="00A42C42">
        <w:t>10</w:t>
      </w:r>
      <w:r w:rsidR="00431088">
        <w:t xml:space="preserve"> per cent) </w:t>
      </w:r>
      <w:r w:rsidR="00431088" w:rsidRPr="001F1142">
        <w:rPr>
          <w:b/>
        </w:rPr>
        <w:t>higher</w:t>
      </w:r>
      <w:r w:rsidR="00AE1BB1">
        <w:t xml:space="preserve"> than in our 2024</w:t>
      </w:r>
      <w:r w:rsidR="003431A3">
        <w:t>–</w:t>
      </w:r>
      <w:r w:rsidR="00AE1BB1">
        <w:t xml:space="preserve">25 Victorian Default Offer. </w:t>
      </w:r>
    </w:p>
    <w:p w14:paraId="263A95FB" w14:textId="06BFC41F" w:rsidR="00B62DA8" w:rsidRPr="001E7214" w:rsidRDefault="006C2F53" w:rsidP="00A006B7">
      <w:r w:rsidRPr="00B14E11">
        <w:t>W</w:t>
      </w:r>
      <w:r w:rsidR="0034443C" w:rsidRPr="00B14E11">
        <w:t xml:space="preserve">holesale </w:t>
      </w:r>
      <w:r w:rsidR="00D77A95" w:rsidRPr="00B14E11">
        <w:t xml:space="preserve">electricity future contract prices are </w:t>
      </w:r>
      <w:r w:rsidR="00E14AEB" w:rsidRPr="00B14E11">
        <w:t>slightly higher</w:t>
      </w:r>
      <w:r w:rsidR="00200621" w:rsidRPr="00B14E11">
        <w:t xml:space="preserve"> compared to</w:t>
      </w:r>
      <w:r w:rsidR="00DC13CD" w:rsidRPr="00B14E11">
        <w:t xml:space="preserve"> </w:t>
      </w:r>
      <w:r w:rsidR="00E30FB7" w:rsidRPr="00B14E11">
        <w:t>our 2024</w:t>
      </w:r>
      <w:r w:rsidR="005E6445" w:rsidRPr="00B14E11">
        <w:t>–25</w:t>
      </w:r>
      <w:r w:rsidR="00A01455" w:rsidRPr="00B14E11">
        <w:t xml:space="preserve"> Victorian Default Offer</w:t>
      </w:r>
      <w:r w:rsidR="0052751E" w:rsidRPr="00B14E11">
        <w:t xml:space="preserve"> balanced by</w:t>
      </w:r>
      <w:r w:rsidR="00D77A95" w:rsidRPr="00B14E11">
        <w:t xml:space="preserve"> the change in our approach to load profiles</w:t>
      </w:r>
      <w:r w:rsidR="00B14E11" w:rsidRPr="00B14E11">
        <w:t xml:space="preserve"> and the inclusion of a </w:t>
      </w:r>
      <w:r w:rsidR="00B14E11" w:rsidRPr="00B14E11">
        <w:lastRenderedPageBreak/>
        <w:t>wholesale electricity cost of exports</w:t>
      </w:r>
      <w:r w:rsidR="00D77A95" w:rsidRPr="00B14E11">
        <w:t>.</w:t>
      </w:r>
      <w:r w:rsidR="00D77A95" w:rsidRPr="00844D3C">
        <w:t xml:space="preserve"> </w:t>
      </w:r>
      <w:r w:rsidR="008925C2" w:rsidRPr="00844D3C">
        <w:t xml:space="preserve">For small business customers, the change in load profile has had a less pronounced impact due to </w:t>
      </w:r>
      <w:r w:rsidR="00987542" w:rsidRPr="00844D3C">
        <w:t>their load profiles being flatter</w:t>
      </w:r>
      <w:r w:rsidR="004C151E" w:rsidRPr="00844D3C">
        <w:t>, with most electricity used during the day</w:t>
      </w:r>
      <w:r w:rsidR="009C7A75" w:rsidRPr="00844D3C">
        <w:t xml:space="preserve"> and less solar uptake</w:t>
      </w:r>
      <w:r w:rsidR="00B77D0F" w:rsidRPr="00844D3C">
        <w:t>.</w:t>
      </w:r>
      <w:r w:rsidR="00B77D0F">
        <w:t xml:space="preserve"> </w:t>
      </w:r>
      <w:r w:rsidR="00B11283">
        <w:t xml:space="preserve"> </w:t>
      </w:r>
    </w:p>
    <w:p w14:paraId="47951FEE" w14:textId="4A222597" w:rsidR="00D87FAC" w:rsidRDefault="005628F6" w:rsidP="005628F6">
      <w:pPr>
        <w:pStyle w:val="Heading2"/>
      </w:pPr>
      <w:bookmarkStart w:id="64" w:name="_Toc198808329"/>
      <w:r>
        <w:t>Environmental costs</w:t>
      </w:r>
      <w:bookmarkEnd w:id="59"/>
      <w:bookmarkEnd w:id="64"/>
    </w:p>
    <w:p w14:paraId="7FC95FBC" w14:textId="67ACF810" w:rsidR="00540DF7" w:rsidRPr="002F695A" w:rsidRDefault="00540DF7" w:rsidP="00610F02">
      <w:pPr>
        <w:pStyle w:val="Pull-outBullet1"/>
      </w:pPr>
      <w:r w:rsidRPr="008D09D7">
        <w:t xml:space="preserve">Our </w:t>
      </w:r>
      <w:r w:rsidR="00557769">
        <w:t>final</w:t>
      </w:r>
      <w:r w:rsidRPr="008D09D7">
        <w:t xml:space="preserve"> decision is to </w:t>
      </w:r>
      <w:r w:rsidRPr="00CA7119">
        <w:t>maintain</w:t>
      </w:r>
      <w:r w:rsidRPr="00C973A2">
        <w:t xml:space="preserve"> our</w:t>
      </w:r>
      <w:r w:rsidR="0060319B">
        <w:t xml:space="preserve"> </w:t>
      </w:r>
      <w:r w:rsidRPr="00C973A2">
        <w:t>approach for estimating costs for the Large-scale Renewable Energy Target, Small-scale Renewable Energy Scheme</w:t>
      </w:r>
      <w:r w:rsidR="00E55AF4">
        <w:t xml:space="preserve"> and the</w:t>
      </w:r>
      <w:r w:rsidRPr="00C973A2">
        <w:t xml:space="preserve"> Victorian Energy </w:t>
      </w:r>
      <w:r w:rsidRPr="002F695A">
        <w:t>Upgrades program</w:t>
      </w:r>
      <w:r w:rsidR="00116008" w:rsidRPr="002F695A">
        <w:t>.</w:t>
      </w:r>
    </w:p>
    <w:p w14:paraId="5629C53E" w14:textId="6B1D593A" w:rsidR="00E55AF4" w:rsidRPr="00611B44" w:rsidRDefault="00E55AF4" w:rsidP="00610F02">
      <w:pPr>
        <w:pStyle w:val="Pull-outBullet1"/>
      </w:pPr>
      <w:r>
        <w:t xml:space="preserve">We have removed the </w:t>
      </w:r>
      <w:r w:rsidR="00434B74">
        <w:t xml:space="preserve">social cost </w:t>
      </w:r>
      <w:r w:rsidR="00434B74" w:rsidRPr="00611B44">
        <w:t>of carbon as legislation no longer requires it.</w:t>
      </w:r>
    </w:p>
    <w:p w14:paraId="6B6AB4E4" w14:textId="0AC4298E" w:rsidR="00540DF7" w:rsidRPr="00611B44" w:rsidRDefault="00540DF7" w:rsidP="00610F02">
      <w:pPr>
        <w:pStyle w:val="Pull-outBullet1"/>
      </w:pPr>
      <w:r w:rsidRPr="00611B44">
        <w:t>Environmental costs represent about $</w:t>
      </w:r>
      <w:r w:rsidR="005F2A5E" w:rsidRPr="00611B44">
        <w:t>1</w:t>
      </w:r>
      <w:r w:rsidR="008537E0" w:rsidRPr="00611B44">
        <w:t>14</w:t>
      </w:r>
      <w:r w:rsidR="001E7848" w:rsidRPr="00611B44">
        <w:t xml:space="preserve"> </w:t>
      </w:r>
      <w:r w:rsidRPr="00611B44">
        <w:t>(</w:t>
      </w:r>
      <w:r w:rsidR="00BE1B8A" w:rsidRPr="00611B44">
        <w:t xml:space="preserve">or </w:t>
      </w:r>
      <w:r w:rsidR="00234D6A" w:rsidRPr="00611B44">
        <w:t>seven</w:t>
      </w:r>
      <w:r w:rsidRPr="00611B44">
        <w:t xml:space="preserve"> per cent) of the average domestic flat </w:t>
      </w:r>
      <w:r w:rsidR="001C4A9E" w:rsidRPr="00611B44">
        <w:t xml:space="preserve">tariff </w:t>
      </w:r>
      <w:r w:rsidR="006755E1" w:rsidRPr="00611B44">
        <w:t xml:space="preserve">2025–26 </w:t>
      </w:r>
      <w:r w:rsidRPr="00611B44">
        <w:t>Victorian Default Offer bill (averaged across the five distribution zones).</w:t>
      </w:r>
    </w:p>
    <w:p w14:paraId="77AA89EF" w14:textId="2365A085" w:rsidR="00540DF7" w:rsidRPr="00D43105" w:rsidRDefault="00540DF7" w:rsidP="00610F02">
      <w:pPr>
        <w:pStyle w:val="Pull-outBullet1"/>
      </w:pPr>
      <w:r w:rsidRPr="00611B44">
        <w:t xml:space="preserve">Our </w:t>
      </w:r>
      <w:r w:rsidR="00557769" w:rsidRPr="00611B44">
        <w:t>final</w:t>
      </w:r>
      <w:r w:rsidRPr="00611B44">
        <w:t xml:space="preserve"> decision means environmental costs for domestic customers are </w:t>
      </w:r>
      <w:r w:rsidR="002813A6" w:rsidRPr="00611B44">
        <w:t>$</w:t>
      </w:r>
      <w:r w:rsidR="00234D6A" w:rsidRPr="00611B44">
        <w:t>2</w:t>
      </w:r>
      <w:r w:rsidR="00BF37CE" w:rsidRPr="00611B44">
        <w:t>1</w:t>
      </w:r>
      <w:r w:rsidR="002813A6" w:rsidRPr="00611B44">
        <w:t xml:space="preserve"> </w:t>
      </w:r>
      <w:r w:rsidR="0086728A" w:rsidRPr="00611B44">
        <w:t>(</w:t>
      </w:r>
      <w:r w:rsidR="002813A6" w:rsidRPr="00611B44">
        <w:t>or</w:t>
      </w:r>
      <w:r w:rsidRPr="00611B44">
        <w:t xml:space="preserve"> </w:t>
      </w:r>
      <w:r w:rsidR="00363404" w:rsidRPr="00611B44" w:rsidDel="00D76FCD">
        <w:t>1</w:t>
      </w:r>
      <w:r w:rsidR="001908FF" w:rsidRPr="00611B44">
        <w:t>6</w:t>
      </w:r>
      <w:r w:rsidRPr="00611B44">
        <w:t xml:space="preserve"> per cent</w:t>
      </w:r>
      <w:r w:rsidR="0086728A" w:rsidRPr="00611B44">
        <w:t>)</w:t>
      </w:r>
      <w:r w:rsidRPr="00611B44">
        <w:t xml:space="preserve"> lower compared to the amount in our 2024–25 determination. This is mainly driven by </w:t>
      </w:r>
      <w:r w:rsidR="0017280D" w:rsidRPr="00611B44">
        <w:t>decreased</w:t>
      </w:r>
      <w:r w:rsidR="00E023FC" w:rsidRPr="00611B44">
        <w:t xml:space="preserve"> cost</w:t>
      </w:r>
      <w:r w:rsidR="002F695A" w:rsidRPr="00611B44">
        <w:t xml:space="preserve"> liability in </w:t>
      </w:r>
      <w:r w:rsidR="00697EA5" w:rsidRPr="00611B44">
        <w:t xml:space="preserve">Australian </w:t>
      </w:r>
      <w:r w:rsidR="00243208" w:rsidRPr="00611B44">
        <w:t>G</w:t>
      </w:r>
      <w:r w:rsidR="00697EA5" w:rsidRPr="00611B44">
        <w:t xml:space="preserve">overnment </w:t>
      </w:r>
      <w:r w:rsidR="002F695A" w:rsidRPr="00611B44">
        <w:t>environmental programs</w:t>
      </w:r>
      <w:r w:rsidR="00434B74" w:rsidRPr="00611B44">
        <w:t xml:space="preserve"> and</w:t>
      </w:r>
      <w:r w:rsidR="00434B74" w:rsidRPr="00434B74">
        <w:t xml:space="preserve"> the removal of the social cost of carbon</w:t>
      </w:r>
      <w:r w:rsidRPr="00D43105">
        <w:t>.</w:t>
      </w:r>
    </w:p>
    <w:p w14:paraId="7C32483A" w14:textId="5F08DD14" w:rsidR="001C227B" w:rsidRDefault="00287AD9" w:rsidP="00287AD9">
      <w:r w:rsidRPr="00F54A19">
        <w:t>The pricing order requires that we have regard to</w:t>
      </w:r>
      <w:r w:rsidR="00577D8F">
        <w:t xml:space="preserve"> </w:t>
      </w:r>
      <w:r w:rsidRPr="00697EA5">
        <w:rPr>
          <w:b/>
        </w:rPr>
        <w:t>environmental costs</w:t>
      </w:r>
      <w:r w:rsidRPr="00F54A19">
        <w:t xml:space="preserve"> </w:t>
      </w:r>
      <w:r w:rsidR="00C33DA5">
        <w:t xml:space="preserve">in </w:t>
      </w:r>
      <w:r w:rsidR="00E750A0">
        <w:t>e</w:t>
      </w:r>
      <w:r w:rsidR="004F2FBC" w:rsidRPr="007A6883">
        <w:t xml:space="preserve">stimating </w:t>
      </w:r>
      <w:r w:rsidR="004F2FBC">
        <w:t xml:space="preserve">the </w:t>
      </w:r>
      <w:r w:rsidR="004F2FBC" w:rsidRPr="007A6883">
        <w:t>efficient costs</w:t>
      </w:r>
      <w:r w:rsidR="004F2FBC">
        <w:t xml:space="preserve"> </w:t>
      </w:r>
      <w:r w:rsidR="004F2FBC" w:rsidRPr="007A6883">
        <w:t>of electricity retailers</w:t>
      </w:r>
      <w:r w:rsidRPr="00F54A19">
        <w:t>.</w:t>
      </w:r>
      <w:r w:rsidRPr="00F54A19">
        <w:rPr>
          <w:rStyle w:val="FootnoteReference"/>
        </w:rPr>
        <w:footnoteReference w:id="70"/>
      </w:r>
      <w:r w:rsidRPr="00F54A19">
        <w:t xml:space="preserve"> </w:t>
      </w:r>
    </w:p>
    <w:p w14:paraId="45260A6D" w14:textId="53D6694D" w:rsidR="00287AD9" w:rsidRPr="009B2E45" w:rsidRDefault="00287AD9" w:rsidP="007B13FB">
      <w:pPr>
        <w:pStyle w:val="Heading3"/>
        <w:tabs>
          <w:tab w:val="left" w:pos="8239"/>
        </w:tabs>
      </w:pPr>
      <w:bookmarkStart w:id="65" w:name="_Toc160817022"/>
      <w:bookmarkStart w:id="66" w:name="_Toc191027367"/>
      <w:r w:rsidRPr="009B2E45" w:rsidDel="00460328">
        <w:t>O</w:t>
      </w:r>
      <w:r w:rsidRPr="009B2E45" w:rsidDel="007A72F2">
        <w:t>u</w:t>
      </w:r>
      <w:r w:rsidRPr="009B2E45">
        <w:t>r approach to environmental costs</w:t>
      </w:r>
      <w:bookmarkEnd w:id="65"/>
      <w:bookmarkEnd w:id="66"/>
    </w:p>
    <w:p w14:paraId="49B280B3" w14:textId="2207060D" w:rsidR="00CD6F7B" w:rsidRPr="00F54A19" w:rsidRDefault="00453E06" w:rsidP="00CD6F7B">
      <w:r>
        <w:t xml:space="preserve">Our </w:t>
      </w:r>
      <w:r w:rsidR="008E02A7">
        <w:t>final</w:t>
      </w:r>
      <w:r>
        <w:t xml:space="preserve"> decision is to</w:t>
      </w:r>
      <w:r w:rsidR="00CD6F7B">
        <w:t xml:space="preserve"> </w:t>
      </w:r>
      <w:r w:rsidR="00CD6F7B" w:rsidRPr="0091314D">
        <w:t>continue</w:t>
      </w:r>
      <w:r w:rsidR="00CD6F7B">
        <w:t xml:space="preserve"> to forecast environmental costs based on the </w:t>
      </w:r>
      <w:r w:rsidR="00CD6F7B" w:rsidRPr="00F54A19">
        <w:t xml:space="preserve">costs </w:t>
      </w:r>
      <w:r w:rsidR="00CD6F7B">
        <w:t xml:space="preserve">Victorian retailers incur </w:t>
      </w:r>
      <w:r w:rsidR="00EB2642">
        <w:t>in complying with</w:t>
      </w:r>
      <w:r w:rsidR="00CD6F7B" w:rsidRPr="00F54A19">
        <w:t xml:space="preserve"> </w:t>
      </w:r>
      <w:r w:rsidR="00CD6F7B">
        <w:t>environmental</w:t>
      </w:r>
      <w:r w:rsidR="00CD6F7B" w:rsidRPr="00F54A19">
        <w:t xml:space="preserve"> obligations </w:t>
      </w:r>
      <w:r w:rsidR="00CD6F7B">
        <w:t xml:space="preserve">imposed under Victorian or </w:t>
      </w:r>
      <w:r w:rsidR="00236307">
        <w:t>Commonwealth</w:t>
      </w:r>
      <w:r w:rsidR="00CD6F7B">
        <w:t xml:space="preserve"> law</w:t>
      </w:r>
      <w:r w:rsidR="00FF6013">
        <w:t xml:space="preserve"> or regulation</w:t>
      </w:r>
      <w:r w:rsidR="00CD6F7B">
        <w:t>. Environmental costs of this nature arise under the following Victorian and Commonwealth programs:</w:t>
      </w:r>
      <w:r w:rsidR="00CD6F7B" w:rsidRPr="00F54A19">
        <w:t xml:space="preserve"> </w:t>
      </w:r>
    </w:p>
    <w:p w14:paraId="60003D20" w14:textId="77777777" w:rsidR="00CD6F7B" w:rsidRPr="00D65B0B" w:rsidRDefault="00CD6F7B" w:rsidP="00D65B0B">
      <w:pPr>
        <w:pStyle w:val="ListBullet"/>
      </w:pPr>
      <w:r w:rsidRPr="00D65B0B">
        <w:t>Large-scale Renewable Energy Target</w:t>
      </w:r>
    </w:p>
    <w:p w14:paraId="0435D643" w14:textId="77777777" w:rsidR="00CD6F7B" w:rsidRPr="00D65B0B" w:rsidRDefault="00CD6F7B" w:rsidP="00D65B0B">
      <w:pPr>
        <w:pStyle w:val="ListBullet"/>
      </w:pPr>
      <w:r w:rsidRPr="00D65B0B">
        <w:t>Small-scale Renewable Energy Scheme</w:t>
      </w:r>
    </w:p>
    <w:p w14:paraId="0888FBAA" w14:textId="52E777E3" w:rsidR="00844D3C" w:rsidRPr="00D65B0B" w:rsidRDefault="00CD6F7B" w:rsidP="00D65B0B">
      <w:pPr>
        <w:pStyle w:val="ListBullet"/>
      </w:pPr>
      <w:r w:rsidRPr="00D65B0B">
        <w:t xml:space="preserve">Victorian Energy Upgrades program. </w:t>
      </w:r>
    </w:p>
    <w:p w14:paraId="3CB681B7" w14:textId="1A995CC7" w:rsidR="00287AD9" w:rsidRPr="00FA20A9" w:rsidRDefault="00CD6F7B" w:rsidP="00844D3C">
      <w:r w:rsidRPr="00D415CC">
        <w:t xml:space="preserve">Because these costs are unavoidable, we consider it appropriate to include these costs in the </w:t>
      </w:r>
      <w:r w:rsidRPr="00FA20A9">
        <w:t>Victorian Default Offer, as they reflect a retailers’ efficient costs of selling electricity.</w:t>
      </w:r>
      <w:r w:rsidRPr="00FA20A9">
        <w:rPr>
          <w:rStyle w:val="FootnoteReference"/>
        </w:rPr>
        <w:footnoteReference w:id="71"/>
      </w:r>
    </w:p>
    <w:p w14:paraId="57A3573F" w14:textId="691EE418" w:rsidR="0037154C" w:rsidRPr="00844D3C" w:rsidRDefault="0037154C" w:rsidP="00844D3C">
      <w:r w:rsidRPr="00FA20A9">
        <w:t xml:space="preserve">The </w:t>
      </w:r>
      <w:r w:rsidR="00A02755" w:rsidRPr="00FA20A9">
        <w:t>commission is no longer</w:t>
      </w:r>
      <w:r w:rsidR="001853E7" w:rsidRPr="00FA20A9">
        <w:t xml:space="preserve"> required to set a minimum feed-in tariff</w:t>
      </w:r>
      <w:r w:rsidRPr="00FA20A9">
        <w:t>.</w:t>
      </w:r>
      <w:r w:rsidRPr="00FA20A9">
        <w:rPr>
          <w:rStyle w:val="FootnoteReference"/>
        </w:rPr>
        <w:footnoteReference w:id="72"/>
      </w:r>
      <w:r w:rsidRPr="00FA20A9">
        <w:t xml:space="preserve"> </w:t>
      </w:r>
      <w:r w:rsidR="001F4D4B" w:rsidRPr="00FA20A9">
        <w:t xml:space="preserve">Our approach to environmental costs for the </w:t>
      </w:r>
      <w:r w:rsidR="001F4D4B" w:rsidRPr="00CB6683">
        <w:t>2024</w:t>
      </w:r>
      <w:r w:rsidR="00EF2E2A" w:rsidRPr="00CB6683">
        <w:t>–</w:t>
      </w:r>
      <w:r w:rsidR="001F4D4B" w:rsidRPr="00CB6683">
        <w:t>25</w:t>
      </w:r>
      <w:r w:rsidR="001F4D4B" w:rsidRPr="00FA20A9">
        <w:t xml:space="preserve"> V</w:t>
      </w:r>
      <w:r w:rsidR="00B56FFE" w:rsidRPr="00FA20A9">
        <w:t xml:space="preserve">ictorian </w:t>
      </w:r>
      <w:r w:rsidR="001F4D4B" w:rsidRPr="00FA20A9">
        <w:t>D</w:t>
      </w:r>
      <w:r w:rsidR="00B56FFE" w:rsidRPr="00FA20A9">
        <w:t xml:space="preserve">efault </w:t>
      </w:r>
      <w:r w:rsidR="001F4D4B" w:rsidRPr="00FA20A9">
        <w:t>O</w:t>
      </w:r>
      <w:r w:rsidR="00B56FFE" w:rsidRPr="00FA20A9">
        <w:t>ffer</w:t>
      </w:r>
      <w:r w:rsidR="001F4D4B" w:rsidRPr="00FA20A9">
        <w:t xml:space="preserve"> included the avoided social cost of </w:t>
      </w:r>
      <w:r w:rsidR="001F4D4B" w:rsidRPr="00FA20A9">
        <w:lastRenderedPageBreak/>
        <w:t xml:space="preserve">carbon the commission was obliged to have regard to when determining minimum feed-in tariffs. This is not required under the new arrangements for determining feed-in tariffs commencing 1 July 2025. This means in setting the Victorian Default Offer for </w:t>
      </w:r>
      <w:r w:rsidR="001F4D4B" w:rsidRPr="00B22377">
        <w:t>2025</w:t>
      </w:r>
      <w:r w:rsidR="00EF2E2A" w:rsidRPr="00B22377">
        <w:t>–</w:t>
      </w:r>
      <w:r w:rsidR="001F4D4B" w:rsidRPr="00B22377">
        <w:t>26</w:t>
      </w:r>
      <w:r w:rsidR="001F4D4B" w:rsidRPr="00FA20A9">
        <w:t xml:space="preserve"> the social cost of carbon is not required to be paid by retailers and therefore has not been included in the 2025</w:t>
      </w:r>
      <w:r w:rsidR="00EF5170" w:rsidRPr="00FA20A9">
        <w:t>–</w:t>
      </w:r>
      <w:r w:rsidR="001F4D4B" w:rsidRPr="00FA20A9">
        <w:t>26 Victorian Default Offer.</w:t>
      </w:r>
    </w:p>
    <w:p w14:paraId="097CE16C" w14:textId="7BB14D05" w:rsidR="00287AD9" w:rsidRPr="00B6266B" w:rsidRDefault="00287AD9" w:rsidP="0062231E">
      <w:pPr>
        <w:pStyle w:val="Heading3"/>
      </w:pPr>
      <w:bookmarkStart w:id="67" w:name="_Toc160817024"/>
      <w:bookmarkStart w:id="68" w:name="_Toc191027368"/>
      <w:r>
        <w:t xml:space="preserve">Our </w:t>
      </w:r>
      <w:r w:rsidR="008E02A7">
        <w:t>final</w:t>
      </w:r>
      <w:r>
        <w:t xml:space="preserve"> decision is to </w:t>
      </w:r>
      <w:r w:rsidR="007165AB" w:rsidRPr="005B31E4">
        <w:t>retain</w:t>
      </w:r>
      <w:r w:rsidR="007165AB">
        <w:t xml:space="preserve"> </w:t>
      </w:r>
      <w:r>
        <w:t>our approach to Large-scale Renewable Energy Target costs</w:t>
      </w:r>
      <w:bookmarkEnd w:id="67"/>
      <w:bookmarkEnd w:id="68"/>
    </w:p>
    <w:p w14:paraId="16E09FCA" w14:textId="534363E7" w:rsidR="00287AD9" w:rsidRPr="00181AFA" w:rsidRDefault="00287AD9" w:rsidP="00287AD9">
      <w:r w:rsidRPr="00B6266B">
        <w:t>The Large-scale Renewable Energy Target</w:t>
      </w:r>
      <w:r w:rsidRPr="00B6266B" w:rsidDel="00A45519">
        <w:t xml:space="preserve"> </w:t>
      </w:r>
      <w:r w:rsidRPr="00B6266B">
        <w:t xml:space="preserve">is an Australian </w:t>
      </w:r>
      <w:r w:rsidRPr="00D434C6">
        <w:t>Government p</w:t>
      </w:r>
      <w:r w:rsidR="00D73BD8">
        <w:t xml:space="preserve">rogram </w:t>
      </w:r>
      <w:r w:rsidRPr="00B6266B">
        <w:t xml:space="preserve">designed to reduce emissions in the electricity sector and encourage additional generation from renewable sources. It creates a financial incentive for the installation of large-scale renewable energy power </w:t>
      </w:r>
      <w:r w:rsidRPr="00181AFA">
        <w:t xml:space="preserve">stations. </w:t>
      </w:r>
    </w:p>
    <w:p w14:paraId="47E094CF" w14:textId="3FC7A653" w:rsidR="002944F0" w:rsidRDefault="00287AD9" w:rsidP="002944F0">
      <w:pPr>
        <w:rPr>
          <w:rFonts w:ascii="Arial" w:hAnsi="Arial" w:cs="Arial"/>
        </w:rPr>
      </w:pPr>
      <w:r w:rsidRPr="00181AFA">
        <w:t xml:space="preserve">Under the </w:t>
      </w:r>
      <w:r w:rsidRPr="00367F2B">
        <w:t>Large-scale Renewable Energy Target</w:t>
      </w:r>
      <w:r w:rsidRPr="00181AFA">
        <w:t xml:space="preserve">, eligible power stations create </w:t>
      </w:r>
      <w:r w:rsidR="009E28FC">
        <w:t>L</w:t>
      </w:r>
      <w:r w:rsidRPr="00181AFA">
        <w:t xml:space="preserve">arge-scale </w:t>
      </w:r>
      <w:r w:rsidR="009E28FC">
        <w:t>G</w:t>
      </w:r>
      <w:r w:rsidRPr="00181AFA">
        <w:t xml:space="preserve">eneration </w:t>
      </w:r>
      <w:r w:rsidR="009E28FC">
        <w:t>C</w:t>
      </w:r>
      <w:r w:rsidRPr="00181AFA">
        <w:t xml:space="preserve">ertificates (LGCs) for every megawatt hour of renewable power they generate. Electricity retailers buy LGCs to meet their legally binding Renewable Energy Target obligations on an open market. </w:t>
      </w:r>
      <w:r w:rsidR="00BF199D" w:rsidRPr="00181AFA">
        <w:t>Annual renewable generation targets and the amount of wholesale electricity purchased by electricity retailers determine the renewable power percentage (liability percentage). Electricity retailers must</w:t>
      </w:r>
      <w:r w:rsidR="00BF199D" w:rsidRPr="00181AFA" w:rsidDel="00AF07FC">
        <w:t xml:space="preserve"> </w:t>
      </w:r>
      <w:r w:rsidR="00BF199D" w:rsidRPr="00181AFA">
        <w:t>buy and surrender LGCs to the Clean Energy Regulator each year based on the liability percentage.</w:t>
      </w:r>
      <w:r w:rsidRPr="00181AFA">
        <w:t xml:space="preserve"> </w:t>
      </w:r>
    </w:p>
    <w:p w14:paraId="0E55BD91" w14:textId="1A21443B" w:rsidR="007453D9" w:rsidRPr="00611B44" w:rsidRDefault="00287AD9" w:rsidP="00287AD9">
      <w:r w:rsidRPr="008A2CC7">
        <w:t xml:space="preserve">Our </w:t>
      </w:r>
      <w:r w:rsidR="008E02A7">
        <w:t>final</w:t>
      </w:r>
      <w:r w:rsidRPr="008A2CC7">
        <w:t xml:space="preserve"> decision </w:t>
      </w:r>
      <w:r w:rsidR="00CE6F2D" w:rsidRPr="0091314D">
        <w:t>maintains</w:t>
      </w:r>
      <w:r w:rsidRPr="008A2CC7">
        <w:t xml:space="preserve"> our</w:t>
      </w:r>
      <w:r w:rsidRPr="008A2CC7" w:rsidDel="00D75398">
        <w:t xml:space="preserve"> </w:t>
      </w:r>
      <w:r w:rsidRPr="008A2CC7">
        <w:t xml:space="preserve">approach to calculating </w:t>
      </w:r>
      <w:r w:rsidR="008617FD">
        <w:t xml:space="preserve">retailer </w:t>
      </w:r>
      <w:r w:rsidRPr="008A2CC7">
        <w:t>cost</w:t>
      </w:r>
      <w:r w:rsidR="008617FD">
        <w:t>s</w:t>
      </w:r>
      <w:r w:rsidRPr="008A2CC7">
        <w:t xml:space="preserve"> of complying with the </w:t>
      </w:r>
      <w:r w:rsidRPr="003C3983">
        <w:t xml:space="preserve">Large-scale Renewable </w:t>
      </w:r>
      <w:r w:rsidRPr="00611B44">
        <w:t xml:space="preserve">Energy Target. </w:t>
      </w:r>
      <w:r w:rsidR="004739D9" w:rsidRPr="00611B44">
        <w:t>Our approach use</w:t>
      </w:r>
      <w:r w:rsidR="003A2B45" w:rsidRPr="00611B44">
        <w:t>s</w:t>
      </w:r>
      <w:r w:rsidR="004739D9" w:rsidRPr="00611B44">
        <w:t xml:space="preserve"> publicly available information </w:t>
      </w:r>
      <w:r w:rsidR="008B3125" w:rsidRPr="00611B44">
        <w:t>and</w:t>
      </w:r>
      <w:r w:rsidR="004739D9" w:rsidRPr="00611B44">
        <w:t xml:space="preserve"> is a transparent and replicable method </w:t>
      </w:r>
      <w:r w:rsidR="008B3125" w:rsidRPr="00611B44">
        <w:t>for</w:t>
      </w:r>
      <w:r w:rsidR="004739D9" w:rsidRPr="00611B44">
        <w:t xml:space="preserve"> estimating the efficient cost </w:t>
      </w:r>
      <w:r w:rsidR="005F447E" w:rsidRPr="00611B44">
        <w:t xml:space="preserve">(per </w:t>
      </w:r>
      <w:r w:rsidR="009E02AF" w:rsidRPr="00611B44">
        <w:t xml:space="preserve">megawatt hour) </w:t>
      </w:r>
      <w:r w:rsidR="004739D9" w:rsidRPr="00611B44">
        <w:t xml:space="preserve">of </w:t>
      </w:r>
      <w:r w:rsidR="00C37226" w:rsidRPr="00611B44">
        <w:t>complying with the</w:t>
      </w:r>
      <w:r w:rsidR="004739D9" w:rsidRPr="00611B44">
        <w:t xml:space="preserve"> program.  </w:t>
      </w:r>
    </w:p>
    <w:p w14:paraId="73A4DA5B" w14:textId="04D0BFDF" w:rsidR="00287AD9" w:rsidRPr="00611B44" w:rsidRDefault="008B2B92" w:rsidP="00287AD9">
      <w:r w:rsidRPr="00611B44">
        <w:t>We</w:t>
      </w:r>
      <w:r w:rsidR="006E5919" w:rsidRPr="00611B44">
        <w:t xml:space="preserve"> </w:t>
      </w:r>
      <w:r w:rsidR="00F805F5" w:rsidRPr="00611B44">
        <w:t>take</w:t>
      </w:r>
      <w:r w:rsidR="00287AD9" w:rsidRPr="00611B44" w:rsidDel="00D44AE1">
        <w:t xml:space="preserve"> </w:t>
      </w:r>
      <w:r w:rsidR="00287AD9" w:rsidRPr="00611B44">
        <w:t xml:space="preserve">the </w:t>
      </w:r>
      <w:r w:rsidR="00227183" w:rsidRPr="00611B44">
        <w:t>applicable</w:t>
      </w:r>
      <w:r w:rsidR="00287AD9" w:rsidRPr="00611B44">
        <w:t xml:space="preserve"> liability percentage </w:t>
      </w:r>
      <w:r w:rsidR="00607F13" w:rsidRPr="00611B44">
        <w:t xml:space="preserve">set by the Clean Energy </w:t>
      </w:r>
      <w:r w:rsidR="00F9199B" w:rsidRPr="00611B44">
        <w:t xml:space="preserve">Regulator </w:t>
      </w:r>
      <w:r w:rsidR="004E144B" w:rsidRPr="00611B44">
        <w:t xml:space="preserve">each </w:t>
      </w:r>
      <w:r w:rsidR="00236307" w:rsidRPr="00611B44">
        <w:t>calendar</w:t>
      </w:r>
      <w:r w:rsidR="004E144B" w:rsidRPr="00611B44">
        <w:t xml:space="preserve"> year</w:t>
      </w:r>
      <w:r w:rsidR="00F9199B" w:rsidRPr="00611B44">
        <w:t xml:space="preserve"> (</w:t>
      </w:r>
      <w:r w:rsidR="001A20A3" w:rsidRPr="00611B44">
        <w:t>1</w:t>
      </w:r>
      <w:r w:rsidR="00BA23A0" w:rsidRPr="00611B44">
        <w:t>7.91</w:t>
      </w:r>
      <w:r w:rsidR="00287AD9" w:rsidRPr="00611B44">
        <w:t xml:space="preserve"> per cent</w:t>
      </w:r>
      <w:r w:rsidR="00F9199B" w:rsidRPr="00611B44">
        <w:t xml:space="preserve"> in 2025)</w:t>
      </w:r>
      <w:r w:rsidR="00287AD9" w:rsidRPr="00611B44">
        <w:t xml:space="preserve"> </w:t>
      </w:r>
      <w:r w:rsidR="00475EA5" w:rsidRPr="00611B44">
        <w:t xml:space="preserve">and </w:t>
      </w:r>
      <w:r w:rsidR="00287AD9" w:rsidRPr="00611B44">
        <w:t>multipl</w:t>
      </w:r>
      <w:r w:rsidR="002D1E4C" w:rsidRPr="00611B44">
        <w:t xml:space="preserve">y </w:t>
      </w:r>
      <w:r w:rsidR="00287AD9" w:rsidRPr="00611B44">
        <w:t xml:space="preserve">by the </w:t>
      </w:r>
      <w:r w:rsidR="00E8624E" w:rsidRPr="00611B44">
        <w:t xml:space="preserve">12-month </w:t>
      </w:r>
      <w:r w:rsidR="00D1673B" w:rsidRPr="00611B44">
        <w:t xml:space="preserve">trade-weighted </w:t>
      </w:r>
      <w:r w:rsidR="00287AD9" w:rsidRPr="00611B44">
        <w:t>average market price for LGCs</w:t>
      </w:r>
      <w:r w:rsidR="00C64A0E" w:rsidRPr="00611B44">
        <w:t xml:space="preserve"> </w:t>
      </w:r>
      <w:r w:rsidR="00603427" w:rsidRPr="00611B44">
        <w:t>settled</w:t>
      </w:r>
      <w:r w:rsidR="00C64A0E" w:rsidRPr="00611B44">
        <w:t xml:space="preserve"> in 2025</w:t>
      </w:r>
      <w:r w:rsidR="00404946" w:rsidRPr="00611B44">
        <w:t>–26</w:t>
      </w:r>
      <w:r w:rsidR="00C64A0E" w:rsidRPr="00611B44">
        <w:t xml:space="preserve"> ($</w:t>
      </w:r>
      <w:r w:rsidR="00B45024" w:rsidRPr="00611B44">
        <w:t>35.1</w:t>
      </w:r>
      <w:r w:rsidR="00F23D7C" w:rsidRPr="00611B44">
        <w:t>7</w:t>
      </w:r>
      <w:r w:rsidR="00C64A0E" w:rsidRPr="00611B44">
        <w:t>)</w:t>
      </w:r>
      <w:r w:rsidR="00287AD9" w:rsidRPr="00611B44">
        <w:t>.</w:t>
      </w:r>
      <w:r w:rsidR="00C67454" w:rsidRPr="00611B44">
        <w:rPr>
          <w:rStyle w:val="FootnoteReference"/>
        </w:rPr>
        <w:t xml:space="preserve"> </w:t>
      </w:r>
      <w:r w:rsidR="00C67454" w:rsidRPr="00611B44">
        <w:rPr>
          <w:rStyle w:val="FootnoteReference"/>
        </w:rPr>
        <w:footnoteReference w:id="73"/>
      </w:r>
      <w:r w:rsidR="00C67454" w:rsidRPr="00611B44">
        <w:t xml:space="preserve"> </w:t>
      </w:r>
      <w:r w:rsidR="00287AD9" w:rsidRPr="00611B44" w:rsidDel="00235F66">
        <w:rPr>
          <w:rStyle w:val="FootnoteReference"/>
        </w:rPr>
        <w:footnoteReference w:id="74"/>
      </w:r>
      <w:r w:rsidR="00287AD9" w:rsidRPr="00611B44" w:rsidDel="00235F66">
        <w:t xml:space="preserve"> </w:t>
      </w:r>
    </w:p>
    <w:p w14:paraId="18ADE4EF" w14:textId="4C0B7588" w:rsidR="005B7701" w:rsidRPr="009B2E45" w:rsidRDefault="00A47254" w:rsidP="00287AD9">
      <w:r w:rsidRPr="00611B44">
        <w:t xml:space="preserve">As the liability percentage </w:t>
      </w:r>
      <w:r w:rsidR="00761EB2" w:rsidRPr="00611B44">
        <w:t>is set each calendar year</w:t>
      </w:r>
      <w:r w:rsidR="002C2058" w:rsidRPr="00611B44">
        <w:t xml:space="preserve"> and our decisions are for the financial year</w:t>
      </w:r>
      <w:r w:rsidR="00151F4F" w:rsidRPr="00611B44">
        <w:t>, we</w:t>
      </w:r>
      <w:r w:rsidR="00EF520F" w:rsidRPr="00611B44">
        <w:t xml:space="preserve"> </w:t>
      </w:r>
      <w:r w:rsidR="00EB28BC" w:rsidRPr="00611B44">
        <w:t>also include</w:t>
      </w:r>
      <w:r w:rsidR="00EF520F" w:rsidRPr="00611B44">
        <w:t xml:space="preserve"> a </w:t>
      </w:r>
      <w:r w:rsidR="00E3250F" w:rsidRPr="00611B44">
        <w:t>‘</w:t>
      </w:r>
      <w:r w:rsidR="0087105D" w:rsidRPr="00611B44">
        <w:t>regulatory period adjustment</w:t>
      </w:r>
      <w:r w:rsidR="00E3250F" w:rsidRPr="00611B44">
        <w:t>’</w:t>
      </w:r>
      <w:r w:rsidR="00EF520F" w:rsidRPr="00611B44">
        <w:t xml:space="preserve"> to account for the difference between the </w:t>
      </w:r>
      <w:r w:rsidR="00EB28BC" w:rsidRPr="00611B44">
        <w:t xml:space="preserve">estimated </w:t>
      </w:r>
      <w:r w:rsidR="00EF520F" w:rsidRPr="00611B44">
        <w:t>liability percentage used in our previous decision (</w:t>
      </w:r>
      <w:r w:rsidR="009D2D56" w:rsidRPr="00611B44">
        <w:t>18.</w:t>
      </w:r>
      <w:r w:rsidR="00735D7D" w:rsidRPr="00611B44">
        <w:t>48</w:t>
      </w:r>
      <w:r w:rsidR="00D90086" w:rsidRPr="00611B44">
        <w:t xml:space="preserve"> per cent</w:t>
      </w:r>
      <w:r w:rsidR="00771CB0" w:rsidRPr="00611B44">
        <w:t xml:space="preserve"> in 2024</w:t>
      </w:r>
      <w:r w:rsidR="00EF520F" w:rsidRPr="00611B44">
        <w:t xml:space="preserve">) and the </w:t>
      </w:r>
      <w:r w:rsidR="00AC5AD2" w:rsidRPr="00611B44">
        <w:t xml:space="preserve">actual </w:t>
      </w:r>
      <w:r w:rsidR="00EF520F" w:rsidRPr="00611B44">
        <w:t xml:space="preserve">liability percentage </w:t>
      </w:r>
      <w:r w:rsidR="00B66944" w:rsidRPr="00611B44">
        <w:t xml:space="preserve">for the </w:t>
      </w:r>
      <w:r w:rsidR="00AC5AD2" w:rsidRPr="00611B44">
        <w:t>2024–25</w:t>
      </w:r>
      <w:r w:rsidR="00B66944" w:rsidRPr="00611B44">
        <w:t xml:space="preserve"> period</w:t>
      </w:r>
      <w:r w:rsidR="00AC5AD2" w:rsidRPr="00611B44">
        <w:t xml:space="preserve"> that is now available</w:t>
      </w:r>
      <w:r w:rsidR="00B66944" w:rsidRPr="00611B44">
        <w:t xml:space="preserve">. </w:t>
      </w:r>
      <w:r w:rsidR="00E53807" w:rsidRPr="00611B44">
        <w:t>W</w:t>
      </w:r>
      <w:r w:rsidR="00EF520F" w:rsidRPr="00611B44">
        <w:t xml:space="preserve">e </w:t>
      </w:r>
      <w:r w:rsidR="00294A28" w:rsidRPr="00611B44">
        <w:t>do</w:t>
      </w:r>
      <w:r w:rsidR="00E53807" w:rsidRPr="00611B44">
        <w:t xml:space="preserve"> this </w:t>
      </w:r>
      <w:r w:rsidR="00C602DE" w:rsidRPr="00611B44">
        <w:t>by</w:t>
      </w:r>
      <w:r w:rsidR="00E53807" w:rsidRPr="00611B44">
        <w:t xml:space="preserve"> </w:t>
      </w:r>
      <w:r w:rsidR="00EF520F" w:rsidRPr="00611B44">
        <w:t>reflect</w:t>
      </w:r>
      <w:r w:rsidR="00E53807" w:rsidRPr="00611B44">
        <w:t>ing</w:t>
      </w:r>
      <w:r w:rsidR="00EF520F" w:rsidRPr="009B2E45">
        <w:t xml:space="preserve"> the midpoint between the liability percentage</w:t>
      </w:r>
      <w:r w:rsidR="00DE7449">
        <w:t>s</w:t>
      </w:r>
      <w:r w:rsidR="00195DB9">
        <w:t xml:space="preserve"> </w:t>
      </w:r>
      <w:r w:rsidR="005A2F9A">
        <w:t>used in</w:t>
      </w:r>
      <w:r w:rsidR="00195DB9">
        <w:t xml:space="preserve"> our previous </w:t>
      </w:r>
      <w:r w:rsidR="00CF5ECC">
        <w:t>and current decision</w:t>
      </w:r>
      <w:r w:rsidR="00DE7449">
        <w:t>s</w:t>
      </w:r>
      <w:r w:rsidR="00EF520F" w:rsidRPr="009B2E45">
        <w:t xml:space="preserve">. </w:t>
      </w:r>
    </w:p>
    <w:p w14:paraId="0CE8B1AB" w14:textId="77777777" w:rsidR="009D5735" w:rsidRPr="00611B44" w:rsidRDefault="00287AD9" w:rsidP="00C10FFD">
      <w:r w:rsidRPr="009B2E45">
        <w:lastRenderedPageBreak/>
        <w:t xml:space="preserve">Our </w:t>
      </w:r>
      <w:r w:rsidR="008F2C34">
        <w:t>final</w:t>
      </w:r>
      <w:r w:rsidRPr="009B2E45">
        <w:t xml:space="preserve"> decision for domestic </w:t>
      </w:r>
      <w:r w:rsidRPr="00611B44">
        <w:t xml:space="preserve">and small business Victorian Default Offer customers, regarding the cost of compliance with the </w:t>
      </w:r>
      <w:r w:rsidR="00F93EA0" w:rsidRPr="00611B44">
        <w:t>Large-scale Renewable Energy Target</w:t>
      </w:r>
      <w:r w:rsidRPr="00611B44">
        <w:t xml:space="preserve"> for 2025–26, is $</w:t>
      </w:r>
      <w:r w:rsidR="000A73D9" w:rsidRPr="00611B44">
        <w:t>6.</w:t>
      </w:r>
      <w:r w:rsidR="003A4144" w:rsidRPr="00611B44">
        <w:t>13</w:t>
      </w:r>
      <w:r w:rsidRPr="00611B44">
        <w:t xml:space="preserve"> per megawatt hour.</w:t>
      </w:r>
      <w:r w:rsidR="006A42E5" w:rsidRPr="00611B44">
        <w:rPr>
          <w:rStyle w:val="FootnoteReference"/>
        </w:rPr>
        <w:footnoteReference w:id="75"/>
      </w:r>
      <w:r w:rsidR="00C10FFD" w:rsidRPr="00611B44">
        <w:t xml:space="preserve"> </w:t>
      </w:r>
    </w:p>
    <w:p w14:paraId="5A30A6BC" w14:textId="4F5B54F4" w:rsidR="008F6A41" w:rsidRPr="00611B44" w:rsidRDefault="00C10FFD" w:rsidP="00287AD9">
      <w:r w:rsidRPr="00611B44">
        <w:t>This is a decrease of $</w:t>
      </w:r>
      <w:r w:rsidR="00C0761A" w:rsidRPr="00611B44">
        <w:t>2.7</w:t>
      </w:r>
      <w:r w:rsidR="000B1BCE" w:rsidRPr="00611B44">
        <w:t>7</w:t>
      </w:r>
      <w:r w:rsidRPr="00611B44">
        <w:t xml:space="preserve"> per megawatt hour from our 2024–25 Victorian Default Offer because of lower liability percentages and regulatory adjustment. </w:t>
      </w:r>
    </w:p>
    <w:p w14:paraId="57B61E42" w14:textId="67B43F5A" w:rsidR="00287AD9" w:rsidRPr="002E0597" w:rsidRDefault="00287AD9" w:rsidP="0062231E">
      <w:pPr>
        <w:pStyle w:val="Heading3"/>
      </w:pPr>
      <w:bookmarkStart w:id="69" w:name="_Toc160817025"/>
      <w:bookmarkStart w:id="70" w:name="_Toc191027369"/>
      <w:r w:rsidRPr="00611B44">
        <w:t xml:space="preserve">Our </w:t>
      </w:r>
      <w:r w:rsidR="00B30816" w:rsidRPr="00611B44">
        <w:t>final</w:t>
      </w:r>
      <w:r w:rsidRPr="00611B44">
        <w:t xml:space="preserve"> decision is to </w:t>
      </w:r>
      <w:r w:rsidR="007165AB" w:rsidRPr="00611B44">
        <w:t>retain</w:t>
      </w:r>
      <w:r w:rsidRPr="00611B44">
        <w:t xml:space="preserve"> our approach to the Small-scale Renewable Energy Scheme</w:t>
      </w:r>
      <w:bookmarkEnd w:id="69"/>
      <w:bookmarkEnd w:id="70"/>
    </w:p>
    <w:p w14:paraId="00B3ABB0" w14:textId="2B67379C" w:rsidR="00287AD9" w:rsidRPr="00B53B2D" w:rsidRDefault="00287AD9" w:rsidP="00287AD9">
      <w:r>
        <w:t>Under</w:t>
      </w:r>
      <w:r w:rsidRPr="002E0597">
        <w:t xml:space="preserve"> </w:t>
      </w:r>
      <w:r>
        <w:t xml:space="preserve">the </w:t>
      </w:r>
      <w:r w:rsidRPr="002E0597">
        <w:t>Small-scale Renewable Energy Scheme</w:t>
      </w:r>
      <w:r w:rsidDel="3A40DFF8">
        <w:t xml:space="preserve"> </w:t>
      </w:r>
      <w:r w:rsidRPr="002E0597">
        <w:t xml:space="preserve">electricity retailers </w:t>
      </w:r>
      <w:r>
        <w:t>must</w:t>
      </w:r>
      <w:r w:rsidRPr="002E0597">
        <w:t xml:space="preserve"> purchase </w:t>
      </w:r>
      <w:r w:rsidR="0007448F">
        <w:t>S</w:t>
      </w:r>
      <w:r w:rsidRPr="002E0597">
        <w:t xml:space="preserve">mall-scale renewable </w:t>
      </w:r>
      <w:r w:rsidR="0007448F">
        <w:t>T</w:t>
      </w:r>
      <w:r w:rsidRPr="002E0597">
        <w:t xml:space="preserve">echnology </w:t>
      </w:r>
      <w:r w:rsidR="0007448F">
        <w:t>C</w:t>
      </w:r>
      <w:r w:rsidRPr="002E0597">
        <w:t xml:space="preserve">ertificates (STCs). </w:t>
      </w:r>
      <w:r>
        <w:t>I</w:t>
      </w:r>
      <w:r w:rsidRPr="002E0597">
        <w:t xml:space="preserve">ndividuals and small businesses </w:t>
      </w:r>
      <w:r>
        <w:t xml:space="preserve">create STCs when they </w:t>
      </w:r>
      <w:r w:rsidRPr="002E0597">
        <w:t>install eligible small-scale renewable energy systems such as solar panels, solar hot water systems and air source heat pumps.</w:t>
      </w:r>
      <w:r w:rsidRPr="002E0597">
        <w:rPr>
          <w:rStyle w:val="FootnoteReference"/>
        </w:rPr>
        <w:footnoteReference w:id="76"/>
      </w:r>
      <w:r w:rsidRPr="002E0597">
        <w:t xml:space="preserve"> </w:t>
      </w:r>
      <w:r>
        <w:t xml:space="preserve">Retailers then </w:t>
      </w:r>
      <w:r w:rsidR="00307159">
        <w:t>purchase</w:t>
      </w:r>
      <w:r>
        <w:t xml:space="preserve"> the </w:t>
      </w:r>
      <w:r w:rsidRPr="002E0597">
        <w:t>STCs.</w:t>
      </w:r>
      <w:r w:rsidRPr="00B53B2D">
        <w:t xml:space="preserve"> </w:t>
      </w:r>
    </w:p>
    <w:p w14:paraId="07CE2D06" w14:textId="60429898" w:rsidR="00287AD9" w:rsidRPr="00611B44" w:rsidRDefault="00287AD9" w:rsidP="00287AD9">
      <w:r w:rsidRPr="00B53B2D">
        <w:t xml:space="preserve">By March each year the Clean Energy Regulator sets a </w:t>
      </w:r>
      <w:r w:rsidRPr="00521B27">
        <w:rPr>
          <w:b/>
        </w:rPr>
        <w:t>binding</w:t>
      </w:r>
      <w:r w:rsidRPr="00B53B2D">
        <w:t xml:space="preserve"> small-scale technology percentage (binding liability percentage) for the current year, and </w:t>
      </w:r>
      <w:r w:rsidR="00E414FB">
        <w:t xml:space="preserve">a </w:t>
      </w:r>
      <w:r w:rsidRPr="00521B27">
        <w:rPr>
          <w:b/>
        </w:rPr>
        <w:t>non-binding</w:t>
      </w:r>
      <w:r w:rsidRPr="00B53B2D">
        <w:t xml:space="preserve"> small-scale technology percentage (non-binding liability percentage) for future years.</w:t>
      </w:r>
      <w:r w:rsidRPr="00B53B2D">
        <w:rPr>
          <w:rStyle w:val="FootnoteReference"/>
        </w:rPr>
        <w:footnoteReference w:id="77"/>
      </w:r>
      <w:r w:rsidRPr="00B53B2D">
        <w:t xml:space="preserve"> These liability percentages set the amount of STCs electricity retailers must </w:t>
      </w:r>
      <w:r w:rsidR="006178AA">
        <w:t>purchase</w:t>
      </w:r>
      <w:r w:rsidRPr="00B53B2D">
        <w:t>. Electricity retailers</w:t>
      </w:r>
      <w:r>
        <w:t xml:space="preserve"> </w:t>
      </w:r>
      <w:r w:rsidR="000B701E">
        <w:t>must</w:t>
      </w:r>
      <w:r w:rsidRPr="00B53B2D">
        <w:t xml:space="preserve"> surrender STCs</w:t>
      </w:r>
      <w:r>
        <w:t xml:space="preserve"> </w:t>
      </w:r>
      <w:r w:rsidRPr="00B53B2D">
        <w:t xml:space="preserve">to meet their </w:t>
      </w:r>
      <w:r w:rsidRPr="00611B44">
        <w:t xml:space="preserve">obligation for that year. </w:t>
      </w:r>
    </w:p>
    <w:p w14:paraId="0BA1E77F" w14:textId="7397C6E8" w:rsidR="006478D3" w:rsidRPr="00611B44" w:rsidRDefault="00287AD9" w:rsidP="006478D3">
      <w:r w:rsidRPr="00611B44">
        <w:t xml:space="preserve">Our </w:t>
      </w:r>
      <w:r w:rsidR="002E7D97" w:rsidRPr="00611B44">
        <w:t>final</w:t>
      </w:r>
      <w:r w:rsidRPr="00611B44">
        <w:t xml:space="preserve"> decision is to retain our approach to calculate the cost of the Small-scale Renewable Energy Scheme</w:t>
      </w:r>
      <w:r w:rsidR="00765F2E" w:rsidRPr="00611B44">
        <w:t xml:space="preserve"> including performing a </w:t>
      </w:r>
      <w:r w:rsidR="00EA3CCF" w:rsidRPr="00611B44">
        <w:t>regulatory period adjustment</w:t>
      </w:r>
      <w:r w:rsidR="00765F2E" w:rsidRPr="00611B44">
        <w:t xml:space="preserve"> of our previous decision</w:t>
      </w:r>
      <w:r w:rsidRPr="00611B44">
        <w:t xml:space="preserve">. </w:t>
      </w:r>
    </w:p>
    <w:p w14:paraId="2E37B539" w14:textId="58144809" w:rsidR="00287AD9" w:rsidRPr="00611B44" w:rsidRDefault="00287AD9" w:rsidP="00287AD9">
      <w:r w:rsidRPr="00611B44">
        <w:t xml:space="preserve">For our </w:t>
      </w:r>
      <w:r w:rsidR="002E7D97" w:rsidRPr="00611B44">
        <w:t>final</w:t>
      </w:r>
      <w:r w:rsidRPr="00611B44">
        <w:t xml:space="preserve"> decision we used the mid-point between the 2025 binding and 2026 non-binding liability percentages, multiplied by the STC clearing house price ($</w:t>
      </w:r>
      <w:r w:rsidR="00BA23A0" w:rsidRPr="00611B44">
        <w:t>40</w:t>
      </w:r>
      <w:r w:rsidRPr="00611B44">
        <w:t xml:space="preserve"> excluding GST).</w:t>
      </w:r>
      <w:r w:rsidRPr="00611B44">
        <w:rPr>
          <w:rStyle w:val="FootnoteReference"/>
        </w:rPr>
        <w:footnoteReference w:id="78"/>
      </w:r>
      <w:r w:rsidRPr="00611B44">
        <w:t xml:space="preserve"> Our </w:t>
      </w:r>
      <w:r w:rsidR="002E7D97" w:rsidRPr="00611B44">
        <w:t>final</w:t>
      </w:r>
      <w:r w:rsidRPr="00611B44">
        <w:t xml:space="preserve"> decision use</w:t>
      </w:r>
      <w:r w:rsidR="008A46DD" w:rsidRPr="00611B44">
        <w:t>d</w:t>
      </w:r>
      <w:r w:rsidRPr="00611B44">
        <w:t xml:space="preserve"> a mid-point of </w:t>
      </w:r>
      <w:r w:rsidR="00472BAB" w:rsidRPr="00611B44">
        <w:t>12.84</w:t>
      </w:r>
      <w:r w:rsidRPr="00611B44">
        <w:t xml:space="preserve"> per cent, </w:t>
      </w:r>
      <w:r w:rsidR="0011032D" w:rsidRPr="00611B44">
        <w:t>derived from</w:t>
      </w:r>
      <w:r w:rsidRPr="00611B44">
        <w:t xml:space="preserve"> the 202</w:t>
      </w:r>
      <w:r w:rsidR="0061633A" w:rsidRPr="00611B44">
        <w:t>5</w:t>
      </w:r>
      <w:r w:rsidRPr="00611B44">
        <w:t xml:space="preserve"> binding percentage of </w:t>
      </w:r>
      <w:r w:rsidR="00E06291" w:rsidRPr="00611B44">
        <w:t>13.89</w:t>
      </w:r>
      <w:r w:rsidRPr="00611B44">
        <w:t xml:space="preserve"> and the 2026 non-binding percentage of </w:t>
      </w:r>
      <w:r w:rsidR="00E0680E" w:rsidRPr="00611B44">
        <w:t>11.79</w:t>
      </w:r>
      <w:r w:rsidRPr="00611B44">
        <w:t>.</w:t>
      </w:r>
    </w:p>
    <w:p w14:paraId="1E59345E" w14:textId="57CB6DC0" w:rsidR="003454CA" w:rsidRPr="00611B44" w:rsidRDefault="00287AD9" w:rsidP="00287AD9">
      <w:r w:rsidRPr="00611B44">
        <w:t xml:space="preserve">Our </w:t>
      </w:r>
      <w:r w:rsidR="00AC456B" w:rsidRPr="00611B44">
        <w:t>final</w:t>
      </w:r>
      <w:r w:rsidRPr="00611B44">
        <w:t xml:space="preserve"> decision for domestic and small business Victorian Default Offer customers, regarding the cost of compliance with the </w:t>
      </w:r>
      <w:r w:rsidR="00D07E10" w:rsidRPr="00611B44">
        <w:t>Small-scale Renewable Energy Scheme</w:t>
      </w:r>
      <w:r w:rsidRPr="00611B44">
        <w:t xml:space="preserve"> for 2025–26, is $</w:t>
      </w:r>
      <w:r w:rsidR="00552D6C" w:rsidRPr="00611B44">
        <w:t>4.59</w:t>
      </w:r>
      <w:r w:rsidRPr="00611B44">
        <w:t xml:space="preserve"> per</w:t>
      </w:r>
      <w:r w:rsidRPr="005A15FF">
        <w:t xml:space="preserve"> </w:t>
      </w:r>
      <w:r w:rsidRPr="005A15FF">
        <w:lastRenderedPageBreak/>
        <w:t>megawatt hour.</w:t>
      </w:r>
      <w:r w:rsidR="009A2B7E" w:rsidRPr="005A15FF">
        <w:rPr>
          <w:rStyle w:val="FootnoteReference"/>
        </w:rPr>
        <w:footnoteReference w:id="79"/>
      </w:r>
      <w:r w:rsidRPr="005A15FF">
        <w:t xml:space="preserve"> </w:t>
      </w:r>
      <w:r w:rsidR="00DE2910" w:rsidRPr="005A15FF">
        <w:t>We also include</w:t>
      </w:r>
      <w:r w:rsidR="00835B2B">
        <w:t>d</w:t>
      </w:r>
      <w:r w:rsidR="00DE2910" w:rsidRPr="005A15FF">
        <w:t xml:space="preserve"> a regulatory period adjustment to account for the difference between the </w:t>
      </w:r>
      <w:r w:rsidR="00DE2910" w:rsidRPr="00611B44">
        <w:t>midpoint liability percentage used in the 2024–25 Victorian Default Offer final decision and the actual midpoint for 2024–25.</w:t>
      </w:r>
    </w:p>
    <w:p w14:paraId="2A3008DA" w14:textId="783D52F6" w:rsidR="00287AD9" w:rsidRPr="00611B44" w:rsidRDefault="00287AD9" w:rsidP="00287AD9">
      <w:r w:rsidRPr="00611B44">
        <w:t xml:space="preserve">This is a </w:t>
      </w:r>
      <w:r w:rsidR="00B57705" w:rsidRPr="00611B44">
        <w:t>decrease</w:t>
      </w:r>
      <w:r w:rsidR="000443D2" w:rsidRPr="00611B44">
        <w:t xml:space="preserve"> </w:t>
      </w:r>
      <w:r w:rsidRPr="00611B44">
        <w:t>of $</w:t>
      </w:r>
      <w:r w:rsidR="00CF486C" w:rsidRPr="00611B44">
        <w:t>3</w:t>
      </w:r>
      <w:r w:rsidR="007F79E4" w:rsidRPr="00611B44">
        <w:t>.</w:t>
      </w:r>
      <w:r w:rsidR="006C1DFB" w:rsidRPr="00611B44">
        <w:t>6</w:t>
      </w:r>
      <w:r w:rsidR="007F79E4" w:rsidRPr="00611B44">
        <w:t>9</w:t>
      </w:r>
      <w:r w:rsidR="007E4B75" w:rsidRPr="00611B44">
        <w:t xml:space="preserve"> </w:t>
      </w:r>
      <w:r w:rsidRPr="00611B44">
        <w:t xml:space="preserve">per megawatt hour from our 2024–25 Victorian Default Offer because </w:t>
      </w:r>
      <w:r w:rsidR="00BE176E" w:rsidRPr="00611B44">
        <w:t>of lower liability percentages</w:t>
      </w:r>
      <w:r w:rsidR="000A0EE0" w:rsidRPr="00611B44">
        <w:t xml:space="preserve"> and regulatory adjustment</w:t>
      </w:r>
      <w:r w:rsidRPr="00611B44">
        <w:t xml:space="preserve">. </w:t>
      </w:r>
    </w:p>
    <w:p w14:paraId="4575F7AC" w14:textId="689AE8BF" w:rsidR="00287AD9" w:rsidRPr="00611B44" w:rsidRDefault="00287AD9" w:rsidP="0062231E">
      <w:pPr>
        <w:pStyle w:val="Heading3"/>
      </w:pPr>
      <w:bookmarkStart w:id="71" w:name="_Toc160817026"/>
      <w:bookmarkStart w:id="72" w:name="_Toc191027370"/>
      <w:r w:rsidRPr="00611B44">
        <w:t xml:space="preserve">Our </w:t>
      </w:r>
      <w:r w:rsidR="00956727" w:rsidRPr="00611B44">
        <w:t>final</w:t>
      </w:r>
      <w:r w:rsidRPr="00611B44">
        <w:t xml:space="preserve"> decision is to </w:t>
      </w:r>
      <w:r w:rsidR="004E2145" w:rsidRPr="00611B44">
        <w:t>retain</w:t>
      </w:r>
      <w:r w:rsidR="005F6631" w:rsidRPr="00611B44">
        <w:t xml:space="preserve"> </w:t>
      </w:r>
      <w:r w:rsidRPr="00611B44">
        <w:t>our approach to the Victorian Energy Upgrades costs</w:t>
      </w:r>
      <w:bookmarkEnd w:id="71"/>
      <w:bookmarkEnd w:id="72"/>
    </w:p>
    <w:p w14:paraId="1D9C13AC" w14:textId="415573AB" w:rsidR="00287AD9" w:rsidRPr="00611B44" w:rsidRDefault="008A7188" w:rsidP="00287AD9">
      <w:r w:rsidRPr="00611B44">
        <w:t xml:space="preserve">The Victorian Energy Upgrades program is a key mechanism </w:t>
      </w:r>
      <w:r w:rsidR="0001419A" w:rsidRPr="00611B44">
        <w:t>for</w:t>
      </w:r>
      <w:r w:rsidRPr="00611B44">
        <w:t xml:space="preserve"> reducing Victoria’s greenhouse gas emissions</w:t>
      </w:r>
      <w:r w:rsidR="00DF698F" w:rsidRPr="00611B44">
        <w:t>.</w:t>
      </w:r>
      <w:r w:rsidRPr="00611B44">
        <w:t xml:space="preserve"> </w:t>
      </w:r>
      <w:r w:rsidR="00E03170" w:rsidRPr="00611B44">
        <w:rPr>
          <w:rFonts w:hint="cs"/>
        </w:rPr>
        <w:t xml:space="preserve">The </w:t>
      </w:r>
      <w:r w:rsidR="00967EB2" w:rsidRPr="00611B44">
        <w:t>program</w:t>
      </w:r>
      <w:r w:rsidR="00287AD9" w:rsidRPr="00611B44">
        <w:t xml:space="preserve"> </w:t>
      </w:r>
      <w:r w:rsidR="00E03170" w:rsidRPr="00611B44">
        <w:rPr>
          <w:rFonts w:hint="cs"/>
        </w:rPr>
        <w:t xml:space="preserve">helps Victorians reduce </w:t>
      </w:r>
      <w:r w:rsidR="00287AD9" w:rsidRPr="00611B44" w:rsidDel="00662929">
        <w:t>their</w:t>
      </w:r>
      <w:r w:rsidR="00287AD9" w:rsidRPr="00611B44">
        <w:t xml:space="preserve"> energy </w:t>
      </w:r>
      <w:r w:rsidR="00E03170" w:rsidRPr="00611B44">
        <w:rPr>
          <w:rFonts w:hint="cs"/>
        </w:rPr>
        <w:t>bills and greenhouse gas emissions by providing access to discounted energy efficient product and services.</w:t>
      </w:r>
      <w:r w:rsidR="000C2382" w:rsidRPr="00611B44">
        <w:rPr>
          <w:rStyle w:val="FootnoteReference"/>
        </w:rPr>
        <w:footnoteReference w:id="80"/>
      </w:r>
    </w:p>
    <w:p w14:paraId="145BF5CE" w14:textId="29DC95CD" w:rsidR="00287AD9" w:rsidRPr="00BA2FFE" w:rsidRDefault="00287AD9" w:rsidP="00287AD9">
      <w:r w:rsidRPr="00611B44">
        <w:t xml:space="preserve">Under the program, accredited persons install energy efficient </w:t>
      </w:r>
      <w:r w:rsidR="00C8335B" w:rsidRPr="00611B44">
        <w:t>products</w:t>
      </w:r>
      <w:r w:rsidRPr="00611B44">
        <w:t xml:space="preserve"> or perform energy efficiency upgrades for customers. </w:t>
      </w:r>
      <w:r w:rsidR="00713A62" w:rsidRPr="00611B44">
        <w:t>Accredited</w:t>
      </w:r>
      <w:r w:rsidR="00713A62">
        <w:t xml:space="preserve"> persons</w:t>
      </w:r>
      <w:r w:rsidR="00A136AF">
        <w:t xml:space="preserve"> that </w:t>
      </w:r>
      <w:r w:rsidR="00713A62">
        <w:t>perform</w:t>
      </w:r>
      <w:r w:rsidR="00C81B37">
        <w:t xml:space="preserve"> these</w:t>
      </w:r>
      <w:r w:rsidRPr="00BA2FFE">
        <w:t xml:space="preserve"> energy </w:t>
      </w:r>
      <w:r w:rsidR="00C0511E">
        <w:t xml:space="preserve">efficient </w:t>
      </w:r>
      <w:r w:rsidRPr="00BA2FFE">
        <w:t xml:space="preserve">upgrades </w:t>
      </w:r>
      <w:r w:rsidR="00BD7044">
        <w:t xml:space="preserve">can </w:t>
      </w:r>
      <w:r w:rsidRPr="00BA2FFE">
        <w:t xml:space="preserve">create Victorian </w:t>
      </w:r>
      <w:r w:rsidR="00713A62">
        <w:t>E</w:t>
      </w:r>
      <w:r w:rsidR="00713A62" w:rsidRPr="00BA2FFE">
        <w:t xml:space="preserve">nergy </w:t>
      </w:r>
      <w:r w:rsidR="00713A62">
        <w:t>E</w:t>
      </w:r>
      <w:r w:rsidR="00713A62" w:rsidRPr="00BA2FFE">
        <w:t xml:space="preserve">fficiency </w:t>
      </w:r>
      <w:r w:rsidR="00713A62">
        <w:t>C</w:t>
      </w:r>
      <w:r w:rsidR="00713A62" w:rsidRPr="00BA2FFE">
        <w:t>ertificates (VEECs).</w:t>
      </w:r>
      <w:r w:rsidRPr="00BA2FFE">
        <w:t xml:space="preserve"> </w:t>
      </w:r>
    </w:p>
    <w:p w14:paraId="56B8F7C2" w14:textId="26F18CF2" w:rsidR="00287AD9" w:rsidRPr="002A1886" w:rsidRDefault="00287AD9" w:rsidP="00287AD9">
      <w:r w:rsidRPr="00BA2FFE">
        <w:t xml:space="preserve">Each VEEC represents one tonne of greenhouse gas </w:t>
      </w:r>
      <w:r w:rsidR="003976DE">
        <w:t xml:space="preserve">emissions </w:t>
      </w:r>
      <w:r w:rsidR="00385FAB">
        <w:t>reduction</w:t>
      </w:r>
      <w:r w:rsidRPr="00BA2FFE">
        <w:t xml:space="preserve">. </w:t>
      </w:r>
      <w:r w:rsidR="00771599">
        <w:t>Large e</w:t>
      </w:r>
      <w:r w:rsidRPr="00BA2FFE">
        <w:t xml:space="preserve">lectricity retailers must buy and surrender VEECs to meet </w:t>
      </w:r>
      <w:r w:rsidR="007D63D0">
        <w:t>annual targets</w:t>
      </w:r>
      <w:r w:rsidRPr="00BA2FFE">
        <w:t xml:space="preserve"> set in Victorian legislation. </w:t>
      </w:r>
    </w:p>
    <w:p w14:paraId="1105C058" w14:textId="267FBC01" w:rsidR="00287AD9" w:rsidRPr="0014435F" w:rsidRDefault="0077771F" w:rsidP="00B912C3">
      <w:pPr>
        <w:pStyle w:val="Heading4"/>
      </w:pPr>
      <w:r>
        <w:t>R</w:t>
      </w:r>
      <w:r w:rsidR="00773F93" w:rsidRPr="0014435F">
        <w:t xml:space="preserve">etailers </w:t>
      </w:r>
      <w:r>
        <w:t>expressed</w:t>
      </w:r>
      <w:r w:rsidR="00400F7F" w:rsidRPr="0014435F">
        <w:t xml:space="preserve"> con</w:t>
      </w:r>
      <w:r w:rsidR="00307BEE" w:rsidRPr="0014435F">
        <w:t xml:space="preserve">cern with </w:t>
      </w:r>
      <w:r w:rsidR="00CD63BC" w:rsidRPr="0014435F">
        <w:t xml:space="preserve">Victorian Energy </w:t>
      </w:r>
      <w:r w:rsidR="007952F7" w:rsidRPr="0014435F">
        <w:t>Efficiency Certificates</w:t>
      </w:r>
      <w:r w:rsidR="00307BEE" w:rsidRPr="0014435F">
        <w:t xml:space="preserve"> prices</w:t>
      </w:r>
      <w:r w:rsidR="007A07C4">
        <w:t>, while a consumer group supported our approach</w:t>
      </w:r>
    </w:p>
    <w:p w14:paraId="182BAE64" w14:textId="7AA7BDAA" w:rsidR="008F7CED" w:rsidRPr="00611B44" w:rsidRDefault="005558DC" w:rsidP="00287AD9">
      <w:r w:rsidRPr="00B87144">
        <w:t xml:space="preserve">In </w:t>
      </w:r>
      <w:r w:rsidR="00203993" w:rsidRPr="00B87144">
        <w:t>response to our draft decision</w:t>
      </w:r>
      <w:r w:rsidR="00AC7B0E" w:rsidRPr="00611B44">
        <w:t>,</w:t>
      </w:r>
      <w:r w:rsidR="00203993" w:rsidRPr="00611B44">
        <w:t xml:space="preserve"> we received </w:t>
      </w:r>
      <w:r w:rsidR="0014435F" w:rsidRPr="00611B44">
        <w:t>five</w:t>
      </w:r>
      <w:r w:rsidR="00203993" w:rsidRPr="00611B44">
        <w:t xml:space="preserve"> submissions from retailers</w:t>
      </w:r>
      <w:r w:rsidR="006E12F0" w:rsidRPr="00611B44">
        <w:t xml:space="preserve"> </w:t>
      </w:r>
      <w:r w:rsidR="007A07C4" w:rsidRPr="00611B44">
        <w:t xml:space="preserve">that </w:t>
      </w:r>
      <w:r w:rsidR="00203993" w:rsidRPr="00611B44">
        <w:t>raised concern</w:t>
      </w:r>
      <w:r w:rsidR="006E12F0" w:rsidRPr="00611B44">
        <w:t>s</w:t>
      </w:r>
      <w:r w:rsidR="00DD3779" w:rsidRPr="00611B44">
        <w:t xml:space="preserve"> with </w:t>
      </w:r>
      <w:r w:rsidR="00193E84" w:rsidRPr="00611B44">
        <w:t>VEEC</w:t>
      </w:r>
      <w:r w:rsidR="00063A79" w:rsidRPr="00611B44">
        <w:t xml:space="preserve"> </w:t>
      </w:r>
      <w:r w:rsidR="008F7CED" w:rsidRPr="00611B44">
        <w:t xml:space="preserve">availability and </w:t>
      </w:r>
      <w:r w:rsidR="00063A79" w:rsidRPr="00611B44">
        <w:t>pricing</w:t>
      </w:r>
      <w:r w:rsidR="008F7CED" w:rsidRPr="00611B44">
        <w:t>.</w:t>
      </w:r>
      <w:r w:rsidR="00403905" w:rsidRPr="00611B44">
        <w:rPr>
          <w:rStyle w:val="FootnoteReference"/>
        </w:rPr>
        <w:footnoteReference w:id="81"/>
      </w:r>
      <w:r w:rsidR="003377C5" w:rsidRPr="00611B44">
        <w:t xml:space="preserve"> </w:t>
      </w:r>
      <w:r w:rsidR="001E036B" w:rsidRPr="00611B44">
        <w:t>We also heard from one consumer group</w:t>
      </w:r>
      <w:r w:rsidR="00424152" w:rsidRPr="00611B44">
        <w:t xml:space="preserve"> who </w:t>
      </w:r>
      <w:r w:rsidR="009172E4" w:rsidRPr="00611B44">
        <w:t xml:space="preserve">supported our approach being </w:t>
      </w:r>
      <w:r w:rsidR="00A36C5A" w:rsidRPr="00611B44">
        <w:t>upheld</w:t>
      </w:r>
      <w:r w:rsidR="00830320" w:rsidRPr="00611B44">
        <w:t xml:space="preserve"> by collecting additional data.</w:t>
      </w:r>
      <w:r w:rsidR="00D0546B" w:rsidRPr="00611B44">
        <w:rPr>
          <w:rStyle w:val="FootnoteReference"/>
        </w:rPr>
        <w:footnoteReference w:id="82"/>
      </w:r>
    </w:p>
    <w:p w14:paraId="4A63362A" w14:textId="60571804" w:rsidR="00034981" w:rsidRPr="00611B44" w:rsidRDefault="00034981" w:rsidP="00287AD9">
      <w:r w:rsidRPr="00611B44">
        <w:t xml:space="preserve">We </w:t>
      </w:r>
      <w:r w:rsidR="00DB218D" w:rsidRPr="00611B44">
        <w:t>collected</w:t>
      </w:r>
      <w:r w:rsidRPr="00611B44">
        <w:t xml:space="preserve"> </w:t>
      </w:r>
      <w:r w:rsidR="002F707E" w:rsidRPr="00611B44">
        <w:t>retailer</w:t>
      </w:r>
      <w:r w:rsidR="00DB218D" w:rsidRPr="00611B44">
        <w:t>s</w:t>
      </w:r>
      <w:r w:rsidR="007D5B8A" w:rsidRPr="00611B44">
        <w:t>’</w:t>
      </w:r>
      <w:r w:rsidR="00DB218D" w:rsidRPr="00611B44">
        <w:t xml:space="preserve"> </w:t>
      </w:r>
      <w:r w:rsidR="006A567A" w:rsidRPr="00611B44">
        <w:t xml:space="preserve">VEEC </w:t>
      </w:r>
      <w:r w:rsidR="00DB218D" w:rsidRPr="00611B44">
        <w:t>cost</w:t>
      </w:r>
      <w:r w:rsidR="002F707E" w:rsidRPr="00611B44">
        <w:t xml:space="preserve"> data</w:t>
      </w:r>
      <w:r w:rsidR="00DB218D" w:rsidRPr="00611B44">
        <w:t xml:space="preserve">, including the </w:t>
      </w:r>
      <w:r w:rsidR="00150A6A" w:rsidRPr="00611B44">
        <w:t xml:space="preserve">trade-weighted </w:t>
      </w:r>
      <w:r w:rsidR="00DB218D" w:rsidRPr="00611B44">
        <w:t>amount paid</w:t>
      </w:r>
      <w:r w:rsidR="0061207E" w:rsidRPr="00611B44">
        <w:t xml:space="preserve">. We </w:t>
      </w:r>
      <w:r w:rsidR="002F707E" w:rsidRPr="00611B44">
        <w:t xml:space="preserve">found </w:t>
      </w:r>
      <w:r w:rsidR="00DC0CEB" w:rsidRPr="00611B44">
        <w:t xml:space="preserve">the average trade-weighted price paid for </w:t>
      </w:r>
      <w:r w:rsidR="00E67440" w:rsidRPr="00611B44">
        <w:t>VEECs</w:t>
      </w:r>
      <w:r w:rsidR="00DC0CEB" w:rsidRPr="00611B44">
        <w:t xml:space="preserve"> for the 2023–24 financial year was $</w:t>
      </w:r>
      <w:r w:rsidR="00875050" w:rsidRPr="00611B44">
        <w:t>85</w:t>
      </w:r>
      <w:r w:rsidR="00DC0CEB" w:rsidRPr="00611B44">
        <w:t xml:space="preserve">, </w:t>
      </w:r>
      <w:r w:rsidR="00961ADD" w:rsidRPr="00611B44">
        <w:t>while</w:t>
      </w:r>
      <w:r w:rsidR="00961ADD" w:rsidRPr="00B87144">
        <w:t xml:space="preserve"> </w:t>
      </w:r>
      <w:r w:rsidR="00DC0CEB" w:rsidRPr="00B87144">
        <w:t xml:space="preserve">our </w:t>
      </w:r>
      <w:r w:rsidR="00DC0CEB" w:rsidRPr="00B87144">
        <w:lastRenderedPageBreak/>
        <w:t>estimate for approximately</w:t>
      </w:r>
      <w:r w:rsidR="00DC0CEB">
        <w:t xml:space="preserve"> </w:t>
      </w:r>
      <w:r w:rsidR="00DC0CEB" w:rsidRPr="00B87144">
        <w:t xml:space="preserve">that same </w:t>
      </w:r>
      <w:r w:rsidR="00DC0CEB" w:rsidRPr="00611B44">
        <w:t xml:space="preserve">time </w:t>
      </w:r>
      <w:r w:rsidR="00382D05" w:rsidRPr="00611B44">
        <w:t>was $</w:t>
      </w:r>
      <w:r w:rsidR="00875050" w:rsidRPr="00611B44">
        <w:t>87</w:t>
      </w:r>
      <w:r w:rsidR="00382D05" w:rsidRPr="00611B44">
        <w:t>.</w:t>
      </w:r>
      <w:r w:rsidR="00F84C0E" w:rsidRPr="00611B44">
        <w:rPr>
          <w:rStyle w:val="FootnoteReference"/>
        </w:rPr>
        <w:footnoteReference w:id="83"/>
      </w:r>
      <w:r w:rsidR="00382D05" w:rsidRPr="00611B44">
        <w:t xml:space="preserve"> This indicates </w:t>
      </w:r>
      <w:r w:rsidR="0061207E" w:rsidRPr="00611B44">
        <w:t xml:space="preserve">our approach </w:t>
      </w:r>
      <w:r w:rsidR="00B633CB" w:rsidRPr="00611B44">
        <w:t xml:space="preserve">is </w:t>
      </w:r>
      <w:r w:rsidR="0061207E" w:rsidRPr="00611B44">
        <w:t xml:space="preserve">comparable to the actual prices retailers are paying for </w:t>
      </w:r>
      <w:r w:rsidR="0045406E" w:rsidRPr="00611B44">
        <w:t>VEECs</w:t>
      </w:r>
      <w:r w:rsidR="0061207E" w:rsidRPr="00611B44">
        <w:t xml:space="preserve">. </w:t>
      </w:r>
    </w:p>
    <w:p w14:paraId="2825FCBF" w14:textId="63C0F406" w:rsidR="00177642" w:rsidRPr="00611B44" w:rsidRDefault="00BC6A66" w:rsidP="00583C9E">
      <w:r w:rsidRPr="00611B44">
        <w:t xml:space="preserve">In contrast, </w:t>
      </w:r>
      <w:r w:rsidR="00D80CDA" w:rsidRPr="00611B44">
        <w:t>some</w:t>
      </w:r>
      <w:r w:rsidR="00583C9E" w:rsidRPr="00611B44">
        <w:t xml:space="preserve"> retailers </w:t>
      </w:r>
      <w:r w:rsidR="00A30A7B" w:rsidRPr="00611B44">
        <w:t>expressed</w:t>
      </w:r>
      <w:r w:rsidR="00583C9E" w:rsidRPr="00611B44">
        <w:t xml:space="preserve"> concerns </w:t>
      </w:r>
      <w:r w:rsidR="00FF22BC" w:rsidRPr="00611B44">
        <w:t xml:space="preserve">that </w:t>
      </w:r>
      <w:r w:rsidR="001763E5" w:rsidRPr="00611B44">
        <w:t>they face</w:t>
      </w:r>
      <w:r w:rsidR="00925F2C" w:rsidRPr="00611B44">
        <w:t xml:space="preserve"> </w:t>
      </w:r>
      <w:r w:rsidR="00A0384D" w:rsidRPr="00611B44">
        <w:t xml:space="preserve">risks when trying to procure </w:t>
      </w:r>
      <w:r w:rsidR="00484B1C" w:rsidRPr="00611B44">
        <w:t>VEECs</w:t>
      </w:r>
      <w:r w:rsidR="00A0384D" w:rsidRPr="00611B44">
        <w:t xml:space="preserve"> and when they are </w:t>
      </w:r>
      <w:r w:rsidR="0040135D" w:rsidRPr="00611B44">
        <w:t xml:space="preserve">unable to </w:t>
      </w:r>
      <w:r w:rsidR="00E8054B" w:rsidRPr="00611B44">
        <w:t xml:space="preserve">do </w:t>
      </w:r>
      <w:r w:rsidR="00CE463F" w:rsidRPr="00611B44">
        <w:t>so</w:t>
      </w:r>
      <w:r w:rsidR="00C46142" w:rsidRPr="00611B44">
        <w:t>,</w:t>
      </w:r>
      <w:r w:rsidR="00CE463F" w:rsidRPr="00611B44">
        <w:t xml:space="preserve"> must make </w:t>
      </w:r>
      <w:r w:rsidR="007348DD" w:rsidRPr="00611B44">
        <w:t xml:space="preserve">shortfall </w:t>
      </w:r>
      <w:r w:rsidR="00CE463F" w:rsidRPr="00611B44">
        <w:t xml:space="preserve">penalty payments that have a tax liability. </w:t>
      </w:r>
      <w:r w:rsidR="00302A66" w:rsidRPr="00611B44">
        <w:t xml:space="preserve">AGL </w:t>
      </w:r>
      <w:r w:rsidR="009058A4" w:rsidRPr="00611B44">
        <w:t xml:space="preserve">and Origin </w:t>
      </w:r>
      <w:r w:rsidR="00302A66" w:rsidRPr="00611B44">
        <w:t xml:space="preserve">argued that we </w:t>
      </w:r>
      <w:r w:rsidR="00464959" w:rsidRPr="00611B44">
        <w:t xml:space="preserve">should </w:t>
      </w:r>
      <w:r w:rsidR="00B70B3C" w:rsidRPr="00611B44">
        <w:t>con</w:t>
      </w:r>
      <w:r w:rsidR="00A03848" w:rsidRPr="00611B44">
        <w:t xml:space="preserve">sider </w:t>
      </w:r>
      <w:r w:rsidR="00873AB1" w:rsidRPr="00611B44">
        <w:t xml:space="preserve">retailers’ tax liabilities for </w:t>
      </w:r>
      <w:r w:rsidR="00EF6CFF" w:rsidRPr="00611B44">
        <w:t xml:space="preserve">shortfall </w:t>
      </w:r>
      <w:r w:rsidR="00873AB1" w:rsidRPr="00611B44">
        <w:t>penalty payments</w:t>
      </w:r>
      <w:r w:rsidR="00804D09" w:rsidRPr="00611B44">
        <w:t xml:space="preserve"> when estimating the </w:t>
      </w:r>
      <w:r w:rsidR="00BF6CA6" w:rsidRPr="00611B44">
        <w:t xml:space="preserve">Victorian Energy Upgrades </w:t>
      </w:r>
      <w:r w:rsidR="003D6BDF" w:rsidRPr="00611B44">
        <w:t xml:space="preserve">program </w:t>
      </w:r>
      <w:r w:rsidR="00BF6CA6" w:rsidRPr="00611B44">
        <w:t>costs in the Victorian Default Offer</w:t>
      </w:r>
      <w:r w:rsidR="00177642" w:rsidRPr="00611B44">
        <w:t>.</w:t>
      </w:r>
      <w:r w:rsidR="00285E97" w:rsidRPr="00611B44">
        <w:rPr>
          <w:rStyle w:val="FootnoteReference"/>
        </w:rPr>
        <w:footnoteReference w:id="84"/>
      </w:r>
      <w:r w:rsidR="00177642" w:rsidRPr="00611B44">
        <w:t xml:space="preserve"> </w:t>
      </w:r>
    </w:p>
    <w:p w14:paraId="49F3954B" w14:textId="32A949F5" w:rsidR="00583C9E" w:rsidRPr="00611B44" w:rsidRDefault="00E00E5D" w:rsidP="00583C9E">
      <w:r w:rsidRPr="00611B44">
        <w:t xml:space="preserve">The remaining submissions </w:t>
      </w:r>
      <w:r w:rsidR="003D4C3A" w:rsidRPr="00611B44">
        <w:t>noted the issues with supply</w:t>
      </w:r>
      <w:r w:rsidR="00CE463F" w:rsidRPr="00611B44">
        <w:t xml:space="preserve"> </w:t>
      </w:r>
      <w:r w:rsidR="001B6666" w:rsidRPr="00611B44">
        <w:t xml:space="preserve">within the </w:t>
      </w:r>
      <w:r w:rsidR="008E529D" w:rsidRPr="00611B44">
        <w:t>VEEC</w:t>
      </w:r>
      <w:r w:rsidR="00583C9E" w:rsidRPr="00611B44">
        <w:t xml:space="preserve"> market</w:t>
      </w:r>
      <w:r w:rsidR="003D4C3A" w:rsidRPr="00611B44">
        <w:t xml:space="preserve"> or questioned </w:t>
      </w:r>
      <w:r w:rsidR="006E4287" w:rsidRPr="00611B44">
        <w:t xml:space="preserve">our methodology, suggesting </w:t>
      </w:r>
      <w:r w:rsidR="005408FC" w:rsidRPr="00611B44">
        <w:t>that a shorter timeframe would be more approp</w:t>
      </w:r>
      <w:r w:rsidR="003302A6" w:rsidRPr="00611B44">
        <w:t>riate</w:t>
      </w:r>
      <w:r w:rsidR="00583C9E" w:rsidRPr="00611B44">
        <w:t>.</w:t>
      </w:r>
      <w:r w:rsidR="00583C9E" w:rsidRPr="00611B44">
        <w:rPr>
          <w:rStyle w:val="FootnoteReference"/>
        </w:rPr>
        <w:footnoteReference w:id="85"/>
      </w:r>
    </w:p>
    <w:p w14:paraId="24EB4D9D" w14:textId="22FB3379" w:rsidR="00EA47C9" w:rsidRPr="00611B44" w:rsidRDefault="00EA47C9" w:rsidP="00583C9E">
      <w:r w:rsidRPr="00611B44">
        <w:t>We acknowledge recent reforms</w:t>
      </w:r>
      <w:r w:rsidR="0048033F" w:rsidRPr="00611B44">
        <w:t xml:space="preserve"> led by the Department of Energy</w:t>
      </w:r>
      <w:r w:rsidR="00C91185" w:rsidRPr="00611B44">
        <w:t>, Environment</w:t>
      </w:r>
      <w:r w:rsidR="00ED7BC2" w:rsidRPr="00611B44">
        <w:t xml:space="preserve"> and Climate Action to increase the number of</w:t>
      </w:r>
      <w:r w:rsidR="0077767C" w:rsidRPr="00611B44">
        <w:t xml:space="preserve"> activities</w:t>
      </w:r>
      <w:r w:rsidR="00A01BA2" w:rsidRPr="00611B44">
        <w:t xml:space="preserve"> for the Victorian Energy Upgrades program. The department</w:t>
      </w:r>
      <w:r w:rsidR="00F9643D" w:rsidRPr="00611B44">
        <w:t xml:space="preserve"> expects the reforms will increase the number of available Victorian Energy Efficiency Certificates</w:t>
      </w:r>
      <w:r w:rsidR="00D71984" w:rsidRPr="00611B44">
        <w:t>.</w:t>
      </w:r>
      <w:r w:rsidR="00C50100" w:rsidRPr="00611B44">
        <w:rPr>
          <w:rStyle w:val="FootnoteReference"/>
        </w:rPr>
        <w:footnoteReference w:id="86"/>
      </w:r>
    </w:p>
    <w:p w14:paraId="14277342" w14:textId="61D86B84" w:rsidR="00C55773" w:rsidRPr="00611B44" w:rsidRDefault="0032194D" w:rsidP="00287AD9">
      <w:r w:rsidRPr="00611B44">
        <w:t>We consider that a</w:t>
      </w:r>
      <w:r w:rsidR="00653E5B" w:rsidRPr="00611B44">
        <w:t xml:space="preserve">n efficient retailer would </w:t>
      </w:r>
      <w:r w:rsidR="00E134EA" w:rsidRPr="00611B44">
        <w:t xml:space="preserve">use </w:t>
      </w:r>
      <w:r w:rsidR="004523F5" w:rsidRPr="00611B44">
        <w:t xml:space="preserve">different </w:t>
      </w:r>
      <w:r w:rsidR="003C0435" w:rsidRPr="00611B44">
        <w:t xml:space="preserve">approaches or </w:t>
      </w:r>
      <w:r w:rsidR="004523F5" w:rsidRPr="00611B44">
        <w:t xml:space="preserve">mechanisms </w:t>
      </w:r>
      <w:r w:rsidR="000B211A" w:rsidRPr="00611B44">
        <w:t xml:space="preserve">to </w:t>
      </w:r>
      <w:r w:rsidR="00297B9E" w:rsidRPr="00611B44">
        <w:t>meet their obligations under the Victorian Energy Upgrades program</w:t>
      </w:r>
      <w:r w:rsidR="000644B4" w:rsidRPr="00611B44">
        <w:t xml:space="preserve"> and avoid paying a shortfall penalty</w:t>
      </w:r>
      <w:r w:rsidR="00860AD5" w:rsidRPr="00611B44">
        <w:t>. This may include</w:t>
      </w:r>
      <w:r w:rsidR="00297B9E" w:rsidRPr="00611B44">
        <w:t xml:space="preserve"> a mix </w:t>
      </w:r>
      <w:r w:rsidR="00243694" w:rsidRPr="00611B44">
        <w:t>of</w:t>
      </w:r>
      <w:r w:rsidR="00297B9E" w:rsidRPr="00611B44">
        <w:t xml:space="preserve"> </w:t>
      </w:r>
      <w:r w:rsidR="00303B0D" w:rsidRPr="00611B44">
        <w:t xml:space="preserve">different </w:t>
      </w:r>
      <w:r w:rsidR="00243694" w:rsidRPr="00611B44">
        <w:t xml:space="preserve">purchasing </w:t>
      </w:r>
      <w:r w:rsidR="003A4FC3" w:rsidRPr="00611B44">
        <w:t>arrangement</w:t>
      </w:r>
      <w:r w:rsidR="005515AE" w:rsidRPr="00611B44">
        <w:t>s</w:t>
      </w:r>
      <w:r w:rsidR="003A4FC3" w:rsidRPr="00611B44">
        <w:t xml:space="preserve"> to meet </w:t>
      </w:r>
      <w:r w:rsidR="00714307" w:rsidRPr="00611B44">
        <w:t xml:space="preserve">its </w:t>
      </w:r>
      <w:r w:rsidR="003A4FC3" w:rsidRPr="00611B44">
        <w:t>compliance costs</w:t>
      </w:r>
      <w:r w:rsidR="005515AE" w:rsidRPr="00611B44">
        <w:t>.</w:t>
      </w:r>
      <w:r w:rsidR="00A46458" w:rsidRPr="00611B44">
        <w:t xml:space="preserve"> </w:t>
      </w:r>
      <w:r w:rsidR="00531A43" w:rsidRPr="00611B44">
        <w:t>T</w:t>
      </w:r>
      <w:r w:rsidR="00A46458" w:rsidRPr="00611B44">
        <w:t>h</w:t>
      </w:r>
      <w:r w:rsidR="00297B9E" w:rsidRPr="00611B44">
        <w:t xml:space="preserve">e actual costs borne by retailers may vary depending on </w:t>
      </w:r>
      <w:r w:rsidR="00EE5772" w:rsidRPr="00611B44">
        <w:t>the</w:t>
      </w:r>
      <w:r w:rsidR="00C16E70" w:rsidRPr="00611B44">
        <w:t xml:space="preserve"> </w:t>
      </w:r>
      <w:r w:rsidR="00297B9E" w:rsidRPr="00611B44">
        <w:t xml:space="preserve">approach. </w:t>
      </w:r>
      <w:r w:rsidR="00CF6A24" w:rsidRPr="00611B44">
        <w:t xml:space="preserve">We consider </w:t>
      </w:r>
      <w:r w:rsidR="00021E0C" w:rsidRPr="00611B44">
        <w:t xml:space="preserve">using the most recent 12-months </w:t>
      </w:r>
      <w:r w:rsidR="00B229C3" w:rsidRPr="00611B44">
        <w:t xml:space="preserve">of </w:t>
      </w:r>
      <w:r w:rsidR="009523C6" w:rsidRPr="00611B44">
        <w:t>VEEC</w:t>
      </w:r>
      <w:r w:rsidR="003169E6" w:rsidRPr="00611B44">
        <w:t xml:space="preserve"> prices </w:t>
      </w:r>
      <w:r w:rsidR="001A3F1B" w:rsidRPr="00611B44">
        <w:t xml:space="preserve">provides the best estimate of </w:t>
      </w:r>
      <w:r w:rsidR="00061A18" w:rsidRPr="00611B44">
        <w:t>retailers’</w:t>
      </w:r>
      <w:r w:rsidR="00FD16EE" w:rsidRPr="00611B44">
        <w:t xml:space="preserve"> costs</w:t>
      </w:r>
      <w:r w:rsidR="0062693E" w:rsidRPr="00611B44">
        <w:t>,</w:t>
      </w:r>
      <w:r w:rsidR="00FD16EE" w:rsidRPr="00611B44">
        <w:t xml:space="preserve"> without placing </w:t>
      </w:r>
      <w:r w:rsidR="009D4324" w:rsidRPr="00611B44">
        <w:t xml:space="preserve">undue </w:t>
      </w:r>
      <w:r w:rsidR="007A73F5" w:rsidRPr="00611B44">
        <w:t>weight on recent price</w:t>
      </w:r>
      <w:r w:rsidR="000E2A23" w:rsidRPr="00611B44">
        <w:t>s</w:t>
      </w:r>
      <w:r w:rsidR="007A73F5" w:rsidRPr="00611B44">
        <w:t xml:space="preserve"> </w:t>
      </w:r>
      <w:r w:rsidR="00B720A1" w:rsidRPr="00611B44">
        <w:t xml:space="preserve">which would occur </w:t>
      </w:r>
      <w:r w:rsidR="007A73F5" w:rsidRPr="00611B44">
        <w:t xml:space="preserve">if we used a shorter period. </w:t>
      </w:r>
      <w:r w:rsidR="000E2A23" w:rsidRPr="00611B44">
        <w:t>We have maintained a 12-month averaging period</w:t>
      </w:r>
      <w:r w:rsidR="00195E8D" w:rsidRPr="00611B44">
        <w:t xml:space="preserve"> in the Victorian Default Offer and consider </w:t>
      </w:r>
      <w:r w:rsidR="00395EEF" w:rsidRPr="00611B44">
        <w:t xml:space="preserve">current </w:t>
      </w:r>
      <w:r w:rsidR="007D1354" w:rsidRPr="00611B44">
        <w:t>VEEC</w:t>
      </w:r>
      <w:r w:rsidR="00195E8D" w:rsidRPr="00611B44">
        <w:t xml:space="preserve"> price</w:t>
      </w:r>
      <w:r w:rsidR="00395EEF" w:rsidRPr="00611B44">
        <w:t>s</w:t>
      </w:r>
      <w:r w:rsidR="00195E8D" w:rsidRPr="00611B44">
        <w:t xml:space="preserve"> </w:t>
      </w:r>
      <w:r w:rsidR="00D005F4" w:rsidRPr="00611B44">
        <w:t>will be</w:t>
      </w:r>
      <w:r w:rsidR="00C34FA9" w:rsidRPr="00611B44">
        <w:t xml:space="preserve"> accounted for </w:t>
      </w:r>
      <w:r w:rsidR="00395EEF" w:rsidRPr="00611B44">
        <w:t xml:space="preserve">in the next </w:t>
      </w:r>
      <w:r w:rsidR="00EB2BB5" w:rsidRPr="00611B44">
        <w:t xml:space="preserve">decision. </w:t>
      </w:r>
    </w:p>
    <w:p w14:paraId="24B0B4E8" w14:textId="46A185E3" w:rsidR="00287AD9" w:rsidRPr="00611B44" w:rsidRDefault="00333A4F" w:rsidP="00287AD9">
      <w:r w:rsidRPr="00611B44">
        <w:lastRenderedPageBreak/>
        <w:t xml:space="preserve">As with </w:t>
      </w:r>
      <w:r w:rsidR="00C04512" w:rsidRPr="00611B44">
        <w:t xml:space="preserve">our </w:t>
      </w:r>
      <w:r w:rsidR="004D379C" w:rsidRPr="00611B44">
        <w:t>draft</w:t>
      </w:r>
      <w:r w:rsidR="00C04512" w:rsidRPr="00611B44">
        <w:t xml:space="preserve"> decision,</w:t>
      </w:r>
      <w:r w:rsidRPr="00611B44">
        <w:t xml:space="preserve"> </w:t>
      </w:r>
      <w:r w:rsidR="004D379C" w:rsidRPr="00611B44">
        <w:t>w</w:t>
      </w:r>
      <w:r w:rsidR="00287AD9" w:rsidRPr="00611B44">
        <w:t>e use</w:t>
      </w:r>
      <w:r w:rsidR="00A92C5C" w:rsidRPr="00611B44">
        <w:t>d</w:t>
      </w:r>
      <w:r w:rsidR="00287AD9" w:rsidRPr="00611B44">
        <w:t xml:space="preserve"> the most recent 12-month trade-weighted average spot price for </w:t>
      </w:r>
      <w:r w:rsidR="00B569F9" w:rsidRPr="00611B44">
        <w:t>VEEC’s</w:t>
      </w:r>
      <w:r w:rsidR="009C4353" w:rsidRPr="00611B44">
        <w:t xml:space="preserve"> </w:t>
      </w:r>
      <w:r w:rsidR="00287AD9" w:rsidRPr="00611B44">
        <w:t>multiplied by the 2025 greenhouse gas reduction rate for electricity.</w:t>
      </w:r>
      <w:r w:rsidR="00287AD9" w:rsidRPr="00611B44">
        <w:rPr>
          <w:rStyle w:val="FootnoteReference"/>
        </w:rPr>
        <w:footnoteReference w:id="87"/>
      </w:r>
      <w:r w:rsidR="00287AD9" w:rsidRPr="00611B44">
        <w:t xml:space="preserve"> </w:t>
      </w:r>
      <w:r w:rsidR="0002431D" w:rsidRPr="00611B44">
        <w:t>For</w:t>
      </w:r>
      <w:r w:rsidR="009C4353" w:rsidRPr="00611B44">
        <w:t xml:space="preserve"> our final decision</w:t>
      </w:r>
      <w:r w:rsidR="00B775E4" w:rsidRPr="00611B44">
        <w:t xml:space="preserve"> we </w:t>
      </w:r>
      <w:r w:rsidR="006129E4" w:rsidRPr="00611B44">
        <w:t xml:space="preserve">used </w:t>
      </w:r>
      <w:r w:rsidR="00B775E4" w:rsidRPr="00611B44">
        <w:t>trades up until 1</w:t>
      </w:r>
      <w:r w:rsidR="008455C9" w:rsidRPr="00611B44">
        <w:t>4</w:t>
      </w:r>
      <w:r w:rsidR="00B775E4" w:rsidRPr="00611B44">
        <w:t xml:space="preserve"> April </w:t>
      </w:r>
      <w:r w:rsidR="00D300D2" w:rsidRPr="00611B44">
        <w:t>2025</w:t>
      </w:r>
      <w:r w:rsidR="00CA6286" w:rsidRPr="00611B44">
        <w:t>.</w:t>
      </w:r>
      <w:r w:rsidR="00CA6286" w:rsidRPr="00611B44">
        <w:rPr>
          <w:rStyle w:val="FootnoteReference"/>
        </w:rPr>
        <w:footnoteReference w:id="88"/>
      </w:r>
    </w:p>
    <w:p w14:paraId="4EB4B2F3" w14:textId="3D9A34A0" w:rsidR="004A0B98" w:rsidRPr="00611B44" w:rsidRDefault="00287AD9" w:rsidP="00287AD9">
      <w:r w:rsidRPr="00611B44">
        <w:t xml:space="preserve">For our </w:t>
      </w:r>
      <w:r w:rsidR="009D64F6" w:rsidRPr="00611B44">
        <w:t>final</w:t>
      </w:r>
      <w:r w:rsidRPr="00611B44">
        <w:t xml:space="preserve"> decision, this means we multipl</w:t>
      </w:r>
      <w:r w:rsidR="00F449F9" w:rsidRPr="00611B44">
        <w:t>ied</w:t>
      </w:r>
      <w:r w:rsidRPr="00611B44" w:rsidDel="00707D0F">
        <w:t xml:space="preserve"> </w:t>
      </w:r>
      <w:r w:rsidR="00AF252B" w:rsidRPr="00611B44">
        <w:t xml:space="preserve">the </w:t>
      </w:r>
      <w:r w:rsidRPr="00611B44">
        <w:t>volume</w:t>
      </w:r>
      <w:r w:rsidR="00C6352C" w:rsidRPr="00611B44">
        <w:t>-</w:t>
      </w:r>
      <w:r w:rsidRPr="00611B44">
        <w:t xml:space="preserve">weighted </w:t>
      </w:r>
      <w:r w:rsidRPr="00611B44" w:rsidDel="00707D0F">
        <w:t xml:space="preserve">average </w:t>
      </w:r>
      <w:r w:rsidR="00B569F9" w:rsidRPr="00611B44">
        <w:t>VEEC</w:t>
      </w:r>
      <w:r w:rsidRPr="00611B44">
        <w:t xml:space="preserve"> price of $</w:t>
      </w:r>
      <w:r w:rsidR="00B60C45" w:rsidRPr="00611B44">
        <w:t>106</w:t>
      </w:r>
      <w:r w:rsidR="00502F27" w:rsidRPr="00611B44">
        <w:t>.77</w:t>
      </w:r>
      <w:r w:rsidRPr="00611B44">
        <w:t xml:space="preserve"> (excluding GST) by </w:t>
      </w:r>
      <w:r w:rsidR="00887E14" w:rsidRPr="00611B44">
        <w:t>0.</w:t>
      </w:r>
      <w:r w:rsidR="00E44A76" w:rsidRPr="00611B44">
        <w:t>15126</w:t>
      </w:r>
      <w:r w:rsidR="002419E0" w:rsidRPr="00611B44">
        <w:t>, which</w:t>
      </w:r>
      <w:r w:rsidRPr="00611B44">
        <w:t xml:space="preserve"> produce</w:t>
      </w:r>
      <w:r w:rsidR="00F449F9" w:rsidRPr="00611B44">
        <w:t>d</w:t>
      </w:r>
      <w:r w:rsidRPr="00611B44">
        <w:t xml:space="preserve"> a cost per domestic Victorian Default Offer customer of $</w:t>
      </w:r>
      <w:r w:rsidR="00524170" w:rsidRPr="00611B44">
        <w:t>16.</w:t>
      </w:r>
      <w:r w:rsidR="0089344F" w:rsidRPr="00611B44">
        <w:t>15</w:t>
      </w:r>
      <w:r w:rsidRPr="00611B44">
        <w:t xml:space="preserve"> per megawatt hour. </w:t>
      </w:r>
      <w:r w:rsidR="002419E0" w:rsidRPr="00611B44">
        <w:t>This result</w:t>
      </w:r>
      <w:r w:rsidR="00646B2E" w:rsidRPr="00611B44">
        <w:t>ed</w:t>
      </w:r>
      <w:r w:rsidR="003E455E" w:rsidRPr="00611B44">
        <w:t xml:space="preserve"> in a total cost of </w:t>
      </w:r>
      <w:r w:rsidR="001C2565" w:rsidRPr="00611B44">
        <w:t>$</w:t>
      </w:r>
      <w:r w:rsidR="00FF7E28" w:rsidRPr="00611B44">
        <w:t>64.60</w:t>
      </w:r>
      <w:r w:rsidR="009D64F6" w:rsidRPr="00611B44">
        <w:t xml:space="preserve"> </w:t>
      </w:r>
      <w:r w:rsidR="003E455E" w:rsidRPr="00611B44">
        <w:t xml:space="preserve">in a </w:t>
      </w:r>
      <w:r w:rsidR="00785BD5" w:rsidRPr="00611B44">
        <w:t>representative</w:t>
      </w:r>
      <w:r w:rsidR="003E455E" w:rsidRPr="00611B44">
        <w:t xml:space="preserve"> domestic Victorian Default Offer bill. </w:t>
      </w:r>
      <w:r w:rsidRPr="00611B44">
        <w:t xml:space="preserve">This is an increase of </w:t>
      </w:r>
      <w:r w:rsidR="00797386" w:rsidRPr="00611B44">
        <w:t>$</w:t>
      </w:r>
      <w:r w:rsidR="00F14AC5" w:rsidRPr="00611B44">
        <w:t>2.89</w:t>
      </w:r>
      <w:r w:rsidR="00F71369" w:rsidRPr="00611B44">
        <w:t xml:space="preserve"> </w:t>
      </w:r>
      <w:r w:rsidRPr="00611B44">
        <w:t xml:space="preserve">per megawatt hour </w:t>
      </w:r>
      <w:r w:rsidR="004A0B98" w:rsidRPr="00611B44">
        <w:t>compared to</w:t>
      </w:r>
      <w:r w:rsidRPr="00611B44">
        <w:t xml:space="preserve"> our 2024–25 Victorian Default Offer. </w:t>
      </w:r>
    </w:p>
    <w:p w14:paraId="2A18DFF4" w14:textId="1138AAE1" w:rsidR="00287AD9" w:rsidRPr="00611B44" w:rsidRDefault="0058548D" w:rsidP="00287AD9">
      <w:r w:rsidRPr="00611B44">
        <w:t>T</w:t>
      </w:r>
      <w:r w:rsidR="00287AD9" w:rsidRPr="00611B44">
        <w:t xml:space="preserve">he 2025 greenhouse gas reduction rate is lower than in our 2024–25 </w:t>
      </w:r>
      <w:r w:rsidR="00C31C45" w:rsidRPr="00611B44">
        <w:t xml:space="preserve">Victorian </w:t>
      </w:r>
      <w:r w:rsidR="00287AD9" w:rsidRPr="00611B44">
        <w:t>Default Offer</w:t>
      </w:r>
      <w:r w:rsidR="006045A1" w:rsidRPr="00611B44">
        <w:t>.</w:t>
      </w:r>
      <w:r w:rsidR="00975015" w:rsidRPr="00611B44">
        <w:t xml:space="preserve"> </w:t>
      </w:r>
      <w:r w:rsidR="006045A1" w:rsidRPr="00611B44">
        <w:t>H</w:t>
      </w:r>
      <w:r w:rsidR="00190E2D" w:rsidRPr="00611B44">
        <w:t>owever</w:t>
      </w:r>
      <w:r w:rsidR="00C31C45" w:rsidRPr="00611B44">
        <w:t>,</w:t>
      </w:r>
      <w:r w:rsidR="00287AD9" w:rsidRPr="00611B44">
        <w:t xml:space="preserve"> this was offset by an increase in the average trade-weighted </w:t>
      </w:r>
      <w:r w:rsidR="00D95150" w:rsidRPr="00611B44">
        <w:t>VEEC</w:t>
      </w:r>
      <w:r w:rsidR="00287AD9" w:rsidRPr="00611B44">
        <w:t xml:space="preserve"> price. </w:t>
      </w:r>
    </w:p>
    <w:p w14:paraId="1CBC7C13" w14:textId="2F2E1A82" w:rsidR="00287AD9" w:rsidRPr="00FC450D" w:rsidRDefault="00287AD9" w:rsidP="0062231E">
      <w:pPr>
        <w:pStyle w:val="Heading3"/>
      </w:pPr>
      <w:bookmarkStart w:id="73" w:name="_Toc160817027"/>
      <w:bookmarkStart w:id="74" w:name="_Toc191027371"/>
      <w:r w:rsidRPr="00611B44">
        <w:t xml:space="preserve">Our </w:t>
      </w:r>
      <w:r w:rsidR="009D64F6" w:rsidRPr="00611B44">
        <w:t>final</w:t>
      </w:r>
      <w:r w:rsidRPr="00611B44">
        <w:t xml:space="preserve"> decision</w:t>
      </w:r>
      <w:r w:rsidR="00000F62" w:rsidRPr="00611B44">
        <w:t xml:space="preserve"> no longer</w:t>
      </w:r>
      <w:r w:rsidRPr="00611B44">
        <w:t xml:space="preserve"> accounts for the </w:t>
      </w:r>
      <w:r w:rsidR="00993073" w:rsidRPr="00611B44">
        <w:t>social cost of carbon component</w:t>
      </w:r>
      <w:r w:rsidR="00993073" w:rsidRPr="00FC450D">
        <w:t xml:space="preserve"> of the </w:t>
      </w:r>
      <w:r w:rsidRPr="00FC450D">
        <w:t>minimum feed-in tariff</w:t>
      </w:r>
      <w:bookmarkEnd w:id="73"/>
      <w:bookmarkEnd w:id="74"/>
      <w:r w:rsidRPr="00FC450D">
        <w:t xml:space="preserve"> </w:t>
      </w:r>
    </w:p>
    <w:p w14:paraId="00FD6F93" w14:textId="34AD6E74" w:rsidR="00383E7B" w:rsidRPr="008A3BC8" w:rsidRDefault="00D92C96" w:rsidP="000732E9">
      <w:r w:rsidRPr="008A3BC8">
        <w:t>T</w:t>
      </w:r>
      <w:r w:rsidR="00383E7B" w:rsidRPr="008A3BC8">
        <w:t xml:space="preserve">he commission is no longer required to </w:t>
      </w:r>
      <w:r w:rsidR="006C5D6F" w:rsidRPr="008A3BC8">
        <w:t>determine</w:t>
      </w:r>
      <w:r w:rsidR="00383E7B" w:rsidRPr="008A3BC8">
        <w:t xml:space="preserve"> minimum feed-in tariff</w:t>
      </w:r>
      <w:r w:rsidR="006B4E89">
        <w:t>s</w:t>
      </w:r>
      <w:r w:rsidRPr="008A3BC8">
        <w:t>.</w:t>
      </w:r>
      <w:r w:rsidRPr="008A3BC8">
        <w:rPr>
          <w:rStyle w:val="FootnoteReference"/>
        </w:rPr>
        <w:footnoteReference w:id="89"/>
      </w:r>
      <w:r w:rsidRPr="008A3BC8">
        <w:t xml:space="preserve"> This means</w:t>
      </w:r>
      <w:r w:rsidR="00C1549C" w:rsidRPr="008A3BC8">
        <w:t xml:space="preserve"> that</w:t>
      </w:r>
      <w:r w:rsidR="00706265" w:rsidRPr="008A3BC8">
        <w:t xml:space="preserve"> from 1 July 2025</w:t>
      </w:r>
      <w:r w:rsidR="006C5D6F" w:rsidRPr="008A3BC8">
        <w:t xml:space="preserve"> the avoided social cost of carbon is no longer a cost to be accounted for in the Victorian Default Offer</w:t>
      </w:r>
      <w:r w:rsidR="00383E7B" w:rsidRPr="008A3BC8">
        <w:t xml:space="preserve">. </w:t>
      </w:r>
      <w:r w:rsidR="00CE4F73" w:rsidRPr="008A3BC8">
        <w:t xml:space="preserve">Previous Victorian Default Offer decisions included a cost for the social cost of carbon retailers were obliged to pay their customers for each kilowatt hour of electricity they export into the electricity </w:t>
      </w:r>
      <w:r w:rsidR="00CE4F73" w:rsidRPr="008A461B">
        <w:t xml:space="preserve">grid. </w:t>
      </w:r>
      <w:r w:rsidR="00383E7B" w:rsidRPr="008A461B">
        <w:t>This is not required under the new arrangements for feed-in tariffs.</w:t>
      </w:r>
      <w:r w:rsidR="00383E7B" w:rsidRPr="008A3BC8">
        <w:t xml:space="preserve"> </w:t>
      </w:r>
    </w:p>
    <w:p w14:paraId="52FDE792" w14:textId="77777777" w:rsidR="000732E9" w:rsidRPr="00DD56F2" w:rsidRDefault="000732E9" w:rsidP="000732E9">
      <w:r w:rsidRPr="008A3BC8">
        <w:t>As the obligation for retailers to pay the social cost of carbon has been removed effective from 1 July 2025, we have removed this component from the 2025–26 Victorian Default Offer.</w:t>
      </w:r>
      <w:r w:rsidRPr="00DD56F2">
        <w:t xml:space="preserve"> </w:t>
      </w:r>
    </w:p>
    <w:p w14:paraId="3E18B744" w14:textId="42177371" w:rsidR="00BF73DD" w:rsidRPr="00611B44" w:rsidRDefault="00667C37" w:rsidP="00336635">
      <w:r>
        <w:t>For all environmental costs, a</w:t>
      </w:r>
      <w:r w:rsidR="00534CE9" w:rsidRPr="00FC450D">
        <w:t xml:space="preserve"> </w:t>
      </w:r>
      <w:r w:rsidR="00785BD5" w:rsidRPr="00FC450D">
        <w:t>representative</w:t>
      </w:r>
      <w:r w:rsidR="00534CE9" w:rsidRPr="00FC450D">
        <w:t xml:space="preserve"> average domestic Victorian Default Offer customer will pay $</w:t>
      </w:r>
      <w:r w:rsidR="00AD2A85" w:rsidRPr="00FC450D">
        <w:t>1</w:t>
      </w:r>
      <w:r w:rsidR="00DC5A12" w:rsidRPr="00FC450D">
        <w:t>14</w:t>
      </w:r>
      <w:r w:rsidR="00534CE9" w:rsidRPr="00FC450D">
        <w:t xml:space="preserve"> per year out of a total annual bill of $</w:t>
      </w:r>
      <w:r w:rsidR="0074279A" w:rsidRPr="00FC450D">
        <w:t>1</w:t>
      </w:r>
      <w:r w:rsidR="002E1BA7" w:rsidRPr="00FC450D">
        <w:t>,</w:t>
      </w:r>
      <w:r w:rsidR="0074279A" w:rsidRPr="00FC450D">
        <w:t>6</w:t>
      </w:r>
      <w:r w:rsidR="003E694C" w:rsidRPr="00FC450D">
        <w:t>7</w:t>
      </w:r>
      <w:r w:rsidR="00DC5A12" w:rsidRPr="00FC450D">
        <w:t>5</w:t>
      </w:r>
      <w:r w:rsidR="00534CE9" w:rsidRPr="00FC450D">
        <w:t xml:space="preserve"> in 2025–26. This is $</w:t>
      </w:r>
      <w:r w:rsidR="00130CF8">
        <w:t>21</w:t>
      </w:r>
      <w:r w:rsidR="00534CE9" w:rsidRPr="00FC450D">
        <w:t xml:space="preserve"> lower compared to the amount included in the 2024–25 Victorian Default Offer cost stack. This change is mainly due to decreased </w:t>
      </w:r>
      <w:r w:rsidR="00534CE9" w:rsidRPr="00611B44">
        <w:t>cost liability for retailers under the Australian Government environmental programs</w:t>
      </w:r>
      <w:r w:rsidR="00FC450D" w:rsidRPr="00611B44">
        <w:t xml:space="preserve"> and the removal of the social cost of carbon</w:t>
      </w:r>
      <w:r w:rsidR="00534CE9" w:rsidRPr="00611B44">
        <w:t>.</w:t>
      </w:r>
      <w:r w:rsidR="00655B36">
        <w:br w:type="page"/>
      </w:r>
    </w:p>
    <w:p w14:paraId="109F36DD" w14:textId="4C8C43FD" w:rsidR="005628F6" w:rsidRPr="00611B44" w:rsidRDefault="008807B9" w:rsidP="008807B9">
      <w:pPr>
        <w:pStyle w:val="Heading2"/>
      </w:pPr>
      <w:bookmarkStart w:id="75" w:name="_Toc191027372"/>
      <w:bookmarkStart w:id="76" w:name="_Ref198236593"/>
      <w:bookmarkStart w:id="77" w:name="_Toc198808330"/>
      <w:r w:rsidRPr="00611B44">
        <w:lastRenderedPageBreak/>
        <w:t>Retail operating costs</w:t>
      </w:r>
      <w:bookmarkEnd w:id="75"/>
      <w:bookmarkEnd w:id="76"/>
      <w:bookmarkEnd w:id="77"/>
    </w:p>
    <w:p w14:paraId="2A7F9455" w14:textId="5F7C1037" w:rsidR="009E44EA" w:rsidRPr="00611B44" w:rsidRDefault="009E44EA" w:rsidP="009E44EA">
      <w:pPr>
        <w:pStyle w:val="Pull-outBullet1"/>
      </w:pPr>
      <w:r w:rsidRPr="00611B44">
        <w:t xml:space="preserve">Our </w:t>
      </w:r>
      <w:r w:rsidR="009D64F6" w:rsidRPr="00611B44">
        <w:t>final</w:t>
      </w:r>
      <w:r w:rsidRPr="00611B44">
        <w:t xml:space="preserve"> decision is to continue setting the retail operating cost benchmark using the customer-weighted average of retailers’ actual retail operating costs</w:t>
      </w:r>
      <w:r w:rsidR="004A4E60" w:rsidRPr="00611B44">
        <w:t>,</w:t>
      </w:r>
      <w:r w:rsidRPr="00611B44">
        <w:t xml:space="preserve"> adjusted for inflation. This approach was first adopted for our 2023–24 Victorian Default Offer decision and </w:t>
      </w:r>
      <w:r w:rsidR="00625907" w:rsidRPr="00611B44">
        <w:t>is retain</w:t>
      </w:r>
      <w:r w:rsidR="004F39E0" w:rsidRPr="00611B44">
        <w:t>ed</w:t>
      </w:r>
      <w:r w:rsidR="00625907" w:rsidRPr="00611B44">
        <w:t xml:space="preserve"> </w:t>
      </w:r>
      <w:r w:rsidR="00F15E3B" w:rsidRPr="00611B44">
        <w:t xml:space="preserve">in our </w:t>
      </w:r>
      <w:r w:rsidR="009D64F6" w:rsidRPr="00611B44">
        <w:t>final</w:t>
      </w:r>
      <w:r w:rsidR="00F15E3B" w:rsidRPr="00611B44">
        <w:t xml:space="preserve"> decision</w:t>
      </w:r>
      <w:r w:rsidRPr="00611B44" w:rsidDel="00EE439B">
        <w:t>.</w:t>
      </w:r>
    </w:p>
    <w:p w14:paraId="7B6A37B9" w14:textId="371F6A3D" w:rsidR="009E44EA" w:rsidRPr="00611B44" w:rsidRDefault="009E44EA" w:rsidP="009E44EA">
      <w:pPr>
        <w:pStyle w:val="Pull-outBullet1"/>
      </w:pPr>
      <w:r w:rsidRPr="00492408">
        <w:t xml:space="preserve">Retail </w:t>
      </w:r>
      <w:r w:rsidRPr="00611B44">
        <w:t>operating costs represent $</w:t>
      </w:r>
      <w:r w:rsidR="007F5141" w:rsidRPr="00611B44">
        <w:t>147</w:t>
      </w:r>
      <w:r w:rsidRPr="00611B44">
        <w:t xml:space="preserve"> </w:t>
      </w:r>
      <w:r w:rsidR="00E860B3" w:rsidRPr="00611B44">
        <w:t xml:space="preserve">(or </w:t>
      </w:r>
      <w:r w:rsidR="00DA1A2D" w:rsidRPr="00611B44">
        <w:t xml:space="preserve">nine </w:t>
      </w:r>
      <w:r w:rsidRPr="00611B44">
        <w:t>per cent</w:t>
      </w:r>
      <w:r w:rsidR="00E860B3" w:rsidRPr="00611B44">
        <w:t>)</w:t>
      </w:r>
      <w:r w:rsidRPr="00611B44">
        <w:t xml:space="preserve"> of the average domestic flat tariff bill and about </w:t>
      </w:r>
      <w:r w:rsidR="00DA1A2D" w:rsidRPr="00611B44">
        <w:t xml:space="preserve">four </w:t>
      </w:r>
      <w:r w:rsidRPr="00611B44">
        <w:t>per cent of the average small business flat tariff bill (averaged across the five distribution zones).</w:t>
      </w:r>
    </w:p>
    <w:p w14:paraId="34E8B2E9" w14:textId="43B5FCAA" w:rsidR="009E44EA" w:rsidRPr="00611B44" w:rsidRDefault="009E44EA" w:rsidP="009E44EA">
      <w:pPr>
        <w:pStyle w:val="Pull-outBullet1"/>
      </w:pPr>
      <w:r w:rsidRPr="00611B44">
        <w:t xml:space="preserve">The retail operating costs in our </w:t>
      </w:r>
      <w:r w:rsidR="009D64F6" w:rsidRPr="00611B44">
        <w:t>final</w:t>
      </w:r>
      <w:r w:rsidRPr="00611B44">
        <w:t xml:space="preserve"> decision are about </w:t>
      </w:r>
      <w:r w:rsidR="009F70EC" w:rsidRPr="00611B44">
        <w:t>five </w:t>
      </w:r>
      <w:r w:rsidRPr="00611B44">
        <w:t xml:space="preserve">per cent higher than the amount included in our 2024–25 Victorian Default Offer determination for both domestic and </w:t>
      </w:r>
      <w:r w:rsidR="004E0E1C" w:rsidRPr="00611B44">
        <w:t>s</w:t>
      </w:r>
      <w:r w:rsidRPr="00611B44">
        <w:t xml:space="preserve">mall </w:t>
      </w:r>
      <w:r w:rsidR="004E0E1C" w:rsidRPr="00611B44">
        <w:t>b</w:t>
      </w:r>
      <w:r w:rsidRPr="00611B44">
        <w:t xml:space="preserve">usiness </w:t>
      </w:r>
      <w:r w:rsidR="00DD2E96" w:rsidRPr="00611B44">
        <w:t>customers</w:t>
      </w:r>
      <w:r w:rsidRPr="00611B44">
        <w:t>.</w:t>
      </w:r>
    </w:p>
    <w:p w14:paraId="5E1B59C4" w14:textId="4E94E31A" w:rsidR="003961EC" w:rsidRPr="003961EC" w:rsidDel="00BA106E" w:rsidRDefault="00132DB8" w:rsidP="003961EC">
      <w:r w:rsidRPr="00F54A19">
        <w:t>The pricing order requires that we have regard to</w:t>
      </w:r>
      <w:r>
        <w:t xml:space="preserve"> </w:t>
      </w:r>
      <w:r w:rsidR="003961EC" w:rsidRPr="00D97F81" w:rsidDel="00BA106E">
        <w:rPr>
          <w:b/>
          <w:bCs/>
        </w:rPr>
        <w:t>retail operating costs</w:t>
      </w:r>
      <w:r w:rsidR="003961EC" w:rsidRPr="003961EC" w:rsidDel="00BA106E">
        <w:t xml:space="preserve"> in </w:t>
      </w:r>
      <w:r w:rsidR="004F2FBC" w:rsidRPr="007A6883">
        <w:t xml:space="preserve">estimating </w:t>
      </w:r>
      <w:r w:rsidR="004F2FBC">
        <w:t xml:space="preserve">the </w:t>
      </w:r>
      <w:r w:rsidR="004F2FBC" w:rsidRPr="007A6883">
        <w:t>efficient costs</w:t>
      </w:r>
      <w:r w:rsidR="004F2FBC">
        <w:t xml:space="preserve"> </w:t>
      </w:r>
      <w:r w:rsidR="004F2FBC" w:rsidRPr="007A6883">
        <w:t>of electricity retailers</w:t>
      </w:r>
      <w:r w:rsidR="003961EC" w:rsidRPr="003961EC">
        <w:t>.</w:t>
      </w:r>
      <w:r w:rsidR="003961EC" w:rsidRPr="003961EC" w:rsidDel="00BA106E">
        <w:rPr>
          <w:rFonts w:ascii="Arial" w:eastAsia="Arial" w:hAnsi="Arial" w:cs="Arial"/>
          <w:vertAlign w:val="superscript"/>
        </w:rPr>
        <w:footnoteReference w:id="90"/>
      </w:r>
    </w:p>
    <w:p w14:paraId="6738FE39" w14:textId="1B86ECCB" w:rsidR="00C509DF" w:rsidRPr="001F2C87" w:rsidRDefault="00C509DF" w:rsidP="00C509DF">
      <w:pPr>
        <w:rPr>
          <w:rFonts w:ascii="Arial" w:eastAsia="Arial" w:hAnsi="Arial" w:cs="Arial"/>
        </w:rPr>
      </w:pPr>
      <w:r w:rsidRPr="001F2C87">
        <w:rPr>
          <w:rFonts w:ascii="Arial" w:eastAsia="Arial" w:hAnsi="Arial" w:cs="Arial"/>
        </w:rPr>
        <w:t xml:space="preserve">Retail operating costs consist of a range of costs incurred by an electricity retailer, </w:t>
      </w:r>
      <w:r w:rsidR="005417DC">
        <w:rPr>
          <w:rFonts w:ascii="Arial" w:eastAsia="Arial" w:hAnsi="Arial" w:cs="Arial"/>
        </w:rPr>
        <w:t>comprising</w:t>
      </w:r>
      <w:r w:rsidRPr="001F2C87">
        <w:rPr>
          <w:rFonts w:ascii="Arial" w:eastAsia="Arial" w:hAnsi="Arial" w:cs="Arial"/>
        </w:rPr>
        <w:t>:</w:t>
      </w:r>
    </w:p>
    <w:p w14:paraId="2CB81BCA" w14:textId="61A3F60D" w:rsidR="00B07E4D" w:rsidRDefault="0048757C" w:rsidP="00F80489">
      <w:pPr>
        <w:pStyle w:val="ListBullet"/>
        <w:numPr>
          <w:ilvl w:val="0"/>
          <w:numId w:val="82"/>
        </w:numPr>
        <w:spacing w:after="0"/>
      </w:pPr>
      <w:r>
        <w:t>c</w:t>
      </w:r>
      <w:r w:rsidR="00B07E4D">
        <w:t>ost to serve</w:t>
      </w:r>
      <w:r w:rsidR="000F251D">
        <w:t>,</w:t>
      </w:r>
      <w:r w:rsidR="00B07E4D">
        <w:t xml:space="preserve"> </w:t>
      </w:r>
      <w:r w:rsidR="004777BC">
        <w:t>including:</w:t>
      </w:r>
    </w:p>
    <w:p w14:paraId="107DB929" w14:textId="60515F0B" w:rsidR="00C509DF" w:rsidRPr="0081623A" w:rsidRDefault="00C509DF" w:rsidP="00B25C43">
      <w:pPr>
        <w:pStyle w:val="ListBullet3"/>
      </w:pPr>
      <w:r w:rsidRPr="0081623A">
        <w:t>billing and revenue collection systems</w:t>
      </w:r>
    </w:p>
    <w:p w14:paraId="191F12C1" w14:textId="61730F4B" w:rsidR="00216ABE" w:rsidRPr="0081623A" w:rsidRDefault="00216ABE" w:rsidP="00B25C43">
      <w:pPr>
        <w:pStyle w:val="ListBullet3"/>
      </w:pPr>
      <w:r w:rsidRPr="0081623A">
        <w:t>related labour cost</w:t>
      </w:r>
    </w:p>
    <w:p w14:paraId="42351550" w14:textId="77777777" w:rsidR="00C509DF" w:rsidRPr="0081623A" w:rsidRDefault="00C509DF" w:rsidP="00B25C43">
      <w:pPr>
        <w:pStyle w:val="ListBullet3"/>
      </w:pPr>
      <w:r w:rsidRPr="0081623A">
        <w:t>information technology systems</w:t>
      </w:r>
    </w:p>
    <w:p w14:paraId="097F797B" w14:textId="77777777" w:rsidR="00C509DF" w:rsidRPr="0081623A" w:rsidRDefault="00C509DF" w:rsidP="00B25C43">
      <w:pPr>
        <w:pStyle w:val="ListBullet3"/>
      </w:pPr>
      <w:r w:rsidRPr="0081623A">
        <w:t>call centre costs</w:t>
      </w:r>
    </w:p>
    <w:p w14:paraId="7A6407DF" w14:textId="77777777" w:rsidR="00C509DF" w:rsidRPr="0081623A" w:rsidRDefault="00C509DF" w:rsidP="00B25C43">
      <w:pPr>
        <w:pStyle w:val="ListBullet3"/>
      </w:pPr>
      <w:r w:rsidRPr="0081623A">
        <w:t>corporate overheads</w:t>
      </w:r>
    </w:p>
    <w:p w14:paraId="0C3CFA57" w14:textId="43EAAD15" w:rsidR="00AC0205" w:rsidRPr="009D2364" w:rsidRDefault="001F789A" w:rsidP="00B25C43">
      <w:pPr>
        <w:pStyle w:val="ListBullet3"/>
      </w:pPr>
      <w:r>
        <w:t>o</w:t>
      </w:r>
      <w:r w:rsidRPr="009D2364">
        <w:t>ther</w:t>
      </w:r>
      <w:r w:rsidR="00AC0205" w:rsidRPr="009D2364">
        <w:t xml:space="preserve"> costs</w:t>
      </w:r>
      <w:r w:rsidR="00075808" w:rsidRPr="009D2364">
        <w:t xml:space="preserve"> (general </w:t>
      </w:r>
      <w:r>
        <w:t>and</w:t>
      </w:r>
      <w:r w:rsidRPr="009D2364">
        <w:t xml:space="preserve"> </w:t>
      </w:r>
      <w:r w:rsidR="00075808" w:rsidRPr="009D2364">
        <w:t xml:space="preserve">administrative, </w:t>
      </w:r>
      <w:r w:rsidR="00120739" w:rsidRPr="009D2364">
        <w:t xml:space="preserve">corporate </w:t>
      </w:r>
      <w:r w:rsidR="00075808" w:rsidRPr="009D2364">
        <w:t>overhead</w:t>
      </w:r>
      <w:r w:rsidR="000A4D44" w:rsidRPr="009D2364">
        <w:t xml:space="preserve">, </w:t>
      </w:r>
      <w:r>
        <w:t>and</w:t>
      </w:r>
      <w:r w:rsidRPr="009D2364">
        <w:t xml:space="preserve"> </w:t>
      </w:r>
      <w:r w:rsidR="008A053E" w:rsidRPr="009D2364">
        <w:t xml:space="preserve">other </w:t>
      </w:r>
      <w:r w:rsidR="00C03025" w:rsidRPr="009D2364">
        <w:t xml:space="preserve">miscellaneous </w:t>
      </w:r>
      <w:r w:rsidR="008A053E" w:rsidRPr="009D2364">
        <w:t xml:space="preserve">costs related to </w:t>
      </w:r>
      <w:r w:rsidR="0038243B" w:rsidRPr="009D2364">
        <w:t>cost to serve</w:t>
      </w:r>
      <w:r w:rsidR="00B13239" w:rsidRPr="009D2364">
        <w:t>)</w:t>
      </w:r>
      <w:r w:rsidR="00637F68">
        <w:rPr>
          <w:rStyle w:val="FootnoteReference"/>
        </w:rPr>
        <w:footnoteReference w:id="91"/>
      </w:r>
    </w:p>
    <w:p w14:paraId="07FE9F86" w14:textId="6A233832" w:rsidR="00C509DF" w:rsidRPr="001F2C87" w:rsidRDefault="0048757C" w:rsidP="00F80489">
      <w:pPr>
        <w:pStyle w:val="ListBullet"/>
        <w:numPr>
          <w:ilvl w:val="0"/>
          <w:numId w:val="63"/>
        </w:numPr>
      </w:pPr>
      <w:r>
        <w:t>b</w:t>
      </w:r>
      <w:r w:rsidR="00C509DF" w:rsidRPr="001F2C87">
        <w:t>ad and doubtful debt write-offs</w:t>
      </w:r>
      <w:r w:rsidR="009A26A9">
        <w:t>.</w:t>
      </w:r>
    </w:p>
    <w:p w14:paraId="7D65EBA6" w14:textId="2DC8BEA3" w:rsidR="00352072" w:rsidRDefault="00352072" w:rsidP="006F44FF">
      <w:pPr>
        <w:pStyle w:val="Heading3"/>
      </w:pPr>
      <w:r>
        <w:t>I</w:t>
      </w:r>
      <w:r w:rsidRPr="00064BF4">
        <w:t xml:space="preserve">n response to submissions questioning the </w:t>
      </w:r>
      <w:r w:rsidR="00211FD3">
        <w:t xml:space="preserve">detailed </w:t>
      </w:r>
      <w:r w:rsidRPr="00064BF4">
        <w:t>cost components, we provide</w:t>
      </w:r>
      <w:r w:rsidR="0079447F">
        <w:t>d</w:t>
      </w:r>
      <w:r w:rsidRPr="00064BF4">
        <w:t xml:space="preserve"> some additional </w:t>
      </w:r>
      <w:r w:rsidR="00C51536">
        <w:t xml:space="preserve">cost </w:t>
      </w:r>
      <w:r w:rsidR="00A13097">
        <w:t>break</w:t>
      </w:r>
      <w:r w:rsidR="004B145E">
        <w:t>down</w:t>
      </w:r>
      <w:r w:rsidR="00CC3033">
        <w:t xml:space="preserve"> </w:t>
      </w:r>
    </w:p>
    <w:p w14:paraId="3B9513A1" w14:textId="3315EBFC" w:rsidR="009006D5" w:rsidRDefault="009006D5" w:rsidP="006C5495">
      <w:r>
        <w:rPr>
          <w:rFonts w:ascii="Arial" w:eastAsia="Arial" w:hAnsi="Arial" w:cs="Arial"/>
        </w:rPr>
        <w:t>This year, w</w:t>
      </w:r>
      <w:r w:rsidRPr="001070A1">
        <w:rPr>
          <w:rFonts w:ascii="Arial" w:eastAsia="Arial" w:hAnsi="Arial" w:cs="Arial"/>
        </w:rPr>
        <w:t xml:space="preserve">e have taken </w:t>
      </w:r>
      <w:r>
        <w:rPr>
          <w:rFonts w:ascii="Arial" w:eastAsia="Arial" w:hAnsi="Arial" w:cs="Arial"/>
        </w:rPr>
        <w:t>additional</w:t>
      </w:r>
      <w:r w:rsidRPr="001070A1">
        <w:rPr>
          <w:rFonts w:ascii="Arial" w:eastAsia="Arial" w:hAnsi="Arial" w:cs="Arial"/>
        </w:rPr>
        <w:t xml:space="preserve"> steps</w:t>
      </w:r>
      <w:r>
        <w:rPr>
          <w:rFonts w:ascii="Arial" w:eastAsia="Arial" w:hAnsi="Arial" w:cs="Arial"/>
        </w:rPr>
        <w:t xml:space="preserve"> at the time of collecting and analysing retail cost</w:t>
      </w:r>
      <w:r w:rsidR="00FA64B1">
        <w:rPr>
          <w:rFonts w:ascii="Arial" w:eastAsia="Arial" w:hAnsi="Arial" w:cs="Arial"/>
        </w:rPr>
        <w:t>s</w:t>
      </w:r>
      <w:r w:rsidRPr="001070A1">
        <w:rPr>
          <w:rFonts w:ascii="Arial" w:eastAsia="Arial" w:hAnsi="Arial" w:cs="Arial"/>
        </w:rPr>
        <w:t xml:space="preserve"> to improve the transparency and accuracy of our retail operating cost calculations for the Victorian Default Offer.</w:t>
      </w:r>
      <w:r>
        <w:rPr>
          <w:rFonts w:ascii="Arial" w:eastAsia="Arial" w:hAnsi="Arial" w:cs="Arial"/>
        </w:rPr>
        <w:t xml:space="preserve"> As part of</w:t>
      </w:r>
      <w:r w:rsidRPr="06D6AAA5">
        <w:rPr>
          <w:rFonts w:ascii="Arial" w:eastAsia="Arial" w:hAnsi="Arial" w:cs="Arial"/>
        </w:rPr>
        <w:t xml:space="preserve"> our </w:t>
      </w:r>
      <w:r>
        <w:rPr>
          <w:rFonts w:ascii="Arial" w:eastAsia="Arial" w:hAnsi="Arial" w:cs="Arial"/>
        </w:rPr>
        <w:t>process</w:t>
      </w:r>
      <w:r w:rsidRPr="06D6AAA5">
        <w:rPr>
          <w:rFonts w:ascii="Arial" w:eastAsia="Arial" w:hAnsi="Arial" w:cs="Arial"/>
        </w:rPr>
        <w:t xml:space="preserve">, </w:t>
      </w:r>
      <w:r w:rsidRPr="06D6AAA5">
        <w:rPr>
          <w:rFonts w:ascii="Arial" w:hAnsi="Arial" w:cs="Arial"/>
          <w:color w:val="000000" w:themeColor="text1"/>
        </w:rPr>
        <w:t>we collected retail operating cost</w:t>
      </w:r>
      <w:r>
        <w:rPr>
          <w:rFonts w:ascii="Arial" w:hAnsi="Arial" w:cs="Arial"/>
          <w:color w:val="000000" w:themeColor="text1"/>
        </w:rPr>
        <w:t>s</w:t>
      </w:r>
      <w:r w:rsidRPr="06D6AAA5">
        <w:rPr>
          <w:rFonts w:ascii="Arial" w:hAnsi="Arial" w:cs="Arial"/>
          <w:color w:val="000000" w:themeColor="text1"/>
        </w:rPr>
        <w:t xml:space="preserve"> data </w:t>
      </w:r>
      <w:r>
        <w:rPr>
          <w:rFonts w:ascii="Arial" w:hAnsi="Arial" w:cs="Arial"/>
          <w:color w:val="000000" w:themeColor="text1"/>
        </w:rPr>
        <w:t xml:space="preserve">for </w:t>
      </w:r>
      <w:r w:rsidRPr="06D6AAA5">
        <w:rPr>
          <w:rFonts w:ascii="Arial" w:hAnsi="Arial" w:cs="Arial"/>
          <w:color w:val="000000" w:themeColor="text1"/>
        </w:rPr>
        <w:t>the most recent financial years (2023–24)</w:t>
      </w:r>
      <w:r>
        <w:rPr>
          <w:rFonts w:ascii="Arial" w:hAnsi="Arial" w:cs="Arial"/>
          <w:color w:val="000000" w:themeColor="text1"/>
        </w:rPr>
        <w:t xml:space="preserve"> </w:t>
      </w:r>
      <w:r w:rsidRPr="06D6AAA5">
        <w:rPr>
          <w:rFonts w:ascii="Arial" w:hAnsi="Arial" w:cs="Arial"/>
          <w:color w:val="000000" w:themeColor="text1"/>
        </w:rPr>
        <w:t>from electricity retailers</w:t>
      </w:r>
      <w:r>
        <w:rPr>
          <w:rFonts w:ascii="Arial" w:hAnsi="Arial" w:cs="Arial"/>
          <w:color w:val="000000" w:themeColor="text1"/>
        </w:rPr>
        <w:t xml:space="preserve">. </w:t>
      </w:r>
      <w:r w:rsidRPr="002669C9">
        <w:t xml:space="preserve">The retailers that provided data collectively </w:t>
      </w:r>
      <w:r w:rsidRPr="002669C9">
        <w:lastRenderedPageBreak/>
        <w:t xml:space="preserve">represent over 95 per cent of Victoria’s domestic and small business electricity market. We analysed the data, identified outliers, and followed up with retailers to better understand the underlying cost drivers and emerging trends across the sector. </w:t>
      </w:r>
    </w:p>
    <w:p w14:paraId="1242429C" w14:textId="305A454B" w:rsidR="004B44FC" w:rsidRPr="00315475" w:rsidRDefault="004B44FC" w:rsidP="00F10D61">
      <w:pPr>
        <w:rPr>
          <w:color w:val="4986A0" w:themeColor="accent3"/>
          <w:u w:val="single"/>
        </w:rPr>
      </w:pPr>
      <w:r w:rsidRPr="002669C9">
        <w:t>To improve transparency, accuracy and avoid double counting</w:t>
      </w:r>
      <w:r>
        <w:t>,</w:t>
      </w:r>
      <w:r w:rsidRPr="002669C9">
        <w:t xml:space="preserve"> </w:t>
      </w:r>
      <w:r w:rsidRPr="009D2364">
        <w:t>we sought clarification on cost items where multiple costs were combined under aggregated categories (</w:t>
      </w:r>
      <w:r>
        <w:t xml:space="preserve">for </w:t>
      </w:r>
      <w:r w:rsidRPr="009D2364">
        <w:t xml:space="preserve">example </w:t>
      </w:r>
      <w:r>
        <w:t>‘O</w:t>
      </w:r>
      <w:r w:rsidRPr="009D2364">
        <w:t>ther cost</w:t>
      </w:r>
      <w:r>
        <w:t>s</w:t>
      </w:r>
      <w:r w:rsidR="001E0CAA">
        <w:t>’</w:t>
      </w:r>
      <w:r w:rsidRPr="009D2364">
        <w:t>). These components were subsequently reallocated to the appropriate cost categories such as</w:t>
      </w:r>
      <w:r w:rsidRPr="009D2364" w:rsidDel="009A5D37">
        <w:t xml:space="preserve"> </w:t>
      </w:r>
      <w:r w:rsidRPr="009D2364">
        <w:t xml:space="preserve">wholesale, environmental, </w:t>
      </w:r>
      <w:r>
        <w:t>and</w:t>
      </w:r>
      <w:r w:rsidRPr="009D2364" w:rsidDel="009A5D37">
        <w:t xml:space="preserve"> cost </w:t>
      </w:r>
      <w:r w:rsidRPr="009D2364">
        <w:t>to serve</w:t>
      </w:r>
      <w:r>
        <w:t xml:space="preserve">. In addition, </w:t>
      </w:r>
      <w:r w:rsidRPr="009D2364">
        <w:t>we ensured that ‘Other costs’ d</w:t>
      </w:r>
      <w:r>
        <w:t>id</w:t>
      </w:r>
      <w:r w:rsidRPr="009D2364">
        <w:t xml:space="preserve"> not include cost components that have been captured separately in the cost stack</w:t>
      </w:r>
      <w:r>
        <w:t xml:space="preserve"> (</w:t>
      </w:r>
      <w:r w:rsidRPr="009D2364">
        <w:t>see</w:t>
      </w:r>
      <w:r>
        <w:t xml:space="preserve"> </w:t>
      </w:r>
      <w:r w:rsidR="00E767D2" w:rsidRPr="00E767D2">
        <w:rPr>
          <w:color w:val="4986A0" w:themeColor="text2"/>
          <w:u w:val="single"/>
        </w:rPr>
        <w:fldChar w:fldCharType="begin"/>
      </w:r>
      <w:r w:rsidR="00E767D2" w:rsidRPr="00E767D2">
        <w:rPr>
          <w:color w:val="4986A0" w:themeColor="text2"/>
          <w:u w:val="single"/>
        </w:rPr>
        <w:instrText xml:space="preserve"> REF _Ref198640846 \h  \* MERGEFORMAT </w:instrText>
      </w:r>
      <w:r w:rsidR="00E767D2" w:rsidRPr="00E767D2">
        <w:rPr>
          <w:color w:val="4986A0" w:themeColor="text2"/>
          <w:u w:val="single"/>
        </w:rPr>
      </w:r>
      <w:r w:rsidR="00E767D2" w:rsidRPr="00E767D2">
        <w:rPr>
          <w:color w:val="4986A0" w:themeColor="text2"/>
          <w:u w:val="single"/>
        </w:rPr>
        <w:fldChar w:fldCharType="separate"/>
      </w:r>
      <w:r w:rsidR="003E1323" w:rsidRPr="003E1323">
        <w:rPr>
          <w:color w:val="4986A0" w:themeColor="text2"/>
          <w:u w:val="single"/>
        </w:rPr>
        <w:t>Other costs</w:t>
      </w:r>
      <w:r w:rsidR="00E767D2" w:rsidRPr="00E767D2">
        <w:rPr>
          <w:color w:val="4986A0" w:themeColor="text2"/>
          <w:u w:val="single"/>
        </w:rPr>
        <w:fldChar w:fldCharType="end"/>
      </w:r>
      <w:r w:rsidRPr="004C2417">
        <w:t>)</w:t>
      </w:r>
      <w:r w:rsidRPr="00471E8D">
        <w:t>.</w:t>
      </w:r>
    </w:p>
    <w:p w14:paraId="4E2E4180" w14:textId="5F63FFAB" w:rsidR="00A52D81" w:rsidRPr="009D2364" w:rsidRDefault="63EBBF95" w:rsidP="00C6733E">
      <w:r w:rsidRPr="009D2364">
        <w:t xml:space="preserve">As the pricing order requires us to consider efficient costs, this process </w:t>
      </w:r>
      <w:r w:rsidR="00314495">
        <w:t>enabled</w:t>
      </w:r>
      <w:r w:rsidR="004862AC">
        <w:t xml:space="preserve"> us to exclude in</w:t>
      </w:r>
      <w:r w:rsidR="7C2DD7E9" w:rsidRPr="009D2364">
        <w:t xml:space="preserve">efficient and one-off </w:t>
      </w:r>
      <w:r w:rsidR="0065067B">
        <w:t xml:space="preserve">costs </w:t>
      </w:r>
      <w:r w:rsidR="7C2DD7E9" w:rsidRPr="009D2364">
        <w:t>from our calculation.</w:t>
      </w:r>
    </w:p>
    <w:p w14:paraId="6101F196" w14:textId="10B4EDC2" w:rsidR="00A52D81" w:rsidRPr="005B687D" w:rsidRDefault="00A52D81" w:rsidP="005B687D">
      <w:pPr>
        <w:rPr>
          <w:rFonts w:eastAsia="Arial"/>
        </w:rPr>
      </w:pPr>
      <w:r w:rsidRPr="004E58DA">
        <w:t xml:space="preserve">Based on this data, we calculated a single retail operating cost benchmark </w:t>
      </w:r>
      <w:r w:rsidR="001309B5">
        <w:t>appli</w:t>
      </w:r>
      <w:r w:rsidR="00794F53">
        <w:t xml:space="preserve">cable to </w:t>
      </w:r>
      <w:r w:rsidRPr="004E58DA">
        <w:t xml:space="preserve">both customer segments by determining the customer-weighted average of retailers’ actual reported costs adjusted for the difference in </w:t>
      </w:r>
      <w:r w:rsidR="000344CA">
        <w:t>the</w:t>
      </w:r>
      <w:r w:rsidRPr="004E58DA">
        <w:t xml:space="preserve"> Consumer Pricing Index (CPI).</w:t>
      </w:r>
    </w:p>
    <w:p w14:paraId="7D53FD8A" w14:textId="53FC8628" w:rsidR="00A52D81" w:rsidRDefault="00A52D81" w:rsidP="00A03E91">
      <w:pPr>
        <w:rPr>
          <w:rFonts w:ascii="Arial" w:eastAsia="Arial" w:hAnsi="Arial" w:cs="Arial"/>
        </w:rPr>
      </w:pPr>
      <w:r w:rsidRPr="00603A25">
        <w:rPr>
          <w:rFonts w:ascii="Arial" w:hAnsi="Arial" w:cs="Arial"/>
          <w:color w:val="000000"/>
        </w:rPr>
        <w:t>The customer</w:t>
      </w:r>
      <w:r w:rsidR="00171BE5" w:rsidRPr="00603A25">
        <w:rPr>
          <w:rFonts w:ascii="Arial" w:hAnsi="Arial" w:cs="Arial"/>
          <w:color w:val="000000"/>
        </w:rPr>
        <w:t>-</w:t>
      </w:r>
      <w:r w:rsidRPr="00603A25">
        <w:rPr>
          <w:rFonts w:ascii="Arial" w:hAnsi="Arial" w:cs="Arial"/>
          <w:color w:val="000000"/>
        </w:rPr>
        <w:t xml:space="preserve">weighted average of retail operating costs per customer in 2023–24 </w:t>
      </w:r>
      <w:r w:rsidR="00C02DD1" w:rsidRPr="00603A25">
        <w:rPr>
          <w:rFonts w:ascii="Arial" w:hAnsi="Arial" w:cs="Arial"/>
          <w:color w:val="000000"/>
        </w:rPr>
        <w:t>was</w:t>
      </w:r>
      <w:r w:rsidRPr="00603A25">
        <w:rPr>
          <w:rFonts w:ascii="Arial" w:hAnsi="Arial" w:cs="Arial"/>
          <w:color w:val="000000"/>
        </w:rPr>
        <w:t xml:space="preserve"> $</w:t>
      </w:r>
      <w:r w:rsidR="003D385B" w:rsidRPr="00603A25">
        <w:rPr>
          <w:rFonts w:ascii="Arial" w:hAnsi="Arial" w:cs="Arial"/>
          <w:color w:val="000000"/>
        </w:rPr>
        <w:t>145</w:t>
      </w:r>
      <w:r w:rsidRPr="00603A25">
        <w:rPr>
          <w:rFonts w:ascii="Arial" w:hAnsi="Arial" w:cs="Arial"/>
          <w:color w:val="000000"/>
        </w:rPr>
        <w:t xml:space="preserve"> excluding GST before CPI adjustment.</w:t>
      </w:r>
      <w:r w:rsidRPr="00603A25">
        <w:rPr>
          <w:rStyle w:val="FootnoteReference"/>
          <w:rFonts w:ascii="Arial" w:hAnsi="Arial" w:cs="Arial"/>
          <w:color w:val="000000"/>
        </w:rPr>
        <w:footnoteReference w:id="92"/>
      </w:r>
      <w:r w:rsidRPr="00603A25">
        <w:rPr>
          <w:rFonts w:ascii="Arial" w:hAnsi="Arial" w:cs="Arial"/>
          <w:color w:val="000000"/>
        </w:rPr>
        <w:t xml:space="preserve"> </w:t>
      </w:r>
      <w:r w:rsidRPr="00603A25">
        <w:t xml:space="preserve">Consistent with the approach </w:t>
      </w:r>
      <w:r w:rsidR="00C32564" w:rsidRPr="00603A25">
        <w:t xml:space="preserve">used </w:t>
      </w:r>
      <w:r w:rsidRPr="00603A25">
        <w:t>in previous</w:t>
      </w:r>
      <w:r w:rsidRPr="00E85CDC">
        <w:t xml:space="preserve"> reviews, w</w:t>
      </w:r>
      <w:r w:rsidR="00292BF0" w:rsidRPr="00E85CDC">
        <w:t>e</w:t>
      </w:r>
      <w:r w:rsidR="006621F1" w:rsidRPr="00E85CDC">
        <w:t xml:space="preserve"> applied a CPI adjustment, resulting in a final retail operating cost benchmark of $</w:t>
      </w:r>
      <w:r w:rsidR="0049397F" w:rsidRPr="00E85CDC">
        <w:t>147</w:t>
      </w:r>
      <w:r w:rsidR="006621F1" w:rsidRPr="00E85CDC">
        <w:t xml:space="preserve"> excluding GST, for the 2025–26 Victorian Default Offer</w:t>
      </w:r>
      <w:r w:rsidRPr="00E85CDC">
        <w:t>.</w:t>
      </w:r>
      <w:r w:rsidRPr="00E85CDC">
        <w:rPr>
          <w:rStyle w:val="FootnoteReference"/>
        </w:rPr>
        <w:footnoteReference w:id="93"/>
      </w:r>
      <w:r w:rsidRPr="00E85CDC">
        <w:t xml:space="preserve"> </w:t>
      </w:r>
      <w:r w:rsidRPr="00E85CDC">
        <w:rPr>
          <w:rStyle w:val="FootnoteReference"/>
        </w:rPr>
        <w:footnoteReference w:id="94"/>
      </w:r>
    </w:p>
    <w:p w14:paraId="0D778270" w14:textId="59A31A94" w:rsidR="00A52D81" w:rsidRPr="00C00742" w:rsidRDefault="00E22A30" w:rsidP="00A03E91">
      <w:pPr>
        <w:rPr>
          <w:rFonts w:ascii="Arial" w:eastAsia="Arial" w:hAnsi="Arial" w:cs="Arial"/>
        </w:rPr>
      </w:pPr>
      <w:r w:rsidRPr="00C00742">
        <w:t>We acknowledge that i</w:t>
      </w:r>
      <w:r w:rsidR="00A52D81" w:rsidRPr="00C00742">
        <w:t xml:space="preserve">ndividual retailers may </w:t>
      </w:r>
      <w:r w:rsidRPr="00C00742">
        <w:t xml:space="preserve">incur </w:t>
      </w:r>
      <w:r w:rsidR="00A52D81" w:rsidRPr="00C00742">
        <w:t xml:space="preserve">operating costs that differ from our benchmark. However, we do not set the benchmark for </w:t>
      </w:r>
      <w:r w:rsidR="00F92924">
        <w:t>each</w:t>
      </w:r>
      <w:r w:rsidR="00A52D81" w:rsidRPr="00C00742" w:rsidDel="00F92924">
        <w:t xml:space="preserve"> </w:t>
      </w:r>
      <w:r w:rsidR="00A52D81" w:rsidRPr="00C00742">
        <w:t>individual retailer, or industry segments. Instead, we consider</w:t>
      </w:r>
      <w:r w:rsidR="003A7001">
        <w:t xml:space="preserve"> </w:t>
      </w:r>
      <w:r w:rsidR="00A52D81" w:rsidRPr="00C00742">
        <w:t>the costs faced by an efficient retailer when setting this benchmark</w:t>
      </w:r>
      <w:r w:rsidR="00A1462A">
        <w:t>,</w:t>
      </w:r>
      <w:r w:rsidR="003D6D5E">
        <w:t xml:space="preserve"> which is best represented by a </w:t>
      </w:r>
      <w:r w:rsidR="003B6B6E">
        <w:t>customer</w:t>
      </w:r>
      <w:r w:rsidR="0032737B">
        <w:t>-</w:t>
      </w:r>
      <w:r w:rsidR="003D6D5E">
        <w:t xml:space="preserve">weighted average </w:t>
      </w:r>
      <w:r w:rsidR="003B6B6E">
        <w:t>approach</w:t>
      </w:r>
      <w:r w:rsidR="00A52D81" w:rsidRPr="00C00742">
        <w:t>.</w:t>
      </w:r>
    </w:p>
    <w:p w14:paraId="3CD3B078" w14:textId="77777777" w:rsidR="00A52D81" w:rsidRDefault="00A52D81" w:rsidP="00E97050">
      <w:r w:rsidRPr="00C00742">
        <w:t>The data collected reflects the most up-to-date cost information available. Basing our benchmark on the customer-weighted average of retailers’ actual costs will ensure that our price determination allows retailers to recover the efficient costs associated with providing electricity to Victorian Default Offer customers.</w:t>
      </w:r>
    </w:p>
    <w:p w14:paraId="6E5619FF" w14:textId="1C6AD027" w:rsidR="00951E7B" w:rsidRPr="0091314D" w:rsidRDefault="00951E7B" w:rsidP="007C13E5">
      <w:pPr>
        <w:pStyle w:val="Heading4"/>
      </w:pPr>
      <w:r w:rsidRPr="0091314D">
        <w:rPr>
          <w:bCs/>
        </w:rPr>
        <w:t>Submission</w:t>
      </w:r>
      <w:r w:rsidR="00741262" w:rsidRPr="0091314D">
        <w:rPr>
          <w:bCs/>
        </w:rPr>
        <w:t>s</w:t>
      </w:r>
      <w:r w:rsidRPr="0091314D">
        <w:t xml:space="preserve"> on </w:t>
      </w:r>
      <w:r w:rsidR="00E12E4B">
        <w:t xml:space="preserve">the </w:t>
      </w:r>
      <w:r w:rsidR="00EC700E" w:rsidRPr="0091314D">
        <w:t>2025</w:t>
      </w:r>
      <w:r w:rsidR="00047536">
        <w:t>–</w:t>
      </w:r>
      <w:r w:rsidR="00EC700E" w:rsidRPr="0091314D">
        <w:t xml:space="preserve">26 </w:t>
      </w:r>
      <w:r w:rsidRPr="0091314D">
        <w:t xml:space="preserve">draft decision </w:t>
      </w:r>
      <w:r w:rsidR="00A34CA3" w:rsidRPr="0091314D">
        <w:rPr>
          <w:bCs/>
        </w:rPr>
        <w:t xml:space="preserve">mainly </w:t>
      </w:r>
      <w:r w:rsidR="00387697" w:rsidRPr="0091314D">
        <w:rPr>
          <w:bCs/>
        </w:rPr>
        <w:t xml:space="preserve">supported our </w:t>
      </w:r>
      <w:r w:rsidR="00A34CA3" w:rsidRPr="0091314D">
        <w:rPr>
          <w:bCs/>
        </w:rPr>
        <w:t xml:space="preserve">approach </w:t>
      </w:r>
      <w:r w:rsidR="00CB7E38">
        <w:rPr>
          <w:bCs/>
        </w:rPr>
        <w:t xml:space="preserve">to continue with a uniform retail operating cost benchmark </w:t>
      </w:r>
      <w:r w:rsidR="0023160E" w:rsidRPr="0091314D">
        <w:rPr>
          <w:bCs/>
        </w:rPr>
        <w:t xml:space="preserve">but </w:t>
      </w:r>
      <w:r w:rsidR="00551757" w:rsidRPr="0091314D">
        <w:rPr>
          <w:bCs/>
        </w:rPr>
        <w:t>ask</w:t>
      </w:r>
      <w:r w:rsidR="0023160E" w:rsidRPr="0091314D">
        <w:rPr>
          <w:bCs/>
        </w:rPr>
        <w:t>ed</w:t>
      </w:r>
      <w:r w:rsidR="00551757" w:rsidRPr="0091314D">
        <w:t xml:space="preserve"> </w:t>
      </w:r>
      <w:r w:rsidR="00E14D72" w:rsidRPr="0091314D">
        <w:t>fo</w:t>
      </w:r>
      <w:r w:rsidR="00551757" w:rsidRPr="0091314D">
        <w:t xml:space="preserve">r </w:t>
      </w:r>
      <w:r w:rsidR="00B57AFE">
        <w:t>more transparency</w:t>
      </w:r>
      <w:r w:rsidR="0095092C">
        <w:t xml:space="preserve"> </w:t>
      </w:r>
    </w:p>
    <w:p w14:paraId="73994AA9" w14:textId="4BC97045" w:rsidR="00EA0A2C" w:rsidRPr="00892F00" w:rsidRDefault="00EA0A2C" w:rsidP="00D215E1">
      <w:r w:rsidRPr="00892F00">
        <w:t>We</w:t>
      </w:r>
      <w:r w:rsidRPr="00892F00" w:rsidDel="00F92924">
        <w:t xml:space="preserve"> </w:t>
      </w:r>
      <w:r w:rsidRPr="00892F00">
        <w:t xml:space="preserve">received </w:t>
      </w:r>
      <w:r w:rsidR="008D4640" w:rsidRPr="00892F00">
        <w:t>eight</w:t>
      </w:r>
      <w:r w:rsidRPr="00892F00">
        <w:t xml:space="preserve"> submissions on </w:t>
      </w:r>
      <w:r w:rsidR="008F1684">
        <w:t>the</w:t>
      </w:r>
      <w:r w:rsidR="00934040">
        <w:t xml:space="preserve"> </w:t>
      </w:r>
      <w:r w:rsidRPr="002A0463">
        <w:t>V</w:t>
      </w:r>
      <w:r w:rsidR="00920FB7" w:rsidRPr="002A0463">
        <w:t>ictorian Default Offer</w:t>
      </w:r>
      <w:r w:rsidR="000B62C8" w:rsidRPr="002A0463">
        <w:t>:</w:t>
      </w:r>
      <w:r w:rsidRPr="002A0463">
        <w:t xml:space="preserve"> </w:t>
      </w:r>
      <w:r w:rsidR="00934040" w:rsidRPr="002A0463">
        <w:t>D</w:t>
      </w:r>
      <w:r w:rsidRPr="002A0463">
        <w:t xml:space="preserve">raft </w:t>
      </w:r>
      <w:r w:rsidR="00934040" w:rsidRPr="002A0463">
        <w:t>D</w:t>
      </w:r>
      <w:r w:rsidRPr="002A0463">
        <w:t xml:space="preserve">ecision </w:t>
      </w:r>
      <w:r w:rsidR="00934040" w:rsidRPr="002A0463">
        <w:t>P</w:t>
      </w:r>
      <w:r w:rsidRPr="002A0463">
        <w:t xml:space="preserve">aper </w:t>
      </w:r>
      <w:r w:rsidR="000B62C8" w:rsidRPr="002A0463">
        <w:t xml:space="preserve">2025–26 </w:t>
      </w:r>
      <w:r w:rsidRPr="00892F00">
        <w:t xml:space="preserve">on </w:t>
      </w:r>
      <w:r w:rsidR="00D72C98" w:rsidRPr="00892F00">
        <w:t>r</w:t>
      </w:r>
      <w:r w:rsidRPr="00892F00">
        <w:t xml:space="preserve">etail </w:t>
      </w:r>
      <w:r w:rsidR="00D72C98" w:rsidRPr="00892F00">
        <w:t>o</w:t>
      </w:r>
      <w:r w:rsidRPr="00892F00">
        <w:t xml:space="preserve">perating </w:t>
      </w:r>
      <w:r w:rsidR="00D72C98" w:rsidRPr="00892F00">
        <w:t>c</w:t>
      </w:r>
      <w:r w:rsidRPr="00892F00">
        <w:t xml:space="preserve">ost. </w:t>
      </w:r>
      <w:r w:rsidR="00EA6016" w:rsidRPr="00892F00">
        <w:t>Five</w:t>
      </w:r>
      <w:r w:rsidRPr="00892F00">
        <w:t xml:space="preserve"> </w:t>
      </w:r>
      <w:r w:rsidR="002F0E17">
        <w:t>submissions</w:t>
      </w:r>
      <w:r w:rsidRPr="00892F00">
        <w:t xml:space="preserve"> </w:t>
      </w:r>
      <w:r w:rsidR="00F92924">
        <w:t>were</w:t>
      </w:r>
      <w:r w:rsidR="00F92924" w:rsidRPr="00892F00">
        <w:t xml:space="preserve"> </w:t>
      </w:r>
      <w:r w:rsidRPr="00892F00">
        <w:t xml:space="preserve">from retailers, two </w:t>
      </w:r>
      <w:r w:rsidR="003A1500">
        <w:t>submissions were</w:t>
      </w:r>
      <w:r w:rsidRPr="00892F00">
        <w:t xml:space="preserve"> from consumer advocate groups and one from </w:t>
      </w:r>
      <w:r w:rsidR="008F1684">
        <w:t xml:space="preserve">a </w:t>
      </w:r>
      <w:r w:rsidRPr="00892F00">
        <w:t xml:space="preserve">peak industry body. </w:t>
      </w:r>
    </w:p>
    <w:p w14:paraId="5AD21CB8" w14:textId="48B37F00" w:rsidR="00EA0A2C" w:rsidRPr="00892F00" w:rsidRDefault="008E742A" w:rsidP="008A3BC8">
      <w:r w:rsidRPr="004C2417">
        <w:lastRenderedPageBreak/>
        <w:t xml:space="preserve">The </w:t>
      </w:r>
      <w:r w:rsidR="00EA0A2C" w:rsidRPr="00892F00">
        <w:t xml:space="preserve">Consumer Action Law Centre </w:t>
      </w:r>
      <w:r w:rsidR="00EA0A2C" w:rsidRPr="004C2417">
        <w:t>support</w:t>
      </w:r>
      <w:r w:rsidRPr="004C2417">
        <w:t>ed</w:t>
      </w:r>
      <w:r w:rsidR="00EA0A2C" w:rsidRPr="00892F00">
        <w:t xml:space="preserve"> the</w:t>
      </w:r>
      <w:r w:rsidR="00EA0A2C" w:rsidRPr="00892F00" w:rsidDel="009D17DA">
        <w:t xml:space="preserve"> </w:t>
      </w:r>
      <w:r w:rsidR="009D17DA" w:rsidRPr="00892F00">
        <w:t>comm</w:t>
      </w:r>
      <w:r w:rsidR="001B64FC" w:rsidRPr="00892F00">
        <w:t>ission</w:t>
      </w:r>
      <w:r w:rsidR="00685B39">
        <w:t>’</w:t>
      </w:r>
      <w:r w:rsidR="001B64FC" w:rsidRPr="00892F00">
        <w:t>s</w:t>
      </w:r>
      <w:r w:rsidR="00EA0A2C" w:rsidRPr="00892F00">
        <w:t xml:space="preserve"> continued scrutiny of retailer-reported costs, including the use of customer-weighted benchmarking and comparisons with regulatory benchmarks from other jurisdictions. </w:t>
      </w:r>
      <w:r w:rsidR="00943506">
        <w:t>I</w:t>
      </w:r>
      <w:r w:rsidR="00F92924">
        <w:t>t</w:t>
      </w:r>
      <w:r w:rsidR="00EA0A2C" w:rsidRPr="00892F00">
        <w:t xml:space="preserve"> emphasise</w:t>
      </w:r>
      <w:r w:rsidR="00F92924">
        <w:t>d</w:t>
      </w:r>
      <w:r w:rsidR="00EA0A2C" w:rsidRPr="00892F00">
        <w:t xml:space="preserve"> that any cost increases must be clearly justified, reflect the actual cost to serve, and avoid the risk of cost </w:t>
      </w:r>
      <w:r w:rsidR="00F67CAD">
        <w:t xml:space="preserve">over </w:t>
      </w:r>
      <w:r w:rsidR="00EA0A2C" w:rsidRPr="00892F00">
        <w:t xml:space="preserve">recovery. </w:t>
      </w:r>
      <w:r w:rsidR="006959D6">
        <w:t>It</w:t>
      </w:r>
      <w:r w:rsidR="00A505DD" w:rsidRPr="00892F00">
        <w:t xml:space="preserve"> also</w:t>
      </w:r>
      <w:r w:rsidR="00EA0A2C" w:rsidRPr="00892F00">
        <w:t xml:space="preserve"> advocate</w:t>
      </w:r>
      <w:r w:rsidR="00F92924">
        <w:t>d</w:t>
      </w:r>
      <w:r w:rsidR="00EA0A2C" w:rsidRPr="00892F00">
        <w:t xml:space="preserve"> for greater transparency in the collection of key retail operating cost components</w:t>
      </w:r>
      <w:r w:rsidR="007C316B">
        <w:t xml:space="preserve"> – </w:t>
      </w:r>
      <w:r w:rsidR="00EA0A2C" w:rsidRPr="00892F00">
        <w:t xml:space="preserve">particularly </w:t>
      </w:r>
      <w:r w:rsidR="004F72F7" w:rsidRPr="00892F00">
        <w:t xml:space="preserve">in relation to </w:t>
      </w:r>
      <w:r w:rsidR="00EA0A2C" w:rsidRPr="00892F00">
        <w:t>bad debt</w:t>
      </w:r>
      <w:r w:rsidR="00D215E1">
        <w:t>.</w:t>
      </w:r>
      <w:r w:rsidR="00EA0A2C" w:rsidRPr="00892F00">
        <w:rPr>
          <w:rStyle w:val="FootnoteReference"/>
        </w:rPr>
        <w:footnoteReference w:id="95"/>
      </w:r>
      <w:r w:rsidR="00EA0A2C" w:rsidRPr="00892F00">
        <w:t xml:space="preserve"> </w:t>
      </w:r>
    </w:p>
    <w:p w14:paraId="49A4AB44" w14:textId="0DB4F0DA" w:rsidR="00EA0A2C" w:rsidRPr="00892F00" w:rsidRDefault="00CB27CF" w:rsidP="008A3BC8">
      <w:r>
        <w:t xml:space="preserve">The </w:t>
      </w:r>
      <w:r w:rsidR="00EA0A2C" w:rsidRPr="00892F00">
        <w:t>Victorian Council of Social Service support</w:t>
      </w:r>
      <w:r>
        <w:t>ed</w:t>
      </w:r>
      <w:r w:rsidR="00EA0A2C" w:rsidRPr="00892F00">
        <w:t xml:space="preserve"> the </w:t>
      </w:r>
      <w:r w:rsidR="00D72C98" w:rsidRPr="00892F00">
        <w:t>commission</w:t>
      </w:r>
      <w:r w:rsidR="00EA0A2C" w:rsidRPr="00892F00">
        <w:t xml:space="preserve"> gaining a clearer understanding of actual retailer costs and behaviours to enhance transparency. It recommend</w:t>
      </w:r>
      <w:r w:rsidR="00F92924">
        <w:t>ed</w:t>
      </w:r>
      <w:r w:rsidR="00EA0A2C" w:rsidRPr="00892F00">
        <w:t xml:space="preserve"> publishing data where possible, including costs such as acquisition, bad debts, overheads, and IT systems, and suggest</w:t>
      </w:r>
      <w:r w:rsidR="00210A92">
        <w:t>ed</w:t>
      </w:r>
      <w:r w:rsidR="00EA0A2C" w:rsidRPr="00892F00">
        <w:t xml:space="preserve"> comparing large and small retailers to assess market competitiveness</w:t>
      </w:r>
      <w:r w:rsidR="0048242B">
        <w:t>.</w:t>
      </w:r>
      <w:r w:rsidR="00EA0A2C" w:rsidRPr="00892F00">
        <w:rPr>
          <w:rStyle w:val="FootnoteReference"/>
        </w:rPr>
        <w:footnoteReference w:id="96"/>
      </w:r>
    </w:p>
    <w:p w14:paraId="4D4B232C" w14:textId="3A263DE0" w:rsidR="00EA0A2C" w:rsidRPr="00892F00" w:rsidRDefault="00EA0A2C" w:rsidP="008A3BC8">
      <w:r w:rsidRPr="00892F00">
        <w:t xml:space="preserve">Alinta Energy </w:t>
      </w:r>
      <w:r w:rsidR="00FE7E0E">
        <w:t>s</w:t>
      </w:r>
      <w:r w:rsidRPr="00892F00">
        <w:t>upport</w:t>
      </w:r>
      <w:r w:rsidR="00210A92">
        <w:t>ed</w:t>
      </w:r>
      <w:r w:rsidRPr="00892F00">
        <w:t xml:space="preserve"> the </w:t>
      </w:r>
      <w:r w:rsidR="00996EF8" w:rsidRPr="00892F00">
        <w:t>c</w:t>
      </w:r>
      <w:r w:rsidRPr="00892F00">
        <w:t xml:space="preserve">ommission’s </w:t>
      </w:r>
      <w:r w:rsidR="00F92924">
        <w:t>approach</w:t>
      </w:r>
      <w:r w:rsidR="00F92924" w:rsidRPr="00892F00">
        <w:t xml:space="preserve"> </w:t>
      </w:r>
      <w:r w:rsidRPr="00892F00">
        <w:t xml:space="preserve">to continue benchmarking retail operating costs using a single, uniform benchmark for the </w:t>
      </w:r>
      <w:r w:rsidR="00D72C98" w:rsidRPr="00892F00">
        <w:t>Victorian Default Offer i</w:t>
      </w:r>
      <w:r w:rsidRPr="00892F00">
        <w:t>n 2025</w:t>
      </w:r>
      <w:r w:rsidR="002B59C2">
        <w:t>–</w:t>
      </w:r>
      <w:r w:rsidRPr="00892F00">
        <w:t xml:space="preserve">26. </w:t>
      </w:r>
      <w:r w:rsidR="0096182D">
        <w:t>It</w:t>
      </w:r>
      <w:r w:rsidRPr="00892F00">
        <w:t xml:space="preserve"> also support</w:t>
      </w:r>
      <w:r w:rsidR="00210A92">
        <w:t>ed</w:t>
      </w:r>
      <w:r w:rsidRPr="00892F00">
        <w:t xml:space="preserve"> scrutiny of cost to serve and bad debt costs but argue</w:t>
      </w:r>
      <w:r w:rsidR="00E92224">
        <w:t>d</w:t>
      </w:r>
      <w:r w:rsidRPr="00892F00">
        <w:t xml:space="preserve"> that continually targeting these modest components, along with the retail margin, creates an imbalanced approach that may ultimately reduce competition and customer choice</w:t>
      </w:r>
      <w:r w:rsidR="00F43C79">
        <w:t>.</w:t>
      </w:r>
      <w:r w:rsidRPr="00892F00">
        <w:rPr>
          <w:rStyle w:val="FootnoteReference"/>
        </w:rPr>
        <w:footnoteReference w:id="97"/>
      </w:r>
    </w:p>
    <w:p w14:paraId="56913629" w14:textId="1D2E5E47" w:rsidR="00EA0A2C" w:rsidRPr="00892F00" w:rsidRDefault="00EA0A2C" w:rsidP="008A3BC8">
      <w:r w:rsidRPr="00892F00">
        <w:t>ENGIE d</w:t>
      </w:r>
      <w:r w:rsidR="009864B8">
        <w:t>id</w:t>
      </w:r>
      <w:r w:rsidRPr="00892F00">
        <w:t xml:space="preserve"> not support the continued use of a uniform benchmark noting that the </w:t>
      </w:r>
      <w:r w:rsidR="00996EF8" w:rsidRPr="00892F00">
        <w:t>c</w:t>
      </w:r>
      <w:r w:rsidRPr="00892F00">
        <w:t xml:space="preserve">ommission’s analysis </w:t>
      </w:r>
      <w:r w:rsidR="003511F0" w:rsidRPr="00892F00">
        <w:t xml:space="preserve">suggests </w:t>
      </w:r>
      <w:r w:rsidRPr="00892F00">
        <w:t xml:space="preserve">the uniform benchmark likely underestimates small business costs. </w:t>
      </w:r>
      <w:r w:rsidR="009575A3">
        <w:t>ENGIE</w:t>
      </w:r>
      <w:r w:rsidRPr="00892F00">
        <w:t xml:space="preserve"> argued that adopting separate benchmark retail operating cost for different customer profiles would improve the accuracy and transparency of the </w:t>
      </w:r>
      <w:r w:rsidR="001018A2" w:rsidRPr="00892F00">
        <w:t>Victorian Default Offer</w:t>
      </w:r>
      <w:r w:rsidRPr="00892F00">
        <w:t>, reinforcing the credibility of the methodology</w:t>
      </w:r>
      <w:r w:rsidR="00F43C79">
        <w:t xml:space="preserve">. </w:t>
      </w:r>
      <w:r w:rsidRPr="00892F00">
        <w:rPr>
          <w:rStyle w:val="FootnoteReference"/>
        </w:rPr>
        <w:footnoteReference w:id="98"/>
      </w:r>
    </w:p>
    <w:p w14:paraId="5F18ACA8" w14:textId="64A7D0B3" w:rsidR="0055189D" w:rsidRDefault="00FB39E0" w:rsidP="008A3BC8">
      <w:r w:rsidRPr="00892F00">
        <w:t xml:space="preserve">The </w:t>
      </w:r>
      <w:r w:rsidR="00996EF8" w:rsidRPr="00892F00">
        <w:t>c</w:t>
      </w:r>
      <w:r w:rsidRPr="00892F00">
        <w:t xml:space="preserve">ommission is committed to ensuring transparency and fairness in the development of retail operating cost benchmarks. </w:t>
      </w:r>
      <w:r w:rsidR="00106649">
        <w:t xml:space="preserve">The </w:t>
      </w:r>
      <w:r w:rsidR="00106649" w:rsidRPr="00A158C0">
        <w:t>2025</w:t>
      </w:r>
      <w:r w:rsidR="00A158C0" w:rsidRPr="00A158C0">
        <w:t>–</w:t>
      </w:r>
      <w:r w:rsidR="00106649" w:rsidRPr="00A158C0">
        <w:t>26</w:t>
      </w:r>
      <w:r w:rsidR="00301A80">
        <w:t xml:space="preserve"> </w:t>
      </w:r>
      <w:r w:rsidR="00A05942">
        <w:t xml:space="preserve">Victorian </w:t>
      </w:r>
      <w:r w:rsidR="00301A80">
        <w:t>Default Offer</w:t>
      </w:r>
      <w:r w:rsidRPr="00892F00">
        <w:t xml:space="preserve"> </w:t>
      </w:r>
      <w:r w:rsidR="008D2879">
        <w:t>is</w:t>
      </w:r>
      <w:r w:rsidRPr="00892F00">
        <w:t xml:space="preserve"> the first time the </w:t>
      </w:r>
      <w:r w:rsidR="00996EF8" w:rsidRPr="00892F00">
        <w:t>c</w:t>
      </w:r>
      <w:r w:rsidRPr="00892F00">
        <w:t>ommission has collected segment specific cost data</w:t>
      </w:r>
      <w:r w:rsidR="00CB7E38">
        <w:t>.</w:t>
      </w:r>
    </w:p>
    <w:p w14:paraId="165127BA" w14:textId="0FA8E154" w:rsidR="0055189D" w:rsidRDefault="0055189D" w:rsidP="008A3BC8">
      <w:r w:rsidRPr="008D1AC0">
        <w:t xml:space="preserve">We noted that despite cost to serve and bad debt </w:t>
      </w:r>
      <w:r w:rsidR="00F76CEC">
        <w:t>costs being</w:t>
      </w:r>
      <w:r w:rsidRPr="008D1AC0">
        <w:t xml:space="preserve"> lower on average for residential customers, individual retailer data does not support this cost allocation assumption. Some retailers have higher cost</w:t>
      </w:r>
      <w:r>
        <w:t>s</w:t>
      </w:r>
      <w:r w:rsidRPr="008D1AC0">
        <w:t xml:space="preserve"> for residential customers while other</w:t>
      </w:r>
      <w:r>
        <w:t>s</w:t>
      </w:r>
      <w:r w:rsidRPr="008D1AC0">
        <w:t xml:space="preserve"> have higher cost</w:t>
      </w:r>
      <w:r>
        <w:t>s</w:t>
      </w:r>
      <w:r w:rsidRPr="008D1AC0">
        <w:t xml:space="preserve"> for small business customers.</w:t>
      </w:r>
    </w:p>
    <w:p w14:paraId="0A4B97F5" w14:textId="28A6528B" w:rsidR="00477A1C" w:rsidRPr="00892F00" w:rsidRDefault="000007B7" w:rsidP="00EE1DA1">
      <w:r>
        <w:lastRenderedPageBreak/>
        <w:t>In addition, s</w:t>
      </w:r>
      <w:r w:rsidR="00FB39E0" w:rsidRPr="00892F00">
        <w:t>everal retailers</w:t>
      </w:r>
      <w:r w:rsidR="0059401F" w:rsidRPr="00892F00">
        <w:t xml:space="preserve"> also</w:t>
      </w:r>
      <w:r w:rsidR="00FB39E0" w:rsidRPr="00892F00">
        <w:t xml:space="preserve"> noted that they do not maintain cost records separated by customer type. </w:t>
      </w:r>
      <w:r>
        <w:t>Therefore,</w:t>
      </w:r>
      <w:r w:rsidR="004470CD">
        <w:t xml:space="preserve"> </w:t>
      </w:r>
      <w:r w:rsidR="00477A1C" w:rsidRPr="00892F00">
        <w:t xml:space="preserve">we have concluded that a single benchmark is the most reliable and consistent approach for the </w:t>
      </w:r>
      <w:r w:rsidR="00884339">
        <w:t>purpose of this decision</w:t>
      </w:r>
      <w:r w:rsidR="00477A1C" w:rsidRPr="00892F00">
        <w:t>. As data quality improves in future years, we may reconsider the development of separate benchmarks for different customer profiles.</w:t>
      </w:r>
    </w:p>
    <w:p w14:paraId="1BD7A14F" w14:textId="725972DC" w:rsidR="00EA0A2C" w:rsidRPr="00892F00" w:rsidRDefault="00EA0A2C" w:rsidP="00EE1DA1">
      <w:r w:rsidRPr="00892F00">
        <w:t xml:space="preserve">ENGIE </w:t>
      </w:r>
      <w:r w:rsidR="00E14D72" w:rsidRPr="00892F00">
        <w:t>also</w:t>
      </w:r>
      <w:r w:rsidRPr="00892F00">
        <w:t xml:space="preserve"> argue</w:t>
      </w:r>
      <w:r w:rsidR="003B6349" w:rsidRPr="00892F00">
        <w:t>d</w:t>
      </w:r>
      <w:r w:rsidRPr="00892F00">
        <w:t xml:space="preserve"> that using customer-weighted averages </w:t>
      </w:r>
      <w:r w:rsidR="00DD4AFD" w:rsidRPr="00892F00">
        <w:t>in calculating the retail cost benchmark may</w:t>
      </w:r>
      <w:r w:rsidRPr="00892F00">
        <w:t xml:space="preserve"> skew cost estimates toward large retailers and disadvantage smaller ones. </w:t>
      </w:r>
      <w:r w:rsidR="00F76CEC">
        <w:t>ENGIE</w:t>
      </w:r>
      <w:r w:rsidRPr="00892F00">
        <w:t xml:space="preserve"> recommend</w:t>
      </w:r>
      <w:r w:rsidR="00C84BF7">
        <w:t>ed</w:t>
      </w:r>
      <w:r w:rsidRPr="00892F00">
        <w:t xml:space="preserve"> exploring alternative methods, such as the median, and call</w:t>
      </w:r>
      <w:r w:rsidR="00823933">
        <w:t>ed</w:t>
      </w:r>
      <w:r w:rsidRPr="00892F00">
        <w:t xml:space="preserve"> for robust testing and transparent justification for the current approach</w:t>
      </w:r>
      <w:r w:rsidR="00930E31">
        <w:t>.</w:t>
      </w:r>
      <w:r w:rsidRPr="00892F00">
        <w:rPr>
          <w:rStyle w:val="FootnoteReference"/>
        </w:rPr>
        <w:footnoteReference w:id="99"/>
      </w:r>
    </w:p>
    <w:p w14:paraId="56D5C0CE" w14:textId="77777777" w:rsidR="00F7617C" w:rsidRDefault="00970A4E" w:rsidP="00F7617C">
      <w:r w:rsidRPr="00892F00">
        <w:t xml:space="preserve">We understand the concern regarding the potential for customer-weighted averages to favour larger retailers. However, the purpose of the benchmark is to reflect the efficient cost of </w:t>
      </w:r>
      <w:r w:rsidR="00E14D72" w:rsidRPr="00892F00">
        <w:t>providing</w:t>
      </w:r>
      <w:r w:rsidRPr="00892F00">
        <w:t xml:space="preserve"> electricity, not the average or most common cost incurred by individual retailers</w:t>
      </w:r>
      <w:r w:rsidR="00CB594F">
        <w:t xml:space="preserve"> – </w:t>
      </w:r>
      <w:r w:rsidRPr="00892F00">
        <w:t>whether large or small.</w:t>
      </w:r>
      <w:r w:rsidR="006B0EAA" w:rsidRPr="00892F00">
        <w:t xml:space="preserve"> While the median may provide a measure that aligns more closely with the cost of </w:t>
      </w:r>
      <w:r w:rsidR="008F00B9" w:rsidRPr="00892F00">
        <w:t xml:space="preserve">certain </w:t>
      </w:r>
      <w:r w:rsidR="006B0EAA" w:rsidRPr="00892F00">
        <w:t xml:space="preserve">retailers, it does not </w:t>
      </w:r>
      <w:r w:rsidR="008F00B9" w:rsidRPr="00892F00">
        <w:t xml:space="preserve">fully </w:t>
      </w:r>
      <w:r w:rsidR="006B0EAA" w:rsidRPr="00892F00">
        <w:t xml:space="preserve">reflect an efficient cost level across the sector. In contrast, the weighted average approach </w:t>
      </w:r>
      <w:r w:rsidR="001E39ED" w:rsidRPr="00892F00">
        <w:t>considers</w:t>
      </w:r>
      <w:r w:rsidR="006B0EAA" w:rsidRPr="00892F00">
        <w:t xml:space="preserve"> </w:t>
      </w:r>
      <w:r w:rsidR="001E39ED" w:rsidRPr="00892F00">
        <w:t>economies of</w:t>
      </w:r>
      <w:r w:rsidR="006B0EAA" w:rsidRPr="00892F00">
        <w:t xml:space="preserve"> scale and relative cost distribution and is therefore </w:t>
      </w:r>
      <w:r w:rsidR="003965DC" w:rsidRPr="00892F00">
        <w:t xml:space="preserve">better suited </w:t>
      </w:r>
      <w:r w:rsidR="00C52754" w:rsidRPr="00892F00">
        <w:t>in</w:t>
      </w:r>
      <w:r w:rsidR="003965DC" w:rsidRPr="00892F00">
        <w:t xml:space="preserve"> generating </w:t>
      </w:r>
      <w:r w:rsidR="0055214F" w:rsidRPr="00892F00">
        <w:t>an</w:t>
      </w:r>
      <w:r w:rsidR="003965DC" w:rsidRPr="00892F00">
        <w:t xml:space="preserve"> efficient retail operating cost</w:t>
      </w:r>
      <w:r w:rsidR="0055214F" w:rsidRPr="00892F00">
        <w:t xml:space="preserve"> benchmark</w:t>
      </w:r>
      <w:r w:rsidR="006B0EAA" w:rsidRPr="00892F00">
        <w:t>.</w:t>
      </w:r>
      <w:r w:rsidR="00840B27" w:rsidRPr="00892F00">
        <w:t xml:space="preserve"> </w:t>
      </w:r>
    </w:p>
    <w:p w14:paraId="368A5FD7" w14:textId="7B6BA00C" w:rsidR="006B0EAA" w:rsidRPr="00892F00" w:rsidRDefault="000C4FDB" w:rsidP="00EE1DA1">
      <w:r>
        <w:t xml:space="preserve">The </w:t>
      </w:r>
      <w:r w:rsidR="00840B27" w:rsidRPr="00892F00">
        <w:t xml:space="preserve">Australian Energy Regulator has </w:t>
      </w:r>
      <w:r w:rsidR="00307C41" w:rsidRPr="00892F00">
        <w:t>evaluated alternative statistical measures</w:t>
      </w:r>
      <w:r w:rsidR="007845E8" w:rsidRPr="00892F00">
        <w:t>, such as simple average or median</w:t>
      </w:r>
      <w:r w:rsidR="00307C41" w:rsidRPr="00892F00">
        <w:t xml:space="preserve"> for </w:t>
      </w:r>
      <w:r w:rsidR="004534E5" w:rsidRPr="00892F00">
        <w:t xml:space="preserve">calculating </w:t>
      </w:r>
      <w:r w:rsidR="00812376">
        <w:t xml:space="preserve">the </w:t>
      </w:r>
      <w:r w:rsidR="00307C41" w:rsidRPr="00892F00">
        <w:t>retail cost benchmark</w:t>
      </w:r>
      <w:r w:rsidR="000C14BB" w:rsidRPr="00892F00">
        <w:t xml:space="preserve"> for </w:t>
      </w:r>
      <w:r w:rsidR="000C14BB" w:rsidRPr="00A158C0">
        <w:t>2025</w:t>
      </w:r>
      <w:r w:rsidR="00A158C0" w:rsidRPr="00A158C0">
        <w:t>–</w:t>
      </w:r>
      <w:r w:rsidR="000C14BB" w:rsidRPr="00A158C0">
        <w:t>26</w:t>
      </w:r>
      <w:r w:rsidR="000C14BB" w:rsidRPr="00892F00">
        <w:t xml:space="preserve"> </w:t>
      </w:r>
      <w:r w:rsidR="004534E5" w:rsidRPr="00892F00">
        <w:t>Default M</w:t>
      </w:r>
      <w:r w:rsidR="005A593A" w:rsidRPr="00892F00">
        <w:t xml:space="preserve">arket Offer </w:t>
      </w:r>
      <w:r w:rsidR="000C14BB" w:rsidRPr="00892F00">
        <w:t>draft determination</w:t>
      </w:r>
      <w:r w:rsidR="009671C0" w:rsidRPr="00892F00">
        <w:t>.</w:t>
      </w:r>
      <w:r w:rsidR="00307C41" w:rsidRPr="00892F00">
        <w:rPr>
          <w:rStyle w:val="FootnoteReference"/>
        </w:rPr>
        <w:footnoteReference w:id="100"/>
      </w:r>
      <w:r w:rsidR="00FB16C1" w:rsidRPr="00892F00">
        <w:t xml:space="preserve"> </w:t>
      </w:r>
      <w:r w:rsidR="00337A6F">
        <w:t>It</w:t>
      </w:r>
      <w:r w:rsidR="00337A6F" w:rsidRPr="00892F00">
        <w:t xml:space="preserve"> </w:t>
      </w:r>
      <w:r w:rsidR="00F9055A" w:rsidRPr="00892F00">
        <w:t>identified</w:t>
      </w:r>
      <w:r w:rsidR="007B1C88" w:rsidRPr="00892F00">
        <w:t xml:space="preserve"> that </w:t>
      </w:r>
      <w:r w:rsidR="00770A1E" w:rsidRPr="00892F00">
        <w:t>while alternative</w:t>
      </w:r>
      <w:r w:rsidR="007234CE" w:rsidRPr="00892F00">
        <w:t xml:space="preserve"> measures</w:t>
      </w:r>
      <w:r w:rsidR="00FB16C1" w:rsidRPr="00892F00">
        <w:t xml:space="preserve"> </w:t>
      </w:r>
      <w:r w:rsidR="00770A1E" w:rsidRPr="00892F00">
        <w:t xml:space="preserve">may </w:t>
      </w:r>
      <w:r w:rsidR="00F9055A" w:rsidRPr="00892F00">
        <w:t>yield</w:t>
      </w:r>
      <w:r w:rsidR="00FB16C1" w:rsidRPr="00892F00">
        <w:t xml:space="preserve"> higher benchmarks </w:t>
      </w:r>
      <w:r w:rsidR="00770A1E" w:rsidRPr="00892F00">
        <w:t xml:space="preserve">and </w:t>
      </w:r>
      <w:r w:rsidR="00F9055A" w:rsidRPr="00892F00">
        <w:t xml:space="preserve">accommodate a broader range of </w:t>
      </w:r>
      <w:r w:rsidR="00FB16C1" w:rsidRPr="00892F00">
        <w:t>retailers</w:t>
      </w:r>
      <w:r w:rsidR="007B1C88" w:rsidRPr="00892F00">
        <w:t xml:space="preserve">, </w:t>
      </w:r>
      <w:r w:rsidR="00770A1E" w:rsidRPr="00892F00">
        <w:t>they</w:t>
      </w:r>
      <w:r w:rsidR="00FB16C1" w:rsidRPr="00892F00">
        <w:t xml:space="preserve"> are more </w:t>
      </w:r>
      <w:r w:rsidR="00F9055A" w:rsidRPr="00892F00">
        <w:t>prone</w:t>
      </w:r>
      <w:r w:rsidR="00FB16C1" w:rsidRPr="00892F00">
        <w:t xml:space="preserve"> to </w:t>
      </w:r>
      <w:r w:rsidR="00F9055A" w:rsidRPr="00892F00">
        <w:t xml:space="preserve">volatility due to year-on-year </w:t>
      </w:r>
      <w:r w:rsidR="00FB16C1" w:rsidRPr="00892F00">
        <w:t xml:space="preserve">cost </w:t>
      </w:r>
      <w:r w:rsidR="00AF2303" w:rsidRPr="00892F00">
        <w:t>and retailer variation</w:t>
      </w:r>
      <w:r w:rsidR="00770A1E" w:rsidRPr="00892F00">
        <w:t>.</w:t>
      </w:r>
      <w:r w:rsidR="00FB16C1" w:rsidRPr="00892F00">
        <w:t xml:space="preserve"> </w:t>
      </w:r>
      <w:r w:rsidR="00770A1E" w:rsidRPr="00892F00">
        <w:t xml:space="preserve">In contrast, the </w:t>
      </w:r>
      <w:r w:rsidR="00FB16C1" w:rsidRPr="00892F00">
        <w:t xml:space="preserve">weighted average approach </w:t>
      </w:r>
      <w:r w:rsidR="00770A1E" w:rsidRPr="00892F00">
        <w:t>provides</w:t>
      </w:r>
      <w:r w:rsidR="00FB16C1" w:rsidRPr="00892F00">
        <w:t xml:space="preserve"> greater stability</w:t>
      </w:r>
      <w:r w:rsidR="00770A1E" w:rsidRPr="00892F00">
        <w:t xml:space="preserve"> over time.</w:t>
      </w:r>
    </w:p>
    <w:p w14:paraId="39A77308" w14:textId="15A2758A" w:rsidR="009B6340" w:rsidRDefault="00EA0A2C" w:rsidP="00EE1DA1">
      <w:r w:rsidRPr="00892F00">
        <w:t>Origin</w:t>
      </w:r>
      <w:r w:rsidR="00BC7032" w:rsidRPr="00892F00">
        <w:t>,</w:t>
      </w:r>
      <w:r w:rsidRPr="00892F00">
        <w:t xml:space="preserve"> EnergyAustralia</w:t>
      </w:r>
      <w:r w:rsidR="00D029F6" w:rsidRPr="00892F00">
        <w:t xml:space="preserve"> </w:t>
      </w:r>
      <w:r w:rsidR="00E76651" w:rsidRPr="00892F00">
        <w:t>and</w:t>
      </w:r>
      <w:r w:rsidR="00BC7032" w:rsidRPr="00892F00">
        <w:t xml:space="preserve"> Powershop</w:t>
      </w:r>
      <w:r w:rsidRPr="00892F00">
        <w:t xml:space="preserve"> expressed general support for the </w:t>
      </w:r>
      <w:r w:rsidR="00E76651" w:rsidRPr="00892F00">
        <w:t>c</w:t>
      </w:r>
      <w:r w:rsidRPr="00892F00">
        <w:t xml:space="preserve">ommission’s </w:t>
      </w:r>
      <w:r w:rsidR="00765DE5" w:rsidRPr="00892F00">
        <w:t>consistent</w:t>
      </w:r>
      <w:r w:rsidRPr="00892F00">
        <w:t xml:space="preserve"> methodology for estimating retail operating costs. However, </w:t>
      </w:r>
      <w:r w:rsidR="00A876DD" w:rsidRPr="00892F00">
        <w:t>all three</w:t>
      </w:r>
      <w:r w:rsidR="000860FF" w:rsidRPr="00892F00">
        <w:t xml:space="preserve"> r</w:t>
      </w:r>
      <w:r w:rsidRPr="00892F00">
        <w:t xml:space="preserve">etailers </w:t>
      </w:r>
      <w:r w:rsidR="007A5427" w:rsidRPr="00892F00">
        <w:t>requested</w:t>
      </w:r>
      <w:r w:rsidRPr="00892F00">
        <w:t xml:space="preserve"> greater transparency in the 2025–26 </w:t>
      </w:r>
      <w:r w:rsidR="00837CD8" w:rsidRPr="00892F00">
        <w:t>retail operating cost benchmark</w:t>
      </w:r>
      <w:r w:rsidRPr="00892F00">
        <w:t xml:space="preserve"> </w:t>
      </w:r>
      <w:r w:rsidR="007A5427" w:rsidRPr="00892F00">
        <w:t>which</w:t>
      </w:r>
      <w:r w:rsidRPr="00892F00">
        <w:t xml:space="preserve"> would assist in reconciling the retail cost allowance with similar benchmarks used by other jurisdictions</w:t>
      </w:r>
      <w:r w:rsidR="00337A6F">
        <w:t>.</w:t>
      </w:r>
      <w:r w:rsidR="005B659E" w:rsidRPr="00892F00">
        <w:rPr>
          <w:rStyle w:val="FootnoteReference"/>
        </w:rPr>
        <w:footnoteReference w:id="101"/>
      </w:r>
      <w:r w:rsidRPr="00892F00">
        <w:t xml:space="preserve"> </w:t>
      </w:r>
      <w:r w:rsidR="00FB1695">
        <w:t>I</w:t>
      </w:r>
      <w:r w:rsidR="00FB1695" w:rsidRPr="00FB1695">
        <w:t>n response to this</w:t>
      </w:r>
      <w:r w:rsidR="00FB1695">
        <w:t>,</w:t>
      </w:r>
      <w:r w:rsidR="00FB1695" w:rsidRPr="00FB1695">
        <w:t xml:space="preserve"> we have included more detailed </w:t>
      </w:r>
      <w:r w:rsidR="00FB1695">
        <w:t>information</w:t>
      </w:r>
      <w:r w:rsidR="00FB1695" w:rsidRPr="00FB1695">
        <w:t xml:space="preserve"> on retailer operating costs.</w:t>
      </w:r>
    </w:p>
    <w:p w14:paraId="5386F2FE" w14:textId="534261D3" w:rsidR="00152CE3" w:rsidRDefault="00661B36" w:rsidP="004C2417">
      <w:pPr>
        <w:pStyle w:val="Heading4"/>
      </w:pPr>
      <w:r>
        <w:lastRenderedPageBreak/>
        <w:t>‘</w:t>
      </w:r>
      <w:r w:rsidR="00994146">
        <w:t>O</w:t>
      </w:r>
      <w:r w:rsidR="00F43428" w:rsidRPr="00F43428">
        <w:t xml:space="preserve">ther </w:t>
      </w:r>
      <w:r w:rsidRPr="00F43428">
        <w:t>costs</w:t>
      </w:r>
      <w:r>
        <w:t>’</w:t>
      </w:r>
      <w:r w:rsidR="00F43428" w:rsidRPr="00F43428">
        <w:t xml:space="preserve"> have been </w:t>
      </w:r>
      <w:r w:rsidR="000C4FDB">
        <w:t>included in our retail operating cost benchmark</w:t>
      </w:r>
      <w:r w:rsidR="000C4FDB" w:rsidRPr="00F43428">
        <w:t xml:space="preserve"> </w:t>
      </w:r>
    </w:p>
    <w:p w14:paraId="0254B301" w14:textId="073F8417" w:rsidR="00863C59" w:rsidRDefault="001F59A8" w:rsidP="00EE1DA1">
      <w:r w:rsidRPr="00892F00">
        <w:t>Origin</w:t>
      </w:r>
      <w:r>
        <w:t>,</w:t>
      </w:r>
      <w:r w:rsidRPr="00892F00">
        <w:t xml:space="preserve"> Energy</w:t>
      </w:r>
      <w:r w:rsidR="007140F2" w:rsidRPr="00892F00">
        <w:t>Australia</w:t>
      </w:r>
      <w:r w:rsidR="00CA67ED">
        <w:t xml:space="preserve"> and </w:t>
      </w:r>
      <w:r w:rsidR="005464DD">
        <w:t>the</w:t>
      </w:r>
      <w:r w:rsidR="00CA67ED">
        <w:t xml:space="preserve"> </w:t>
      </w:r>
      <w:r w:rsidR="007140F2">
        <w:t>Australian</w:t>
      </w:r>
      <w:r w:rsidR="00CA67ED">
        <w:t xml:space="preserve"> Energy Council </w:t>
      </w:r>
      <w:r w:rsidR="00EA0A2C" w:rsidRPr="00892F00">
        <w:t xml:space="preserve">sought further clarity on the treatment of </w:t>
      </w:r>
      <w:r w:rsidR="001E6688">
        <w:t>‘</w:t>
      </w:r>
      <w:r w:rsidR="00E25A33">
        <w:t>O</w:t>
      </w:r>
      <w:r w:rsidR="00EA0A2C" w:rsidRPr="00892F00">
        <w:t>ther retail costs</w:t>
      </w:r>
      <w:r w:rsidR="001E6688">
        <w:t>’</w:t>
      </w:r>
      <w:r w:rsidR="0000149F">
        <w:t xml:space="preserve"> and indicated that other costs had been excluded from the commission’s retail operating cost benchmark</w:t>
      </w:r>
      <w:r w:rsidR="008F6F50">
        <w:t>.</w:t>
      </w:r>
      <w:r w:rsidR="00EA0A2C" w:rsidRPr="00892F00">
        <w:rPr>
          <w:rStyle w:val="FootnoteReference"/>
        </w:rPr>
        <w:footnoteReference w:id="102"/>
      </w:r>
      <w:r w:rsidR="00EA0A2C" w:rsidRPr="00892F00">
        <w:t xml:space="preserve"> </w:t>
      </w:r>
      <w:r w:rsidR="00EA0A2C" w:rsidRPr="00892F00">
        <w:rPr>
          <w:rStyle w:val="FootnoteReference"/>
        </w:rPr>
        <w:footnoteReference w:id="103"/>
      </w:r>
      <w:r w:rsidR="00B35114">
        <w:t xml:space="preserve"> </w:t>
      </w:r>
      <w:r w:rsidR="00B35114" w:rsidRPr="00892F00">
        <w:rPr>
          <w:rStyle w:val="FootnoteReference"/>
        </w:rPr>
        <w:footnoteReference w:id="104"/>
      </w:r>
      <w:r w:rsidR="0052271B">
        <w:t xml:space="preserve"> </w:t>
      </w:r>
    </w:p>
    <w:p w14:paraId="7B867E2D" w14:textId="1F18481B" w:rsidR="00BB4B89" w:rsidRPr="00AE12E3" w:rsidRDefault="00BB4B89" w:rsidP="00EE1DA1">
      <w:r w:rsidRPr="00892F00">
        <w:t xml:space="preserve">The </w:t>
      </w:r>
      <w:r w:rsidR="00DC6327">
        <w:t>‘</w:t>
      </w:r>
      <w:r w:rsidRPr="00892F00">
        <w:t>Other cost</w:t>
      </w:r>
      <w:r w:rsidR="00DC6327">
        <w:t>’</w:t>
      </w:r>
      <w:r w:rsidRPr="00892F00">
        <w:t xml:space="preserve"> category is </w:t>
      </w:r>
      <w:r w:rsidR="007C3D6C" w:rsidRPr="00892F00">
        <w:t xml:space="preserve">intended </w:t>
      </w:r>
      <w:r w:rsidR="00C1596D" w:rsidRPr="00892F00">
        <w:t>for</w:t>
      </w:r>
      <w:r w:rsidRPr="00892F00">
        <w:t xml:space="preserve"> retailers to report costs that do</w:t>
      </w:r>
      <w:r w:rsidR="004C37B1" w:rsidRPr="00892F00">
        <w:t xml:space="preserve"> not</w:t>
      </w:r>
      <w:r w:rsidRPr="00892F00">
        <w:t xml:space="preserve"> </w:t>
      </w:r>
      <w:r w:rsidR="004C37B1" w:rsidRPr="00892F00">
        <w:t xml:space="preserve">fall </w:t>
      </w:r>
      <w:r w:rsidRPr="00892F00">
        <w:t xml:space="preserve">under the specific </w:t>
      </w:r>
      <w:r w:rsidR="005A7AEA" w:rsidRPr="00892F00">
        <w:t xml:space="preserve">predefined </w:t>
      </w:r>
      <w:r w:rsidR="00ED14BC">
        <w:t>categories</w:t>
      </w:r>
      <w:r w:rsidRPr="00892F00">
        <w:t xml:space="preserve">. As part of the data review process, the </w:t>
      </w:r>
      <w:r w:rsidR="00704695" w:rsidRPr="00892F00">
        <w:t>c</w:t>
      </w:r>
      <w:r w:rsidRPr="00892F00">
        <w:t xml:space="preserve">ommission </w:t>
      </w:r>
      <w:r w:rsidR="00526C5F" w:rsidRPr="00892F00">
        <w:t xml:space="preserve">requested detailed </w:t>
      </w:r>
      <w:r w:rsidR="005C6361" w:rsidRPr="00892F00">
        <w:t xml:space="preserve">explanation </w:t>
      </w:r>
      <w:r w:rsidR="008A4C1C" w:rsidRPr="00892F00">
        <w:t>from</w:t>
      </w:r>
      <w:r w:rsidR="00526C5F" w:rsidRPr="00892F00">
        <w:t xml:space="preserve"> </w:t>
      </w:r>
      <w:r w:rsidR="003F4AC1">
        <w:t xml:space="preserve">retailers </w:t>
      </w:r>
      <w:r w:rsidR="008A4C1C" w:rsidRPr="00892F00">
        <w:t>regarding the nature of these cost</w:t>
      </w:r>
      <w:r w:rsidR="001A2C96" w:rsidRPr="00892F00">
        <w:t>s</w:t>
      </w:r>
      <w:r w:rsidRPr="00892F00">
        <w:t xml:space="preserve">. Where the costs were related to </w:t>
      </w:r>
      <w:r w:rsidRPr="00AE12E3">
        <w:t xml:space="preserve">serving customers, they were </w:t>
      </w:r>
      <w:r w:rsidR="00D94826" w:rsidRPr="00AE12E3">
        <w:t xml:space="preserve">reclassified and included </w:t>
      </w:r>
      <w:r w:rsidR="0015336F" w:rsidRPr="00AE12E3">
        <w:t xml:space="preserve">under </w:t>
      </w:r>
      <w:r w:rsidR="00EC7E0B" w:rsidRPr="00AE12E3">
        <w:t>the relevant cost category</w:t>
      </w:r>
      <w:r w:rsidR="00B82176" w:rsidRPr="00AE12E3">
        <w:t>,</w:t>
      </w:r>
      <w:r w:rsidR="00EC7E0B" w:rsidRPr="00AE12E3">
        <w:t xml:space="preserve"> typically </w:t>
      </w:r>
      <w:r w:rsidRPr="00AE12E3">
        <w:t xml:space="preserve">the </w:t>
      </w:r>
      <w:r w:rsidR="00472065" w:rsidRPr="00AE12E3">
        <w:t>‘Cost</w:t>
      </w:r>
      <w:r w:rsidRPr="00AE12E3">
        <w:t xml:space="preserve"> to </w:t>
      </w:r>
      <w:r w:rsidR="00472065" w:rsidRPr="00AE12E3">
        <w:t>serve’</w:t>
      </w:r>
      <w:r w:rsidRPr="00AE12E3">
        <w:t>.</w:t>
      </w:r>
    </w:p>
    <w:p w14:paraId="1BA9CB33" w14:textId="24FB9E0A" w:rsidR="00C13085" w:rsidRDefault="007C414C" w:rsidP="00403741">
      <w:pPr>
        <w:jc w:val="both"/>
      </w:pPr>
      <w:r w:rsidRPr="00AE12E3">
        <w:t xml:space="preserve">Table </w:t>
      </w:r>
      <w:r w:rsidR="00AE12E3" w:rsidRPr="00AE12E3">
        <w:t>5</w:t>
      </w:r>
      <w:r w:rsidRPr="00AE12E3">
        <w:t xml:space="preserve"> shows the</w:t>
      </w:r>
      <w:r w:rsidRPr="00892F00">
        <w:t xml:space="preserve"> weighted average retail operating cost components over the last three financial years</w:t>
      </w:r>
      <w:r>
        <w:t>. This is the period over which the actual costs approach has been used</w:t>
      </w:r>
      <w:r w:rsidR="00FB1695">
        <w:t xml:space="preserve"> in the Victorian Default Offer</w:t>
      </w:r>
      <w:r>
        <w:t>.</w:t>
      </w:r>
    </w:p>
    <w:p w14:paraId="210BD7BA" w14:textId="6C5B333B" w:rsidR="009C516C" w:rsidRDefault="009C516C" w:rsidP="0091314D">
      <w:pPr>
        <w:pStyle w:val="Figure-Table-BoxHeading"/>
      </w:pPr>
      <w:r w:rsidRPr="00161BED">
        <w:rPr>
          <w:lang w:val="en-AU"/>
        </w:rPr>
        <w:t>Table</w:t>
      </w:r>
      <w:r w:rsidR="00AE12E3">
        <w:rPr>
          <w:lang w:val="en-AU"/>
        </w:rPr>
        <w:t xml:space="preserve"> 5</w:t>
      </w:r>
      <w:r w:rsidRPr="00161BED">
        <w:rPr>
          <w:lang w:val="en-AU"/>
        </w:rPr>
        <w:t xml:space="preserve">: </w:t>
      </w:r>
      <w:r>
        <w:rPr>
          <w:lang w:val="en-AU"/>
        </w:rPr>
        <w:t>Breakdown of retail operating cost</w:t>
      </w:r>
      <w:r w:rsidR="00D42EE1">
        <w:rPr>
          <w:lang w:val="en-AU"/>
        </w:rPr>
        <w:t xml:space="preserve"> (not adjusted by CPI)</w:t>
      </w:r>
    </w:p>
    <w:tbl>
      <w:tblPr>
        <w:tblStyle w:val="TableGrid"/>
        <w:tblW w:w="9071" w:type="dxa"/>
        <w:tblLook w:val="04A0" w:firstRow="1" w:lastRow="0" w:firstColumn="1" w:lastColumn="0" w:noHBand="0" w:noVBand="1"/>
      </w:tblPr>
      <w:tblGrid>
        <w:gridCol w:w="2977"/>
        <w:gridCol w:w="1843"/>
        <w:gridCol w:w="2126"/>
        <w:gridCol w:w="2125"/>
      </w:tblGrid>
      <w:tr w:rsidR="006112E9" w:rsidRPr="00872E1E" w14:paraId="12A95995" w14:textId="77777777" w:rsidTr="6408430E">
        <w:trPr>
          <w:cnfStyle w:val="100000000000" w:firstRow="1" w:lastRow="0" w:firstColumn="0" w:lastColumn="0" w:oddVBand="0" w:evenVBand="0" w:oddHBand="0" w:evenHBand="0" w:firstRowFirstColumn="0" w:firstRowLastColumn="0" w:lastRowFirstColumn="0" w:lastRowLastColumn="0"/>
          <w:trHeight w:val="125"/>
          <w:tblHeader/>
        </w:trPr>
        <w:tc>
          <w:tcPr>
            <w:tcW w:w="2977" w:type="dxa"/>
          </w:tcPr>
          <w:p w14:paraId="7F783D54" w14:textId="77777777" w:rsidR="006112E9" w:rsidRPr="00872E1E" w:rsidRDefault="006112E9">
            <w:pPr>
              <w:pStyle w:val="TableBold"/>
              <w:rPr>
                <w:b/>
              </w:rPr>
            </w:pPr>
          </w:p>
        </w:tc>
        <w:tc>
          <w:tcPr>
            <w:tcW w:w="1843" w:type="dxa"/>
          </w:tcPr>
          <w:p w14:paraId="447D7188" w14:textId="0118E993" w:rsidR="006112E9" w:rsidRPr="00872E1E" w:rsidRDefault="006112E9" w:rsidP="6408430E">
            <w:pPr>
              <w:pStyle w:val="TableBold"/>
              <w:rPr>
                <w:b/>
                <w:bCs/>
              </w:rPr>
            </w:pPr>
            <w:r w:rsidRPr="6408430E">
              <w:rPr>
                <w:b/>
                <w:bCs/>
              </w:rPr>
              <w:t>2021–22FY</w:t>
            </w:r>
          </w:p>
          <w:p w14:paraId="42D5C7A9" w14:textId="5BDD19C8" w:rsidR="006112E9" w:rsidRPr="00872E1E" w:rsidRDefault="2DEA04EF" w:rsidP="6408430E">
            <w:pPr>
              <w:pStyle w:val="TableBold"/>
              <w:rPr>
                <w:b/>
                <w:bCs/>
              </w:rPr>
            </w:pPr>
            <w:r w:rsidRPr="6408430E">
              <w:rPr>
                <w:b/>
                <w:bCs/>
              </w:rPr>
              <w:t>(VDO 2023</w:t>
            </w:r>
            <w:r w:rsidR="00524AC9" w:rsidRPr="00872E1E">
              <w:rPr>
                <w:b/>
              </w:rPr>
              <w:t>–</w:t>
            </w:r>
            <w:r w:rsidRPr="6408430E">
              <w:rPr>
                <w:b/>
                <w:bCs/>
              </w:rPr>
              <w:t>24)</w:t>
            </w:r>
          </w:p>
        </w:tc>
        <w:tc>
          <w:tcPr>
            <w:tcW w:w="2126" w:type="dxa"/>
          </w:tcPr>
          <w:p w14:paraId="271C51C8" w14:textId="4DD0B8BC" w:rsidR="006112E9" w:rsidRPr="00872E1E" w:rsidRDefault="006112E9" w:rsidP="6408430E">
            <w:pPr>
              <w:pStyle w:val="TableBold"/>
              <w:rPr>
                <w:b/>
                <w:bCs/>
              </w:rPr>
            </w:pPr>
            <w:r w:rsidRPr="6408430E">
              <w:rPr>
                <w:b/>
                <w:bCs/>
              </w:rPr>
              <w:t>2022–23FY</w:t>
            </w:r>
          </w:p>
          <w:p w14:paraId="1E5979E2" w14:textId="2A1A3C31" w:rsidR="006112E9" w:rsidRPr="00872E1E" w:rsidRDefault="75A5DAAF" w:rsidP="6408430E">
            <w:pPr>
              <w:pStyle w:val="TableBold"/>
              <w:rPr>
                <w:b/>
                <w:bCs/>
              </w:rPr>
            </w:pPr>
            <w:r w:rsidRPr="6408430E">
              <w:rPr>
                <w:b/>
                <w:bCs/>
              </w:rPr>
              <w:t>(VDO 2024</w:t>
            </w:r>
            <w:r w:rsidR="00524AC9" w:rsidRPr="00872E1E">
              <w:rPr>
                <w:b/>
              </w:rPr>
              <w:t>–</w:t>
            </w:r>
            <w:r w:rsidRPr="6408430E">
              <w:rPr>
                <w:b/>
                <w:bCs/>
              </w:rPr>
              <w:t>25)</w:t>
            </w:r>
          </w:p>
        </w:tc>
        <w:tc>
          <w:tcPr>
            <w:tcW w:w="2125" w:type="dxa"/>
          </w:tcPr>
          <w:p w14:paraId="69A5A49F" w14:textId="77777777" w:rsidR="006112E9" w:rsidRPr="00872E1E" w:rsidRDefault="006112E9">
            <w:pPr>
              <w:pStyle w:val="TableBold"/>
              <w:rPr>
                <w:b/>
              </w:rPr>
            </w:pPr>
            <w:r w:rsidRPr="00872E1E">
              <w:rPr>
                <w:b/>
                <w:lang w:val="en-AU"/>
              </w:rPr>
              <w:t>202</w:t>
            </w:r>
            <w:r>
              <w:rPr>
                <w:b/>
                <w:lang w:val="en-AU"/>
              </w:rPr>
              <w:t>3</w:t>
            </w:r>
            <w:r w:rsidRPr="00872E1E">
              <w:rPr>
                <w:b/>
              </w:rPr>
              <w:t>–</w:t>
            </w:r>
            <w:r w:rsidRPr="00872E1E">
              <w:rPr>
                <w:b/>
                <w:lang w:val="en-AU"/>
              </w:rPr>
              <w:t>2</w:t>
            </w:r>
            <w:r>
              <w:rPr>
                <w:b/>
                <w:lang w:val="en-AU"/>
              </w:rPr>
              <w:t>4FY</w:t>
            </w:r>
            <w:r w:rsidRPr="00872E1E">
              <w:rPr>
                <w:b/>
                <w:lang w:val="en-AU"/>
              </w:rPr>
              <w:t xml:space="preserve"> </w:t>
            </w:r>
            <w:r>
              <w:rPr>
                <w:b/>
                <w:lang w:val="en-AU"/>
              </w:rPr>
              <w:br/>
            </w:r>
            <w:r w:rsidRPr="00872E1E">
              <w:rPr>
                <w:b/>
                <w:lang w:val="en-AU"/>
              </w:rPr>
              <w:t>(</w:t>
            </w:r>
            <w:r>
              <w:rPr>
                <w:b/>
                <w:lang w:val="en-AU"/>
              </w:rPr>
              <w:t>VDO 2025</w:t>
            </w:r>
            <w:r w:rsidRPr="00872E1E">
              <w:rPr>
                <w:b/>
              </w:rPr>
              <w:t>–</w:t>
            </w:r>
            <w:r>
              <w:rPr>
                <w:b/>
              </w:rPr>
              <w:t>26</w:t>
            </w:r>
            <w:r w:rsidRPr="00872E1E">
              <w:rPr>
                <w:b/>
                <w:lang w:val="en-AU"/>
              </w:rPr>
              <w:t>)</w:t>
            </w:r>
          </w:p>
        </w:tc>
      </w:tr>
      <w:tr w:rsidR="006112E9" w:rsidRPr="00D57046" w14:paraId="20BA6AA3" w14:textId="77777777" w:rsidTr="6408430E">
        <w:trPr>
          <w:cnfStyle w:val="000000100000" w:firstRow="0" w:lastRow="0" w:firstColumn="0" w:lastColumn="0" w:oddVBand="0" w:evenVBand="0" w:oddHBand="1" w:evenHBand="0" w:firstRowFirstColumn="0" w:firstRowLastColumn="0" w:lastRowFirstColumn="0" w:lastRowLastColumn="0"/>
          <w:trHeight w:val="125"/>
        </w:trPr>
        <w:tc>
          <w:tcPr>
            <w:tcW w:w="2977" w:type="dxa"/>
          </w:tcPr>
          <w:p w14:paraId="05DE593D" w14:textId="31134388" w:rsidR="006112E9" w:rsidRPr="00872E1E" w:rsidRDefault="006112E9">
            <w:pPr>
              <w:pStyle w:val="TableBody"/>
            </w:pPr>
            <w:r>
              <w:t>C</w:t>
            </w:r>
            <w:r w:rsidR="0032418E">
              <w:t>ost to serve</w:t>
            </w:r>
          </w:p>
        </w:tc>
        <w:tc>
          <w:tcPr>
            <w:tcW w:w="1843" w:type="dxa"/>
          </w:tcPr>
          <w:p w14:paraId="3E121DCD" w14:textId="77777777" w:rsidR="006112E9" w:rsidRPr="009436CB" w:rsidRDefault="006112E9" w:rsidP="008F0737">
            <w:pPr>
              <w:pStyle w:val="TableBody"/>
              <w:jc w:val="center"/>
              <w:rPr>
                <w:sz w:val="20"/>
                <w:szCs w:val="20"/>
              </w:rPr>
            </w:pPr>
            <w:r w:rsidRPr="009436CB">
              <w:rPr>
                <w:rFonts w:cs="Calibri"/>
                <w:color w:val="000000"/>
              </w:rPr>
              <w:t>$35</w:t>
            </w:r>
          </w:p>
        </w:tc>
        <w:tc>
          <w:tcPr>
            <w:tcW w:w="2126" w:type="dxa"/>
          </w:tcPr>
          <w:p w14:paraId="580E147E" w14:textId="77777777" w:rsidR="006112E9" w:rsidRPr="009436CB" w:rsidRDefault="006112E9" w:rsidP="008F0737">
            <w:pPr>
              <w:pStyle w:val="TableBody"/>
              <w:jc w:val="center"/>
            </w:pPr>
            <w:r w:rsidRPr="009436CB">
              <w:rPr>
                <w:rFonts w:cs="Calibri"/>
                <w:color w:val="000000"/>
              </w:rPr>
              <w:t>$36</w:t>
            </w:r>
          </w:p>
        </w:tc>
        <w:tc>
          <w:tcPr>
            <w:tcW w:w="2125" w:type="dxa"/>
          </w:tcPr>
          <w:p w14:paraId="2F350981" w14:textId="77777777" w:rsidR="006112E9" w:rsidRPr="009436CB" w:rsidRDefault="006112E9" w:rsidP="008F0737">
            <w:pPr>
              <w:pStyle w:val="TableBody"/>
              <w:jc w:val="center"/>
              <w:rPr>
                <w:highlight w:val="yellow"/>
              </w:rPr>
            </w:pPr>
            <w:r w:rsidRPr="009436CB">
              <w:rPr>
                <w:rFonts w:cs="Calibri"/>
                <w:color w:val="000000"/>
              </w:rPr>
              <w:t>$37</w:t>
            </w:r>
          </w:p>
        </w:tc>
      </w:tr>
      <w:tr w:rsidR="006112E9" w:rsidRPr="00D57046" w14:paraId="1040A80F" w14:textId="77777777" w:rsidTr="00814031">
        <w:trPr>
          <w:cnfStyle w:val="000000010000" w:firstRow="0" w:lastRow="0" w:firstColumn="0" w:lastColumn="0" w:oddVBand="0" w:evenVBand="0" w:oddHBand="0" w:evenHBand="1" w:firstRowFirstColumn="0" w:firstRowLastColumn="0" w:lastRowFirstColumn="0" w:lastRowLastColumn="0"/>
          <w:trHeight w:val="125"/>
        </w:trPr>
        <w:tc>
          <w:tcPr>
            <w:tcW w:w="2977" w:type="dxa"/>
          </w:tcPr>
          <w:p w14:paraId="2A99C1B6" w14:textId="19816620" w:rsidR="006112E9" w:rsidRPr="00872E1E" w:rsidRDefault="006112E9">
            <w:pPr>
              <w:pStyle w:val="TableBody"/>
            </w:pPr>
            <w:r w:rsidRPr="0C4C398D">
              <w:rPr>
                <w:lang w:val="en-AU"/>
              </w:rPr>
              <w:t xml:space="preserve">Customer service (including call </w:t>
            </w:r>
            <w:r w:rsidR="007E6132" w:rsidRPr="0C4C398D">
              <w:rPr>
                <w:lang w:val="en-AU"/>
              </w:rPr>
              <w:t>centres</w:t>
            </w:r>
            <w:r w:rsidRPr="0C4C398D">
              <w:rPr>
                <w:lang w:val="en-AU"/>
              </w:rPr>
              <w:t xml:space="preserve"> and support)</w:t>
            </w:r>
          </w:p>
        </w:tc>
        <w:tc>
          <w:tcPr>
            <w:tcW w:w="1843" w:type="dxa"/>
          </w:tcPr>
          <w:p w14:paraId="67A93C6E" w14:textId="77777777" w:rsidR="006112E9" w:rsidRPr="009436CB" w:rsidRDefault="006112E9" w:rsidP="008F0737">
            <w:pPr>
              <w:pStyle w:val="TableBody"/>
              <w:jc w:val="center"/>
              <w:rPr>
                <w:sz w:val="20"/>
                <w:szCs w:val="20"/>
              </w:rPr>
            </w:pPr>
            <w:r w:rsidRPr="009436CB">
              <w:rPr>
                <w:rFonts w:cs="Calibri"/>
                <w:color w:val="000000"/>
              </w:rPr>
              <w:t>$5</w:t>
            </w:r>
          </w:p>
        </w:tc>
        <w:tc>
          <w:tcPr>
            <w:tcW w:w="2126" w:type="dxa"/>
          </w:tcPr>
          <w:p w14:paraId="62803594" w14:textId="77777777" w:rsidR="006112E9" w:rsidRPr="009436CB" w:rsidRDefault="006112E9" w:rsidP="008F0737">
            <w:pPr>
              <w:pStyle w:val="TableBody"/>
              <w:jc w:val="center"/>
            </w:pPr>
            <w:r w:rsidRPr="009436CB">
              <w:rPr>
                <w:rFonts w:cs="Calibri"/>
                <w:color w:val="000000"/>
              </w:rPr>
              <w:t>$8</w:t>
            </w:r>
          </w:p>
        </w:tc>
        <w:tc>
          <w:tcPr>
            <w:tcW w:w="2125" w:type="dxa"/>
          </w:tcPr>
          <w:p w14:paraId="6B946500" w14:textId="77777777" w:rsidR="006112E9" w:rsidRPr="009436CB" w:rsidRDefault="006112E9" w:rsidP="008F0737">
            <w:pPr>
              <w:pStyle w:val="TableBody"/>
              <w:jc w:val="center"/>
              <w:rPr>
                <w:highlight w:val="yellow"/>
              </w:rPr>
            </w:pPr>
            <w:r w:rsidRPr="009436CB">
              <w:rPr>
                <w:rFonts w:cs="Calibri"/>
                <w:color w:val="000000"/>
              </w:rPr>
              <w:t>$14</w:t>
            </w:r>
          </w:p>
        </w:tc>
      </w:tr>
      <w:tr w:rsidR="006112E9" w:rsidRPr="00D57046" w14:paraId="28ED2089" w14:textId="77777777" w:rsidTr="00814031">
        <w:trPr>
          <w:cnfStyle w:val="000000100000" w:firstRow="0" w:lastRow="0" w:firstColumn="0" w:lastColumn="0" w:oddVBand="0" w:evenVBand="0" w:oddHBand="1" w:evenHBand="0" w:firstRowFirstColumn="0" w:firstRowLastColumn="0" w:lastRowFirstColumn="0" w:lastRowLastColumn="0"/>
          <w:trHeight w:val="125"/>
        </w:trPr>
        <w:tc>
          <w:tcPr>
            <w:tcW w:w="2977" w:type="dxa"/>
          </w:tcPr>
          <w:p w14:paraId="3BBFC236" w14:textId="77777777" w:rsidR="006112E9" w:rsidRPr="00872E1E" w:rsidRDefault="006112E9">
            <w:pPr>
              <w:pStyle w:val="TableBody"/>
            </w:pPr>
            <w:r>
              <w:t>Debt collection</w:t>
            </w:r>
          </w:p>
        </w:tc>
        <w:tc>
          <w:tcPr>
            <w:tcW w:w="1843" w:type="dxa"/>
          </w:tcPr>
          <w:p w14:paraId="468A5B59" w14:textId="77777777" w:rsidR="006112E9" w:rsidRPr="009436CB" w:rsidRDefault="006112E9" w:rsidP="008F0737">
            <w:pPr>
              <w:pStyle w:val="TableBody"/>
              <w:jc w:val="center"/>
              <w:rPr>
                <w:sz w:val="20"/>
                <w:szCs w:val="20"/>
              </w:rPr>
            </w:pPr>
            <w:r w:rsidRPr="009436CB">
              <w:rPr>
                <w:rFonts w:cs="Calibri"/>
                <w:color w:val="000000"/>
              </w:rPr>
              <w:t>$4</w:t>
            </w:r>
          </w:p>
        </w:tc>
        <w:tc>
          <w:tcPr>
            <w:tcW w:w="2126" w:type="dxa"/>
          </w:tcPr>
          <w:p w14:paraId="44DF34FB" w14:textId="77777777" w:rsidR="006112E9" w:rsidRPr="009436CB" w:rsidRDefault="006112E9" w:rsidP="008F0737">
            <w:pPr>
              <w:pStyle w:val="TableBody"/>
              <w:jc w:val="center"/>
            </w:pPr>
            <w:r w:rsidRPr="009436CB">
              <w:rPr>
                <w:rFonts w:cs="Calibri"/>
                <w:color w:val="000000"/>
              </w:rPr>
              <w:t>$4</w:t>
            </w:r>
          </w:p>
        </w:tc>
        <w:tc>
          <w:tcPr>
            <w:tcW w:w="2125" w:type="dxa"/>
          </w:tcPr>
          <w:p w14:paraId="42005E3F" w14:textId="77777777" w:rsidR="006112E9" w:rsidRPr="009436CB" w:rsidRDefault="006112E9" w:rsidP="008F0737">
            <w:pPr>
              <w:pStyle w:val="TableBody"/>
              <w:jc w:val="center"/>
              <w:rPr>
                <w:highlight w:val="yellow"/>
              </w:rPr>
            </w:pPr>
            <w:r w:rsidRPr="009436CB">
              <w:rPr>
                <w:rFonts w:cs="Calibri"/>
                <w:color w:val="000000"/>
              </w:rPr>
              <w:t>$6</w:t>
            </w:r>
          </w:p>
        </w:tc>
      </w:tr>
      <w:tr w:rsidR="006112E9" w:rsidRPr="00D57046" w14:paraId="3962E3F9" w14:textId="77777777" w:rsidTr="00814031">
        <w:trPr>
          <w:cnfStyle w:val="000000010000" w:firstRow="0" w:lastRow="0" w:firstColumn="0" w:lastColumn="0" w:oddVBand="0" w:evenVBand="0" w:oddHBand="0" w:evenHBand="1" w:firstRowFirstColumn="0" w:firstRowLastColumn="0" w:lastRowFirstColumn="0" w:lastRowLastColumn="0"/>
          <w:trHeight w:val="125"/>
        </w:trPr>
        <w:tc>
          <w:tcPr>
            <w:tcW w:w="2977" w:type="dxa"/>
          </w:tcPr>
          <w:p w14:paraId="789D3BE1" w14:textId="77777777" w:rsidR="006112E9" w:rsidRPr="00872E1E" w:rsidRDefault="006112E9">
            <w:pPr>
              <w:pStyle w:val="TableBody"/>
            </w:pPr>
            <w:r>
              <w:t>Billing functions</w:t>
            </w:r>
          </w:p>
        </w:tc>
        <w:tc>
          <w:tcPr>
            <w:tcW w:w="1843" w:type="dxa"/>
          </w:tcPr>
          <w:p w14:paraId="430F2B70" w14:textId="77777777" w:rsidR="006112E9" w:rsidRPr="009436CB" w:rsidRDefault="006112E9" w:rsidP="008F0737">
            <w:pPr>
              <w:pStyle w:val="TableBody"/>
              <w:jc w:val="center"/>
              <w:rPr>
                <w:sz w:val="20"/>
                <w:szCs w:val="20"/>
              </w:rPr>
            </w:pPr>
            <w:r w:rsidRPr="009436CB">
              <w:rPr>
                <w:rFonts w:cs="Calibri"/>
                <w:color w:val="000000"/>
              </w:rPr>
              <w:t>$8</w:t>
            </w:r>
          </w:p>
        </w:tc>
        <w:tc>
          <w:tcPr>
            <w:tcW w:w="2126" w:type="dxa"/>
          </w:tcPr>
          <w:p w14:paraId="3802358A" w14:textId="77777777" w:rsidR="006112E9" w:rsidRPr="009436CB" w:rsidRDefault="006112E9" w:rsidP="008F0737">
            <w:pPr>
              <w:pStyle w:val="TableBody"/>
              <w:jc w:val="center"/>
            </w:pPr>
            <w:r w:rsidRPr="009436CB">
              <w:rPr>
                <w:rFonts w:cs="Calibri"/>
                <w:color w:val="000000"/>
              </w:rPr>
              <w:t>$9</w:t>
            </w:r>
          </w:p>
        </w:tc>
        <w:tc>
          <w:tcPr>
            <w:tcW w:w="2125" w:type="dxa"/>
          </w:tcPr>
          <w:p w14:paraId="47CCBE68" w14:textId="77777777" w:rsidR="006112E9" w:rsidRPr="009436CB" w:rsidRDefault="006112E9" w:rsidP="008F0737">
            <w:pPr>
              <w:pStyle w:val="TableBody"/>
              <w:jc w:val="center"/>
              <w:rPr>
                <w:highlight w:val="yellow"/>
              </w:rPr>
            </w:pPr>
            <w:r w:rsidRPr="009436CB">
              <w:rPr>
                <w:rFonts w:cs="Calibri"/>
                <w:color w:val="000000"/>
              </w:rPr>
              <w:t>$10</w:t>
            </w:r>
          </w:p>
        </w:tc>
      </w:tr>
      <w:tr w:rsidR="006112E9" w:rsidRPr="00D57046" w14:paraId="39CF6065" w14:textId="77777777" w:rsidTr="00814031">
        <w:trPr>
          <w:cnfStyle w:val="000000100000" w:firstRow="0" w:lastRow="0" w:firstColumn="0" w:lastColumn="0" w:oddVBand="0" w:evenVBand="0" w:oddHBand="1" w:evenHBand="0" w:firstRowFirstColumn="0" w:firstRowLastColumn="0" w:lastRowFirstColumn="0" w:lastRowLastColumn="0"/>
          <w:trHeight w:val="384"/>
        </w:trPr>
        <w:tc>
          <w:tcPr>
            <w:tcW w:w="2977" w:type="dxa"/>
          </w:tcPr>
          <w:p w14:paraId="77FCDACB" w14:textId="77777777" w:rsidR="006112E9" w:rsidRPr="00872E1E" w:rsidRDefault="006112E9">
            <w:pPr>
              <w:pStyle w:val="TableBody"/>
            </w:pPr>
            <w:r>
              <w:t>IT systems</w:t>
            </w:r>
          </w:p>
        </w:tc>
        <w:tc>
          <w:tcPr>
            <w:tcW w:w="1843" w:type="dxa"/>
          </w:tcPr>
          <w:p w14:paraId="3A6283E0" w14:textId="77777777" w:rsidR="006112E9" w:rsidRPr="009436CB" w:rsidRDefault="006112E9" w:rsidP="008F0737">
            <w:pPr>
              <w:pStyle w:val="TableBody"/>
              <w:jc w:val="center"/>
              <w:rPr>
                <w:sz w:val="20"/>
                <w:szCs w:val="20"/>
              </w:rPr>
            </w:pPr>
            <w:r w:rsidRPr="009436CB">
              <w:rPr>
                <w:rFonts w:cs="Calibri"/>
                <w:color w:val="000000"/>
              </w:rPr>
              <w:t>$14</w:t>
            </w:r>
          </w:p>
        </w:tc>
        <w:tc>
          <w:tcPr>
            <w:tcW w:w="2126" w:type="dxa"/>
          </w:tcPr>
          <w:p w14:paraId="7069F207" w14:textId="77777777" w:rsidR="006112E9" w:rsidRPr="009436CB" w:rsidRDefault="006112E9" w:rsidP="008F0737">
            <w:pPr>
              <w:pStyle w:val="TableBody"/>
              <w:jc w:val="center"/>
            </w:pPr>
            <w:r w:rsidRPr="009436CB">
              <w:rPr>
                <w:rFonts w:cs="Calibri"/>
                <w:color w:val="000000"/>
              </w:rPr>
              <w:t>$17</w:t>
            </w:r>
          </w:p>
        </w:tc>
        <w:tc>
          <w:tcPr>
            <w:tcW w:w="2125" w:type="dxa"/>
          </w:tcPr>
          <w:p w14:paraId="2B76E597" w14:textId="77777777" w:rsidR="006112E9" w:rsidRPr="009436CB" w:rsidRDefault="006112E9" w:rsidP="008F0737">
            <w:pPr>
              <w:pStyle w:val="TableBody"/>
              <w:jc w:val="center"/>
              <w:rPr>
                <w:highlight w:val="yellow"/>
              </w:rPr>
            </w:pPr>
            <w:r w:rsidRPr="009436CB">
              <w:rPr>
                <w:rFonts w:cs="Calibri"/>
                <w:color w:val="000000"/>
              </w:rPr>
              <w:t>$14</w:t>
            </w:r>
          </w:p>
        </w:tc>
      </w:tr>
      <w:tr w:rsidR="006112E9" w:rsidRPr="00D57046" w14:paraId="613C6779" w14:textId="77777777" w:rsidTr="00814031">
        <w:trPr>
          <w:cnfStyle w:val="000000010000" w:firstRow="0" w:lastRow="0" w:firstColumn="0" w:lastColumn="0" w:oddVBand="0" w:evenVBand="0" w:oddHBand="0" w:evenHBand="1" w:firstRowFirstColumn="0" w:firstRowLastColumn="0" w:lastRowFirstColumn="0" w:lastRowLastColumn="0"/>
          <w:trHeight w:val="125"/>
        </w:trPr>
        <w:tc>
          <w:tcPr>
            <w:tcW w:w="2977" w:type="dxa"/>
          </w:tcPr>
          <w:p w14:paraId="78F1529D" w14:textId="3D05B06F" w:rsidR="006112E9" w:rsidRPr="00872E1E" w:rsidRDefault="005C1678">
            <w:pPr>
              <w:pStyle w:val="TableBody"/>
            </w:pPr>
            <w:r>
              <w:rPr>
                <w:lang w:val="en-AU"/>
              </w:rPr>
              <w:t xml:space="preserve">Other </w:t>
            </w:r>
            <w:r w:rsidR="00813232">
              <w:rPr>
                <w:lang w:val="en-AU"/>
              </w:rPr>
              <w:t>cost to serve</w:t>
            </w:r>
          </w:p>
        </w:tc>
        <w:tc>
          <w:tcPr>
            <w:tcW w:w="1843" w:type="dxa"/>
          </w:tcPr>
          <w:p w14:paraId="5CFB5AAD" w14:textId="64B71D0D" w:rsidR="006112E9" w:rsidRPr="009436CB" w:rsidRDefault="006112E9" w:rsidP="00AC1076">
            <w:pPr>
              <w:pStyle w:val="TableBody"/>
              <w:jc w:val="center"/>
              <w:rPr>
                <w:sz w:val="20"/>
                <w:szCs w:val="20"/>
              </w:rPr>
            </w:pPr>
            <w:r w:rsidRPr="6408430E">
              <w:rPr>
                <w:rFonts w:cs="Calibri"/>
                <w:color w:val="000000" w:themeColor="text1"/>
              </w:rPr>
              <w:t>$</w:t>
            </w:r>
            <w:r w:rsidR="0BAF0EBC" w:rsidRPr="6408430E">
              <w:rPr>
                <w:rFonts w:cs="Calibri"/>
                <w:color w:val="000000" w:themeColor="text1"/>
              </w:rPr>
              <w:t>13</w:t>
            </w:r>
          </w:p>
        </w:tc>
        <w:tc>
          <w:tcPr>
            <w:tcW w:w="2126" w:type="dxa"/>
          </w:tcPr>
          <w:p w14:paraId="31D2929D" w14:textId="40AB8BC3" w:rsidR="006112E9" w:rsidRPr="009436CB" w:rsidRDefault="006112E9" w:rsidP="00AC1076">
            <w:pPr>
              <w:pStyle w:val="TableBody"/>
              <w:jc w:val="center"/>
              <w:rPr>
                <w:rFonts w:cs="Calibri"/>
                <w:color w:val="000000" w:themeColor="text1"/>
              </w:rPr>
            </w:pPr>
            <w:r w:rsidRPr="00073EA7">
              <w:rPr>
                <w:rFonts w:cs="Calibri"/>
                <w:color w:val="000000" w:themeColor="text1"/>
              </w:rPr>
              <w:t>$1</w:t>
            </w:r>
            <w:r w:rsidR="00073EA7" w:rsidRPr="00073EA7">
              <w:rPr>
                <w:rFonts w:cs="Calibri"/>
                <w:color w:val="000000" w:themeColor="text1"/>
              </w:rPr>
              <w:t>8</w:t>
            </w:r>
          </w:p>
        </w:tc>
        <w:tc>
          <w:tcPr>
            <w:tcW w:w="2125" w:type="dxa"/>
          </w:tcPr>
          <w:p w14:paraId="764F5CDC" w14:textId="77777777" w:rsidR="006112E9" w:rsidRPr="009436CB" w:rsidRDefault="006112E9" w:rsidP="00AC1076">
            <w:pPr>
              <w:pStyle w:val="TableBody"/>
              <w:jc w:val="center"/>
              <w:rPr>
                <w:highlight w:val="yellow"/>
              </w:rPr>
            </w:pPr>
            <w:r w:rsidRPr="009436CB">
              <w:rPr>
                <w:rFonts w:cs="Calibri"/>
                <w:color w:val="000000"/>
              </w:rPr>
              <w:t>$17</w:t>
            </w:r>
          </w:p>
        </w:tc>
      </w:tr>
      <w:tr w:rsidR="006112E9" w:rsidRPr="00D57046" w14:paraId="53E6A100" w14:textId="77777777" w:rsidTr="00814031">
        <w:trPr>
          <w:cnfStyle w:val="000000100000" w:firstRow="0" w:lastRow="0" w:firstColumn="0" w:lastColumn="0" w:oddVBand="0" w:evenVBand="0" w:oddHBand="1" w:evenHBand="0" w:firstRowFirstColumn="0" w:firstRowLastColumn="0" w:lastRowFirstColumn="0" w:lastRowLastColumn="0"/>
          <w:trHeight w:val="125"/>
        </w:trPr>
        <w:tc>
          <w:tcPr>
            <w:tcW w:w="2977" w:type="dxa"/>
          </w:tcPr>
          <w:p w14:paraId="6BC77D44" w14:textId="63C6427A" w:rsidR="006112E9" w:rsidRPr="00872E1E" w:rsidRDefault="006112E9">
            <w:pPr>
              <w:pStyle w:val="TableBody"/>
            </w:pPr>
            <w:r>
              <w:t xml:space="preserve">Other </w:t>
            </w:r>
            <w:r w:rsidR="00D37A65">
              <w:t>c</w:t>
            </w:r>
            <w:r>
              <w:t>ost</w:t>
            </w:r>
            <w:r w:rsidR="00D37A65">
              <w:t>s</w:t>
            </w:r>
          </w:p>
        </w:tc>
        <w:tc>
          <w:tcPr>
            <w:tcW w:w="1843" w:type="dxa"/>
          </w:tcPr>
          <w:p w14:paraId="5F1D9BED" w14:textId="77777777" w:rsidR="006112E9" w:rsidRPr="009436CB" w:rsidRDefault="006112E9" w:rsidP="004C2417">
            <w:pPr>
              <w:pStyle w:val="TableBody"/>
              <w:jc w:val="center"/>
              <w:rPr>
                <w:sz w:val="20"/>
                <w:szCs w:val="20"/>
              </w:rPr>
            </w:pPr>
            <w:r w:rsidRPr="009436CB">
              <w:rPr>
                <w:rFonts w:cs="Calibri"/>
                <w:color w:val="000000"/>
              </w:rPr>
              <w:t>$17</w:t>
            </w:r>
          </w:p>
        </w:tc>
        <w:tc>
          <w:tcPr>
            <w:tcW w:w="2126" w:type="dxa"/>
          </w:tcPr>
          <w:p w14:paraId="0DF3C79D" w14:textId="77777777" w:rsidR="006112E9" w:rsidRPr="009436CB" w:rsidRDefault="006112E9" w:rsidP="004C2417">
            <w:pPr>
              <w:pStyle w:val="TableBody"/>
              <w:jc w:val="center"/>
            </w:pPr>
            <w:r w:rsidRPr="009436CB">
              <w:rPr>
                <w:rFonts w:cs="Calibri"/>
                <w:color w:val="000000"/>
              </w:rPr>
              <w:t>$17</w:t>
            </w:r>
          </w:p>
        </w:tc>
        <w:tc>
          <w:tcPr>
            <w:tcW w:w="2125" w:type="dxa"/>
          </w:tcPr>
          <w:p w14:paraId="5C3D96D1" w14:textId="77777777" w:rsidR="006112E9" w:rsidRPr="009436CB" w:rsidRDefault="006112E9" w:rsidP="004C2417">
            <w:pPr>
              <w:pStyle w:val="TableBody"/>
              <w:jc w:val="center"/>
              <w:rPr>
                <w:highlight w:val="yellow"/>
              </w:rPr>
            </w:pPr>
            <w:r w:rsidRPr="009436CB">
              <w:rPr>
                <w:rFonts w:cs="Calibri"/>
                <w:color w:val="000000"/>
              </w:rPr>
              <w:t>$14</w:t>
            </w:r>
          </w:p>
        </w:tc>
      </w:tr>
      <w:tr w:rsidR="006112E9" w:rsidRPr="00D57046" w14:paraId="2686B150" w14:textId="77777777" w:rsidTr="00814031">
        <w:trPr>
          <w:cnfStyle w:val="000000010000" w:firstRow="0" w:lastRow="0" w:firstColumn="0" w:lastColumn="0" w:oddVBand="0" w:evenVBand="0" w:oddHBand="0" w:evenHBand="1" w:firstRowFirstColumn="0" w:firstRowLastColumn="0" w:lastRowFirstColumn="0" w:lastRowLastColumn="0"/>
          <w:trHeight w:val="125"/>
        </w:trPr>
        <w:tc>
          <w:tcPr>
            <w:tcW w:w="2977" w:type="dxa"/>
          </w:tcPr>
          <w:p w14:paraId="5AFAA479" w14:textId="77777777" w:rsidR="006112E9" w:rsidRPr="00872E1E" w:rsidRDefault="006112E9">
            <w:pPr>
              <w:pStyle w:val="TableBody"/>
            </w:pPr>
            <w:r w:rsidRPr="2776B55A">
              <w:rPr>
                <w:lang w:val="en-AU"/>
              </w:rPr>
              <w:t>Bad debt costs</w:t>
            </w:r>
          </w:p>
        </w:tc>
        <w:tc>
          <w:tcPr>
            <w:tcW w:w="1843" w:type="dxa"/>
          </w:tcPr>
          <w:p w14:paraId="5C848DFF" w14:textId="77777777" w:rsidR="006112E9" w:rsidRPr="009436CB" w:rsidRDefault="006112E9" w:rsidP="004C2417">
            <w:pPr>
              <w:pStyle w:val="TableBody"/>
              <w:jc w:val="center"/>
              <w:rPr>
                <w:sz w:val="20"/>
                <w:szCs w:val="20"/>
              </w:rPr>
            </w:pPr>
            <w:r w:rsidRPr="009436CB">
              <w:rPr>
                <w:rFonts w:cs="Calibri"/>
                <w:color w:val="000000"/>
              </w:rPr>
              <w:t>$30</w:t>
            </w:r>
          </w:p>
        </w:tc>
        <w:tc>
          <w:tcPr>
            <w:tcW w:w="2126" w:type="dxa"/>
          </w:tcPr>
          <w:p w14:paraId="644859E2" w14:textId="77777777" w:rsidR="006112E9" w:rsidRPr="009436CB" w:rsidRDefault="006112E9" w:rsidP="004C2417">
            <w:pPr>
              <w:pStyle w:val="TableBody"/>
              <w:jc w:val="center"/>
            </w:pPr>
            <w:r w:rsidRPr="009436CB">
              <w:rPr>
                <w:rFonts w:cs="Calibri"/>
                <w:color w:val="000000"/>
              </w:rPr>
              <w:t>$28</w:t>
            </w:r>
          </w:p>
        </w:tc>
        <w:tc>
          <w:tcPr>
            <w:tcW w:w="2125" w:type="dxa"/>
          </w:tcPr>
          <w:p w14:paraId="46AD22AB" w14:textId="77777777" w:rsidR="006112E9" w:rsidRPr="009436CB" w:rsidRDefault="006112E9" w:rsidP="004C2417">
            <w:pPr>
              <w:pStyle w:val="TableBody"/>
              <w:jc w:val="center"/>
              <w:rPr>
                <w:highlight w:val="yellow"/>
              </w:rPr>
            </w:pPr>
            <w:r w:rsidRPr="009436CB">
              <w:rPr>
                <w:rFonts w:cs="Calibri"/>
                <w:color w:val="000000"/>
              </w:rPr>
              <w:t>$34</w:t>
            </w:r>
          </w:p>
        </w:tc>
      </w:tr>
      <w:tr w:rsidR="006112E9" w:rsidRPr="00D57046" w14:paraId="7F5AD398" w14:textId="77777777" w:rsidTr="00814031">
        <w:trPr>
          <w:cnfStyle w:val="000000100000" w:firstRow="0" w:lastRow="0" w:firstColumn="0" w:lastColumn="0" w:oddVBand="0" w:evenVBand="0" w:oddHBand="1" w:evenHBand="0" w:firstRowFirstColumn="0" w:firstRowLastColumn="0" w:lastRowFirstColumn="0" w:lastRowLastColumn="0"/>
          <w:trHeight w:val="125"/>
        </w:trPr>
        <w:tc>
          <w:tcPr>
            <w:tcW w:w="2977" w:type="dxa"/>
          </w:tcPr>
          <w:p w14:paraId="5ED49763" w14:textId="77777777" w:rsidR="006112E9" w:rsidRPr="00872E1E" w:rsidRDefault="006112E9">
            <w:pPr>
              <w:pStyle w:val="TableBody"/>
            </w:pPr>
            <w:r>
              <w:t>Retail operating cost (total)</w:t>
            </w:r>
          </w:p>
        </w:tc>
        <w:tc>
          <w:tcPr>
            <w:tcW w:w="1843" w:type="dxa"/>
          </w:tcPr>
          <w:p w14:paraId="1CC09F30" w14:textId="6E1A4331" w:rsidR="006112E9" w:rsidRPr="009436CB" w:rsidRDefault="006112E9" w:rsidP="004C2417">
            <w:pPr>
              <w:pStyle w:val="TableBody"/>
              <w:jc w:val="center"/>
              <w:rPr>
                <w:sz w:val="20"/>
                <w:szCs w:val="20"/>
              </w:rPr>
            </w:pPr>
            <w:r w:rsidRPr="6408430E">
              <w:rPr>
                <w:rFonts w:cs="Calibri"/>
                <w:color w:val="000000" w:themeColor="text1"/>
              </w:rPr>
              <w:t>$12</w:t>
            </w:r>
            <w:r w:rsidR="004C325A">
              <w:rPr>
                <w:rFonts w:cs="Calibri"/>
                <w:color w:val="000000" w:themeColor="text1"/>
              </w:rPr>
              <w:t>6</w:t>
            </w:r>
          </w:p>
        </w:tc>
        <w:tc>
          <w:tcPr>
            <w:tcW w:w="2126" w:type="dxa"/>
          </w:tcPr>
          <w:p w14:paraId="24A7AF55" w14:textId="00909BAD" w:rsidR="006112E9" w:rsidRPr="009436CB" w:rsidRDefault="006112E9" w:rsidP="004C2417">
            <w:pPr>
              <w:pStyle w:val="TableBody"/>
              <w:jc w:val="center"/>
              <w:rPr>
                <w:rFonts w:cs="Calibri"/>
                <w:color w:val="000000" w:themeColor="text1"/>
              </w:rPr>
            </w:pPr>
            <w:r w:rsidRPr="6408430E">
              <w:rPr>
                <w:rFonts w:cs="Calibri"/>
                <w:color w:val="000000" w:themeColor="text1"/>
              </w:rPr>
              <w:t>$13</w:t>
            </w:r>
            <w:r w:rsidR="004C325A">
              <w:rPr>
                <w:rFonts w:cs="Calibri"/>
                <w:color w:val="000000" w:themeColor="text1"/>
              </w:rPr>
              <w:t>7</w:t>
            </w:r>
          </w:p>
        </w:tc>
        <w:tc>
          <w:tcPr>
            <w:tcW w:w="2125" w:type="dxa"/>
          </w:tcPr>
          <w:p w14:paraId="4FFE20E0" w14:textId="03CF6159" w:rsidR="006112E9" w:rsidRPr="009436CB" w:rsidRDefault="006112E9" w:rsidP="004C2417">
            <w:pPr>
              <w:pStyle w:val="TableBody"/>
              <w:jc w:val="center"/>
              <w:rPr>
                <w:highlight w:val="yellow"/>
              </w:rPr>
            </w:pPr>
            <w:r w:rsidRPr="009436CB">
              <w:rPr>
                <w:rFonts w:cs="Calibri"/>
                <w:color w:val="000000"/>
              </w:rPr>
              <w:t>$145</w:t>
            </w:r>
          </w:p>
        </w:tc>
      </w:tr>
    </w:tbl>
    <w:p w14:paraId="519B1B89" w14:textId="7AAFE89E" w:rsidR="00E85CDC" w:rsidRPr="00CC5219" w:rsidRDefault="00814031" w:rsidP="00E85CDC">
      <w:pPr>
        <w:pStyle w:val="Source"/>
        <w:jc w:val="left"/>
      </w:pPr>
      <w:r w:rsidRPr="00D710D3">
        <w:t xml:space="preserve">Source: </w:t>
      </w:r>
      <w:r>
        <w:t>Essential Services Commission analysis based on data requested and received from a sample of Victorian retail electricity businesses</w:t>
      </w:r>
      <w:r w:rsidR="00E85CDC">
        <w:t xml:space="preserve">. </w:t>
      </w:r>
      <w:r w:rsidR="00EB19AF" w:rsidRPr="00EB19AF">
        <w:t>Values in the table may not sum to exact total due to rounding.</w:t>
      </w:r>
    </w:p>
    <w:p w14:paraId="01507FF6" w14:textId="467C2D29" w:rsidR="00A36ACF" w:rsidRDefault="00A36ACF" w:rsidP="00814031">
      <w:pPr>
        <w:pStyle w:val="Caption"/>
      </w:pPr>
    </w:p>
    <w:p w14:paraId="3231981F" w14:textId="7BD917B7" w:rsidR="00A36ACF" w:rsidRDefault="00A36ACF" w:rsidP="00FD1738">
      <w:r w:rsidRPr="00892F00">
        <w:t xml:space="preserve">EnergyAustralia </w:t>
      </w:r>
      <w:r>
        <w:t>requested s</w:t>
      </w:r>
      <w:r w:rsidRPr="00892F00">
        <w:t>ome comparable charts used in presenting information on retail operating cost benchmarks by other jurisdictions.</w:t>
      </w:r>
      <w:r>
        <w:t xml:space="preserve"> We have provided Table </w:t>
      </w:r>
      <w:r w:rsidR="00FC5FD8">
        <w:t>5</w:t>
      </w:r>
      <w:r>
        <w:t xml:space="preserve"> and Figure </w:t>
      </w:r>
      <w:r w:rsidR="00FC5FD8">
        <w:t>5</w:t>
      </w:r>
      <w:r>
        <w:t xml:space="preserve"> in response to </w:t>
      </w:r>
      <w:r w:rsidR="00446424">
        <w:t>its</w:t>
      </w:r>
      <w:r>
        <w:t xml:space="preserve"> submission to help retailers better understand the benchmark calculation.</w:t>
      </w:r>
      <w:r w:rsidR="00846E50">
        <w:t xml:space="preserve"> </w:t>
      </w:r>
      <w:r w:rsidRPr="00717EA0">
        <w:t>EnergyAustralia</w:t>
      </w:r>
      <w:r w:rsidR="00846E50">
        <w:t xml:space="preserve"> also </w:t>
      </w:r>
      <w:r w:rsidRPr="00717EA0">
        <w:t xml:space="preserve">suggested publishing an interquartile chart of retailers’ operating costs. While we acknowledge that retail operating costs can vary across individual retailers, the purpose of the benchmark is not to replicate or reflect the costs of any </w:t>
      </w:r>
      <w:proofErr w:type="gramStart"/>
      <w:r w:rsidRPr="00717EA0">
        <w:t>particular group</w:t>
      </w:r>
      <w:proofErr w:type="gramEnd"/>
      <w:r w:rsidRPr="00717EA0">
        <w:t xml:space="preserve">. Instead, we use a customer-weighted average approach, which we consider a more appropriate method for estimating the efficient costs of electricity retailing. This approach better supports the objective of the retail operating cost benchmark </w:t>
      </w:r>
      <w:r>
        <w:t xml:space="preserve">in Victorian Default Offer. </w:t>
      </w:r>
      <w:r w:rsidR="00A176F1">
        <w:rPr>
          <w:rStyle w:val="FootnoteReference"/>
        </w:rPr>
        <w:footnoteReference w:id="105"/>
      </w:r>
    </w:p>
    <w:p w14:paraId="5E787B0F" w14:textId="1E3D10FB" w:rsidR="00347727" w:rsidRDefault="003B3D78" w:rsidP="00FD1738">
      <w:r w:rsidRPr="00892F00" w:rsidDel="00BB4B89">
        <w:t xml:space="preserve">To </w:t>
      </w:r>
      <w:r w:rsidR="00072466" w:rsidRPr="00892F00">
        <w:t xml:space="preserve">support transparency, </w:t>
      </w:r>
      <w:r w:rsidR="000D47EF" w:rsidRPr="00892F00">
        <w:t>we</w:t>
      </w:r>
      <w:r w:rsidR="00072466" w:rsidRPr="00892F00">
        <w:t xml:space="preserve"> </w:t>
      </w:r>
      <w:r w:rsidR="00014BEE" w:rsidRPr="00892F00">
        <w:t>have</w:t>
      </w:r>
      <w:r w:rsidR="00072466" w:rsidRPr="00892F00">
        <w:t xml:space="preserve"> produced the time series of weighted average retail operating costs </w:t>
      </w:r>
      <w:r w:rsidR="00AA0151" w:rsidRPr="00892F00">
        <w:t>chart</w:t>
      </w:r>
      <w:r w:rsidR="00072466" w:rsidRPr="00892F00">
        <w:t xml:space="preserve"> for Tier 1 retailers (those with greater than </w:t>
      </w:r>
      <w:r w:rsidR="00136489">
        <w:t>five</w:t>
      </w:r>
      <w:r w:rsidR="00136489" w:rsidRPr="00892F00">
        <w:t xml:space="preserve"> </w:t>
      </w:r>
      <w:r w:rsidR="00072466" w:rsidRPr="00892F00">
        <w:t xml:space="preserve">per cent market share) and non-Tier 1 retailers, beginning from the 2021–22 financial year. Over </w:t>
      </w:r>
      <w:r w:rsidR="0093163F">
        <w:t>the</w:t>
      </w:r>
      <w:r w:rsidR="00072466" w:rsidRPr="00892F00">
        <w:t xml:space="preserve"> last three financial years, Tier 1 retailers have exhibited a consistent increase in overall cost to serve, including bad debt and other related retail costs such as overheads and administrative expenses. The difference in retail operating costs between Tier 1 and non-Tier 1 retailers has narrowed, particularly, in </w:t>
      </w:r>
      <w:r w:rsidR="001E0424">
        <w:t xml:space="preserve">the </w:t>
      </w:r>
      <w:r w:rsidR="00072466" w:rsidRPr="006572D8">
        <w:t>2023</w:t>
      </w:r>
      <w:r w:rsidR="00351C4A" w:rsidRPr="005018D0">
        <w:t>–</w:t>
      </w:r>
      <w:r w:rsidR="00EF4DE1">
        <w:t>‍</w:t>
      </w:r>
      <w:r w:rsidR="00351C4A" w:rsidRPr="00351C4A">
        <w:t>‍</w:t>
      </w:r>
      <w:r w:rsidR="00072466" w:rsidRPr="006572D8">
        <w:t>24</w:t>
      </w:r>
      <w:r w:rsidR="00072466" w:rsidRPr="00892F00">
        <w:t xml:space="preserve"> financial year. This trend is consistent with the Australian Competition and Consumer Commission’s findings that the cost-to-serve advantage previously held by the three largest retailers has been diminishing in 2023–</w:t>
      </w:r>
      <w:r w:rsidR="001E0424">
        <w:t>‍</w:t>
      </w:r>
      <w:r w:rsidR="00072466" w:rsidRPr="00892F00">
        <w:t>24</w:t>
      </w:r>
      <w:r w:rsidR="004A2F13">
        <w:t>.</w:t>
      </w:r>
      <w:r w:rsidR="00072466">
        <w:rPr>
          <w:rStyle w:val="FootnoteReference"/>
        </w:rPr>
        <w:footnoteReference w:id="106"/>
      </w:r>
    </w:p>
    <w:p w14:paraId="2733BC95" w14:textId="41BC4FCA" w:rsidR="0083545C" w:rsidRPr="009D6CA9" w:rsidRDefault="0083545C" w:rsidP="00B81B8B">
      <w:pPr>
        <w:pStyle w:val="Figure-Table-BoxHeading"/>
      </w:pPr>
      <w:r w:rsidRPr="009D6CA9">
        <w:t xml:space="preserve">Figure </w:t>
      </w:r>
      <w:r w:rsidR="00FC5FD8">
        <w:t>5</w:t>
      </w:r>
      <w:r w:rsidR="0084290C">
        <w:t>:</w:t>
      </w:r>
      <w:r w:rsidRPr="009D6CA9">
        <w:t xml:space="preserve"> Time series of weighted average retail operating cost per customer</w:t>
      </w:r>
    </w:p>
    <w:p w14:paraId="0DA52B7D" w14:textId="6EBB7710" w:rsidR="00F44FD7" w:rsidRPr="009D6CA9" w:rsidRDefault="00F44FD7" w:rsidP="00B81B8B">
      <w:pPr>
        <w:pStyle w:val="Figure-Table-BoxHeading"/>
      </w:pPr>
      <w:r>
        <w:rPr>
          <w:noProof/>
        </w:rPr>
        <w:drawing>
          <wp:inline distT="0" distB="0" distL="0" distR="0" wp14:anchorId="67110AF3" wp14:editId="27304806">
            <wp:extent cx="5572125" cy="2326145"/>
            <wp:effectExtent l="0" t="0" r="0" b="0"/>
            <wp:docPr id="2114515676" name="Picture 2" descr="Compares the weighted average retail operating cost for 2022-24 financial years. It is split into tier 1 (retailers with over 5% of market share), non tier 1 and all retailers. Shows that for all retailers, costs have risen by $19 since 2022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15676" name="Picture 2" descr="Compares the weighted average retail operating cost for 2022-24 financial years. It is split into tier 1 (retailers with over 5% of market share), non tier 1 and all retailers. Shows that for all retailers, costs have risen by $19 since 2022F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756" cy="2328913"/>
                    </a:xfrm>
                    <a:prstGeom prst="rect">
                      <a:avLst/>
                    </a:prstGeom>
                    <a:noFill/>
                  </pic:spPr>
                </pic:pic>
              </a:graphicData>
            </a:graphic>
          </wp:inline>
        </w:drawing>
      </w:r>
    </w:p>
    <w:p w14:paraId="2F502A5A" w14:textId="0512CEA4" w:rsidR="009D6CA9" w:rsidRPr="00973B98" w:rsidRDefault="009D6CA9" w:rsidP="009D6CA9">
      <w:pPr>
        <w:pStyle w:val="Caption"/>
      </w:pPr>
      <w:r>
        <w:t xml:space="preserve">Tier 1 (retailers having more than 5% of market share- AGL, Origin, EnergyAustralia, </w:t>
      </w:r>
      <w:r w:rsidR="00D7628E">
        <w:t>ENGIE</w:t>
      </w:r>
      <w:r>
        <w:t>, Red Energy and Lumo Energy), non-tier 1 and all retailers (excluding GST and before applying difference in CPI)</w:t>
      </w:r>
    </w:p>
    <w:p w14:paraId="6C58856D" w14:textId="6345709E" w:rsidR="00596546" w:rsidRPr="00596546" w:rsidRDefault="00596546" w:rsidP="00072466">
      <w:pPr>
        <w:rPr>
          <w:rFonts w:ascii="Tahoma" w:eastAsiaTheme="majorEastAsia" w:hAnsi="Tahoma" w:cstheme="majorBidi"/>
          <w:b/>
          <w:iCs/>
          <w:color w:val="75787B" w:themeColor="background2"/>
        </w:rPr>
      </w:pPr>
      <w:r>
        <w:rPr>
          <w:rFonts w:ascii="Tahoma" w:eastAsiaTheme="majorEastAsia" w:hAnsi="Tahoma" w:cstheme="majorBidi"/>
          <w:b/>
          <w:iCs/>
          <w:color w:val="75787B" w:themeColor="background2"/>
        </w:rPr>
        <w:lastRenderedPageBreak/>
        <w:t>R</w:t>
      </w:r>
      <w:r w:rsidRPr="00596546">
        <w:rPr>
          <w:rFonts w:ascii="Tahoma" w:eastAsiaTheme="majorEastAsia" w:hAnsi="Tahoma" w:cstheme="majorBidi"/>
          <w:b/>
          <w:iCs/>
          <w:color w:val="75787B" w:themeColor="background2"/>
        </w:rPr>
        <w:t xml:space="preserve">etail operating cost covers efficient costs incurred based on actual retail cost </w:t>
      </w:r>
    </w:p>
    <w:p w14:paraId="76CEB098" w14:textId="2FD7294F" w:rsidR="00E81F72" w:rsidRPr="00892F00" w:rsidRDefault="008D2E60" w:rsidP="008A3BC8">
      <w:r w:rsidRPr="00892F00">
        <w:t>EnergyAustralia</w:t>
      </w:r>
      <w:r w:rsidR="00116841" w:rsidRPr="00892F00">
        <w:t xml:space="preserve"> and Powershop </w:t>
      </w:r>
      <w:r w:rsidR="005D6781" w:rsidRPr="00892F00">
        <w:t>submitted</w:t>
      </w:r>
      <w:r w:rsidR="00DC3D5F" w:rsidRPr="00892F00">
        <w:t xml:space="preserve"> that the retail operating cost benchmark does not provide</w:t>
      </w:r>
      <w:r w:rsidR="00073C44" w:rsidRPr="00892F00">
        <w:t xml:space="preserve"> </w:t>
      </w:r>
      <w:r w:rsidR="00546686" w:rsidRPr="00892F00">
        <w:t xml:space="preserve">sufficient headroom </w:t>
      </w:r>
      <w:r w:rsidR="00DC3D5F" w:rsidRPr="00892F00">
        <w:t>to accommodate</w:t>
      </w:r>
      <w:r w:rsidR="00073C44" w:rsidRPr="00892F00">
        <w:t xml:space="preserve"> </w:t>
      </w:r>
      <w:r w:rsidR="00116841" w:rsidRPr="00892F00">
        <w:t>innovation</w:t>
      </w:r>
      <w:r w:rsidR="00DC3D5F" w:rsidRPr="00892F00">
        <w:t>-related expenditure, such as investments</w:t>
      </w:r>
      <w:r w:rsidR="00116841" w:rsidRPr="00892F00">
        <w:t xml:space="preserve"> in virtual </w:t>
      </w:r>
      <w:r w:rsidR="00DC3D5F" w:rsidRPr="00892F00">
        <w:t>power plants</w:t>
      </w:r>
      <w:r w:rsidR="00116841" w:rsidRPr="00892F00">
        <w:t xml:space="preserve"> </w:t>
      </w:r>
      <w:r w:rsidR="00BE3821" w:rsidRPr="00892F00">
        <w:t xml:space="preserve">or new </w:t>
      </w:r>
      <w:r w:rsidR="00DC3D5F" w:rsidRPr="00892F00">
        <w:t>technologies aimed at improving and evolving retail</w:t>
      </w:r>
      <w:r w:rsidR="004F6B02" w:rsidRPr="00892F00">
        <w:t xml:space="preserve"> services</w:t>
      </w:r>
      <w:r w:rsidR="00F47C17">
        <w:t>.</w:t>
      </w:r>
      <w:r w:rsidRPr="00892F00">
        <w:rPr>
          <w:rStyle w:val="FootnoteReference"/>
        </w:rPr>
        <w:footnoteReference w:id="107"/>
      </w:r>
      <w:r w:rsidR="00C40BD6" w:rsidRPr="00892F00">
        <w:t xml:space="preserve"> </w:t>
      </w:r>
      <w:r w:rsidR="009333EA" w:rsidRPr="00892F00">
        <w:rPr>
          <w:rStyle w:val="FootnoteReference"/>
        </w:rPr>
        <w:footnoteReference w:id="108"/>
      </w:r>
      <w:r w:rsidR="00891E95" w:rsidRPr="00892F00">
        <w:t xml:space="preserve"> </w:t>
      </w:r>
    </w:p>
    <w:p w14:paraId="2332E7ED" w14:textId="6C8517DD" w:rsidR="00CF720B" w:rsidRPr="005840EC" w:rsidRDefault="00714A01" w:rsidP="008A3BC8">
      <w:r>
        <w:t>It should be noted that retail operating cost</w:t>
      </w:r>
      <w:r w:rsidRPr="00714A01">
        <w:t xml:space="preserve"> covers efficient costs incurred based on actual retail cost. </w:t>
      </w:r>
      <w:r w:rsidR="00A4053A">
        <w:t>The p</w:t>
      </w:r>
      <w:r w:rsidRPr="00714A01">
        <w:t xml:space="preserve">ricing order doesn’t allow for the </w:t>
      </w:r>
      <w:r w:rsidR="008D2414">
        <w:t>Victorian Default Offer</w:t>
      </w:r>
      <w:r w:rsidRPr="00714A01">
        <w:t xml:space="preserve"> to </w:t>
      </w:r>
      <w:r w:rsidR="00515BBE">
        <w:t>include</w:t>
      </w:r>
      <w:r w:rsidRPr="00714A01">
        <w:t xml:space="preserve"> headroom</w:t>
      </w:r>
      <w:r w:rsidR="008D2414">
        <w:t>.</w:t>
      </w:r>
      <w:r w:rsidR="00B93899">
        <w:rPr>
          <w:rStyle w:val="FootnoteReference"/>
        </w:rPr>
        <w:footnoteReference w:id="109"/>
      </w:r>
      <w:r w:rsidR="008A3BC8">
        <w:t xml:space="preserve"> </w:t>
      </w:r>
      <w:r w:rsidR="00791CFC" w:rsidRPr="00892F00">
        <w:t xml:space="preserve">Where innovation </w:t>
      </w:r>
      <w:r w:rsidR="00212EE3" w:rsidRPr="00892F00">
        <w:t>directly</w:t>
      </w:r>
      <w:r w:rsidR="00791CFC" w:rsidRPr="00892F00">
        <w:t xml:space="preserve"> supports the efficient delivery of core retail functions</w:t>
      </w:r>
      <w:r w:rsidR="00F47C17">
        <w:t xml:space="preserve"> </w:t>
      </w:r>
      <w:r w:rsidR="0036024E">
        <w:t xml:space="preserve">– </w:t>
      </w:r>
      <w:r w:rsidR="00D2783F" w:rsidRPr="00892F00">
        <w:t>such as billing, customer service—</w:t>
      </w:r>
      <w:r w:rsidR="00791CFC" w:rsidRPr="00892F00">
        <w:t xml:space="preserve"> </w:t>
      </w:r>
      <w:r w:rsidR="002D1F04" w:rsidRPr="00892F00">
        <w:t>these costs</w:t>
      </w:r>
      <w:r w:rsidR="00791CFC" w:rsidRPr="00892F00">
        <w:t xml:space="preserve"> may be reasonably included in the operating cost benchmark. </w:t>
      </w:r>
    </w:p>
    <w:p w14:paraId="6C9F11A4" w14:textId="00DB15C7" w:rsidR="00472A33" w:rsidRPr="005840EC" w:rsidRDefault="00472A33" w:rsidP="00204921">
      <w:pPr>
        <w:pStyle w:val="Heading4"/>
      </w:pPr>
      <w:r w:rsidRPr="005840EC">
        <w:t xml:space="preserve">We have reviewed the methodologies used by </w:t>
      </w:r>
      <w:r w:rsidR="001D0F1D" w:rsidRPr="005840EC">
        <w:t>other</w:t>
      </w:r>
      <w:r w:rsidRPr="005840EC">
        <w:t xml:space="preserve"> regulators </w:t>
      </w:r>
    </w:p>
    <w:p w14:paraId="72036130" w14:textId="5EA6FBD2" w:rsidR="00B6623D" w:rsidRPr="005840EC" w:rsidRDefault="007F3757" w:rsidP="00501A8B">
      <w:r w:rsidRPr="005840EC">
        <w:t xml:space="preserve">The </w:t>
      </w:r>
      <w:r w:rsidR="000561E8" w:rsidRPr="005840EC">
        <w:t xml:space="preserve">Australian Energy Regulator uses separate benchmarks </w:t>
      </w:r>
      <w:r w:rsidR="001E6289" w:rsidRPr="005840EC">
        <w:t xml:space="preserve">for domestic and small business customers </w:t>
      </w:r>
      <w:r w:rsidR="000A250F" w:rsidRPr="005840EC">
        <w:t>i</w:t>
      </w:r>
      <w:r w:rsidR="001E6289" w:rsidRPr="005840EC">
        <w:t xml:space="preserve">n </w:t>
      </w:r>
      <w:r w:rsidR="001835F2" w:rsidRPr="005840EC">
        <w:t xml:space="preserve">determining </w:t>
      </w:r>
      <w:r w:rsidR="00AA1316" w:rsidRPr="005840EC">
        <w:t>the</w:t>
      </w:r>
      <w:r w:rsidR="001835F2" w:rsidRPr="005840EC">
        <w:t xml:space="preserve"> </w:t>
      </w:r>
      <w:r w:rsidR="001E6289" w:rsidRPr="005840EC">
        <w:t>Default Market Offer</w:t>
      </w:r>
      <w:r w:rsidR="00D75707" w:rsidRPr="005840EC">
        <w:t xml:space="preserve"> </w:t>
      </w:r>
      <w:r w:rsidR="00880B0B" w:rsidRPr="005840EC">
        <w:t>for</w:t>
      </w:r>
      <w:r w:rsidR="001E6289" w:rsidRPr="005840EC">
        <w:t xml:space="preserve"> New South Wales, South Australia and South</w:t>
      </w:r>
      <w:r w:rsidR="00F47C17">
        <w:t xml:space="preserve"> E</w:t>
      </w:r>
      <w:r w:rsidR="001E6289" w:rsidRPr="005840EC">
        <w:t>ast Queensland</w:t>
      </w:r>
      <w:r w:rsidR="003C0814" w:rsidRPr="005840EC">
        <w:t>.</w:t>
      </w:r>
      <w:r w:rsidR="00F95091" w:rsidRPr="005840EC">
        <w:rPr>
          <w:vertAlign w:val="superscript"/>
        </w:rPr>
        <w:footnoteReference w:id="110"/>
      </w:r>
      <w:r w:rsidR="001E6289" w:rsidRPr="005840EC">
        <w:t xml:space="preserve"> </w:t>
      </w:r>
      <w:r w:rsidR="009C3305" w:rsidRPr="005840EC">
        <w:t>Similarly, t</w:t>
      </w:r>
      <w:r w:rsidR="00E01A71" w:rsidRPr="005840EC">
        <w:t>he</w:t>
      </w:r>
      <w:r w:rsidR="001E6289" w:rsidRPr="005840EC">
        <w:t xml:space="preserve"> Queensland Competition Authority </w:t>
      </w:r>
      <w:r w:rsidR="0077336C" w:rsidRPr="005840EC">
        <w:t xml:space="preserve">also </w:t>
      </w:r>
      <w:r w:rsidR="001E6289" w:rsidRPr="005840EC">
        <w:t xml:space="preserve">applies a benchmark methodology, adjusting for inflation and </w:t>
      </w:r>
      <w:r w:rsidR="00AC7D0A" w:rsidRPr="005840EC">
        <w:t>customer</w:t>
      </w:r>
      <w:r w:rsidR="001E6289" w:rsidRPr="005840EC">
        <w:t xml:space="preserve">-specific </w:t>
      </w:r>
      <w:r w:rsidR="005106C5" w:rsidRPr="005840EC">
        <w:t xml:space="preserve">distinct </w:t>
      </w:r>
      <w:r w:rsidR="001E6289" w:rsidRPr="005840EC">
        <w:t>cost allocations</w:t>
      </w:r>
      <w:r w:rsidR="003C0814" w:rsidRPr="005840EC">
        <w:t>.</w:t>
      </w:r>
      <w:r w:rsidR="00F26CBB" w:rsidRPr="005840EC">
        <w:rPr>
          <w:vertAlign w:val="superscript"/>
        </w:rPr>
        <w:footnoteReference w:id="111"/>
      </w:r>
      <w:r w:rsidR="001E6289" w:rsidRPr="005840EC">
        <w:t xml:space="preserve"> </w:t>
      </w:r>
      <w:r w:rsidR="009C3305" w:rsidRPr="005840EC">
        <w:t>I</w:t>
      </w:r>
      <w:r w:rsidR="000655D0" w:rsidRPr="005840EC">
        <w:t>n</w:t>
      </w:r>
      <w:r w:rsidR="009C3305" w:rsidRPr="005840EC">
        <w:t xml:space="preserve"> contrast,</w:t>
      </w:r>
      <w:r w:rsidR="000655D0" w:rsidRPr="005840EC">
        <w:t xml:space="preserve"> the </w:t>
      </w:r>
      <w:bookmarkStart w:id="80" w:name="_Hlk191502882"/>
      <w:r w:rsidR="000655D0" w:rsidRPr="005840EC">
        <w:t>Independent Competition and Regulatory Commission</w:t>
      </w:r>
      <w:bookmarkEnd w:id="80"/>
      <w:r w:rsidR="00E50BEE" w:rsidRPr="005840EC">
        <w:t>,</w:t>
      </w:r>
      <w:r w:rsidR="00B71948" w:rsidRPr="005840EC">
        <w:t xml:space="preserve"> </w:t>
      </w:r>
      <w:r w:rsidR="000655D0" w:rsidRPr="005840EC">
        <w:t xml:space="preserve">and the Office of the Tasmanian Economic Regulator apply a uniform retail operating cost across customer segments, opting for blended benchmarks instead of </w:t>
      </w:r>
      <w:r w:rsidR="00860B54" w:rsidRPr="005840EC">
        <w:t>customer</w:t>
      </w:r>
      <w:r w:rsidR="000655D0" w:rsidRPr="005840EC">
        <w:t>-specific allocations.</w:t>
      </w:r>
      <w:r w:rsidR="00860B54" w:rsidRPr="005840EC">
        <w:rPr>
          <w:vertAlign w:val="superscript"/>
        </w:rPr>
        <w:footnoteReference w:id="112"/>
      </w:r>
      <w:r w:rsidR="003C0814" w:rsidRPr="005840EC">
        <w:rPr>
          <w:vertAlign w:val="superscript"/>
        </w:rPr>
        <w:t xml:space="preserve"> </w:t>
      </w:r>
      <w:r w:rsidR="00860B54" w:rsidRPr="005840EC">
        <w:rPr>
          <w:vertAlign w:val="superscript"/>
        </w:rPr>
        <w:footnoteReference w:id="113"/>
      </w:r>
      <w:r w:rsidR="00860B54" w:rsidRPr="005840EC">
        <w:t xml:space="preserve"> </w:t>
      </w:r>
    </w:p>
    <w:p w14:paraId="3AE13425" w14:textId="100E587B" w:rsidR="0095569B" w:rsidRPr="005840EC" w:rsidRDefault="00195491" w:rsidP="00221F23">
      <w:pPr>
        <w:pStyle w:val="Heading4"/>
        <w:jc w:val="both"/>
      </w:pPr>
      <w:r w:rsidRPr="005840EC">
        <w:t>S</w:t>
      </w:r>
      <w:r w:rsidR="00A73D8B" w:rsidRPr="005840EC">
        <w:t>etting</w:t>
      </w:r>
      <w:r w:rsidR="00473963" w:rsidRPr="005840EC">
        <w:t xml:space="preserve"> separate benchmarks </w:t>
      </w:r>
      <w:r w:rsidR="00A73D8B" w:rsidRPr="005840EC">
        <w:t xml:space="preserve">will </w:t>
      </w:r>
      <w:r w:rsidR="00473963" w:rsidRPr="005840EC">
        <w:t xml:space="preserve">have minimal impact on </w:t>
      </w:r>
      <w:r w:rsidR="008E5DC8">
        <w:t>domestic</w:t>
      </w:r>
      <w:r w:rsidR="008E5DC8" w:rsidRPr="005840EC">
        <w:t xml:space="preserve"> </w:t>
      </w:r>
      <w:r w:rsidR="00473963" w:rsidRPr="005840EC">
        <w:t xml:space="preserve">customers but </w:t>
      </w:r>
      <w:r w:rsidR="00A73D8B" w:rsidRPr="005840EC">
        <w:t xml:space="preserve">could </w:t>
      </w:r>
      <w:r w:rsidR="00C03609">
        <w:t>noticeably</w:t>
      </w:r>
      <w:r w:rsidR="004D2F8E">
        <w:t xml:space="preserve"> increase </w:t>
      </w:r>
      <w:r w:rsidR="00B53A8E">
        <w:t xml:space="preserve">the </w:t>
      </w:r>
      <w:r w:rsidR="004D2F8E">
        <w:t>bill</w:t>
      </w:r>
      <w:r w:rsidR="007A58BB">
        <w:t xml:space="preserve"> for</w:t>
      </w:r>
      <w:r w:rsidR="00A73D8B" w:rsidRPr="005840EC">
        <w:t xml:space="preserve"> small businesses</w:t>
      </w:r>
      <w:r w:rsidR="00A73D8B" w:rsidRPr="005840EC" w:rsidDel="00A73D8B">
        <w:t xml:space="preserve"> </w:t>
      </w:r>
    </w:p>
    <w:p w14:paraId="34056B2E" w14:textId="77777777" w:rsidR="00184ADA" w:rsidRPr="00C753DA" w:rsidRDefault="00E87645" w:rsidP="00501A8B">
      <w:r w:rsidRPr="005840EC">
        <w:t xml:space="preserve">We collected retail operating cost data separately for both customer segments from retailers. </w:t>
      </w:r>
    </w:p>
    <w:p w14:paraId="340FE87D" w14:textId="45C68BD3" w:rsidR="00BC4C2B" w:rsidRPr="00A6259B" w:rsidRDefault="00184ADA" w:rsidP="00501A8B">
      <w:r w:rsidRPr="00892F00">
        <w:t xml:space="preserve">Our analysis showed that while the average cost to serve and bad debt write-off amounts are lower for domestic customers compared to small businesses, applying customer-specific benchmarks would result in only a modest reduction in the domestic retail operating cost benchmark and a noticeable increase for small businesses. </w:t>
      </w:r>
      <w:r w:rsidR="009340E7">
        <w:t>A</w:t>
      </w:r>
      <w:r w:rsidRPr="00892F00">
        <w:t xml:space="preserve">dditionally, individual </w:t>
      </w:r>
      <w:r w:rsidR="00892F00" w:rsidRPr="00892F00">
        <w:t>retailers’</w:t>
      </w:r>
      <w:r w:rsidRPr="00892F00">
        <w:t xml:space="preserve"> data does not </w:t>
      </w:r>
      <w:r w:rsidRPr="00892F00">
        <w:lastRenderedPageBreak/>
        <w:t>consistently support cost allocation assumptions based on customer type. Some retailers have higher costs for domestic customers while others have higher costs for small business customers.</w:t>
      </w:r>
    </w:p>
    <w:p w14:paraId="17FBADF0" w14:textId="3142B924" w:rsidR="008807B9" w:rsidRDefault="006D5A03" w:rsidP="006D5A03">
      <w:pPr>
        <w:pStyle w:val="Heading2"/>
      </w:pPr>
      <w:bookmarkStart w:id="83" w:name="_Toc191027374"/>
      <w:bookmarkStart w:id="84" w:name="_Toc198808331"/>
      <w:r>
        <w:t>Modest customer acquisition and retention costs</w:t>
      </w:r>
      <w:bookmarkEnd w:id="83"/>
      <w:bookmarkEnd w:id="84"/>
    </w:p>
    <w:p w14:paraId="75905B0D" w14:textId="5161EF5B" w:rsidR="00E91EC3" w:rsidRPr="00C34FD9" w:rsidRDefault="00E91EC3" w:rsidP="00A60565">
      <w:pPr>
        <w:pStyle w:val="Pull-outBullet1"/>
        <w:rPr>
          <w:rFonts w:eastAsiaTheme="minorEastAsia"/>
        </w:rPr>
      </w:pPr>
      <w:r w:rsidRPr="00626DC3">
        <w:t xml:space="preserve">Our </w:t>
      </w:r>
      <w:r w:rsidR="00926987">
        <w:t>final</w:t>
      </w:r>
      <w:r w:rsidRPr="00626DC3">
        <w:t xml:space="preserve"> decision is to keep </w:t>
      </w:r>
      <w:r w:rsidRPr="00C34FD9">
        <w:t>the same approach we have used in past reviews in estimating modest customer acquisition and retention costs (acquisition costs).</w:t>
      </w:r>
    </w:p>
    <w:p w14:paraId="3E020586" w14:textId="5D002F99" w:rsidR="00E91EC3" w:rsidRPr="00C34FD9" w:rsidRDefault="00E91EC3" w:rsidP="00A60565">
      <w:pPr>
        <w:pStyle w:val="Pull-outBullet1"/>
      </w:pPr>
      <w:r w:rsidRPr="00C34FD9">
        <w:t>Acquisition costs represent about $</w:t>
      </w:r>
      <w:r w:rsidR="009D63E7" w:rsidRPr="00C34FD9">
        <w:t>47</w:t>
      </w:r>
      <w:r w:rsidR="485F2804" w:rsidRPr="00C34FD9">
        <w:t xml:space="preserve"> </w:t>
      </w:r>
      <w:r w:rsidR="485F2804" w:rsidRPr="00C34FD9">
        <w:rPr>
          <w:rFonts w:ascii="Arial" w:eastAsia="Arial" w:hAnsi="Arial" w:cs="Arial"/>
        </w:rPr>
        <w:t>(</w:t>
      </w:r>
      <w:r w:rsidR="00EF6632" w:rsidRPr="00C34FD9">
        <w:rPr>
          <w:rFonts w:ascii="Arial" w:eastAsia="Arial" w:hAnsi="Arial" w:cs="Arial"/>
        </w:rPr>
        <w:t xml:space="preserve">or </w:t>
      </w:r>
      <w:r w:rsidR="00902907" w:rsidRPr="00C34FD9">
        <w:rPr>
          <w:rFonts w:ascii="Arial" w:eastAsia="Arial" w:hAnsi="Arial" w:cs="Arial"/>
        </w:rPr>
        <w:t>three</w:t>
      </w:r>
      <w:r w:rsidR="00902907" w:rsidRPr="00C34FD9">
        <w:t xml:space="preserve"> </w:t>
      </w:r>
      <w:r w:rsidRPr="00C34FD9">
        <w:t xml:space="preserve">per cent) of the average domestic </w:t>
      </w:r>
      <w:r w:rsidR="00002153" w:rsidRPr="00C34FD9">
        <w:t xml:space="preserve">flat tariff </w:t>
      </w:r>
      <w:r w:rsidRPr="00C34FD9">
        <w:t>bill (averaged across the five distribution zones).</w:t>
      </w:r>
    </w:p>
    <w:p w14:paraId="6E9AACA2" w14:textId="3D11C69E" w:rsidR="00E91EC3" w:rsidRPr="00C34FD9" w:rsidRDefault="00E91EC3" w:rsidP="00A60565">
      <w:pPr>
        <w:pStyle w:val="Pull-outBullet1"/>
      </w:pPr>
      <w:r w:rsidRPr="00C34FD9">
        <w:t xml:space="preserve">Due to inflation, acquisition </w:t>
      </w:r>
      <w:r w:rsidR="00902907" w:rsidRPr="00C34FD9">
        <w:t xml:space="preserve">and retention </w:t>
      </w:r>
      <w:r w:rsidRPr="00C34FD9">
        <w:t>costs in the cost stack have slightly increased compared to those in the 2024–25 Victorian Default Offer.</w:t>
      </w:r>
    </w:p>
    <w:p w14:paraId="39DE0316" w14:textId="1D4A9D3B" w:rsidR="00B57D4A" w:rsidRDefault="009948ED" w:rsidP="00B57D4A">
      <w:r w:rsidRPr="001948CA">
        <w:t xml:space="preserve">The pricing order requires </w:t>
      </w:r>
      <w:r w:rsidR="00031D38">
        <w:t xml:space="preserve">that </w:t>
      </w:r>
      <w:r w:rsidR="00886D78">
        <w:t>in</w:t>
      </w:r>
      <w:r w:rsidR="00031D38">
        <w:t xml:space="preserve"> hav</w:t>
      </w:r>
      <w:r w:rsidR="00886D78">
        <w:t>ing</w:t>
      </w:r>
      <w:r w:rsidR="00031D38">
        <w:t xml:space="preserve"> regard to</w:t>
      </w:r>
      <w:r w:rsidR="00886D78">
        <w:t xml:space="preserve"> </w:t>
      </w:r>
      <w:r w:rsidR="00796575">
        <w:t>retail operating costs</w:t>
      </w:r>
      <w:r w:rsidR="006D0413" w:rsidRPr="006D0413">
        <w:t xml:space="preserve"> </w:t>
      </w:r>
      <w:r w:rsidR="006D0413" w:rsidRPr="007A6883">
        <w:t xml:space="preserve">in estimating </w:t>
      </w:r>
      <w:r w:rsidR="006D0413">
        <w:t xml:space="preserve">the </w:t>
      </w:r>
      <w:r w:rsidR="006D0413" w:rsidRPr="007A6883">
        <w:t>efficient costs</w:t>
      </w:r>
      <w:r w:rsidR="006D0413">
        <w:t xml:space="preserve"> </w:t>
      </w:r>
      <w:r w:rsidR="006D0413" w:rsidRPr="007A6883">
        <w:t>of electricity retailers</w:t>
      </w:r>
      <w:r w:rsidR="00796575">
        <w:t xml:space="preserve">, we include </w:t>
      </w:r>
      <w:r w:rsidR="00315063">
        <w:t xml:space="preserve">a </w:t>
      </w:r>
      <w:r w:rsidRPr="00E80EC5">
        <w:rPr>
          <w:b/>
          <w:bCs/>
        </w:rPr>
        <w:t xml:space="preserve">modest </w:t>
      </w:r>
      <w:r w:rsidR="00BF4C7E" w:rsidRPr="00E80EC5">
        <w:rPr>
          <w:b/>
          <w:bCs/>
        </w:rPr>
        <w:t>allowance for</w:t>
      </w:r>
      <w:r w:rsidRPr="00E80EC5">
        <w:rPr>
          <w:b/>
          <w:bCs/>
        </w:rPr>
        <w:t xml:space="preserve"> customer acquisition and retention</w:t>
      </w:r>
      <w:r w:rsidRPr="00696E53">
        <w:t xml:space="preserve"> (acquisition costs)</w:t>
      </w:r>
      <w:r w:rsidRPr="001948CA">
        <w:t>.</w:t>
      </w:r>
      <w:r>
        <w:rPr>
          <w:rStyle w:val="FootnoteReference"/>
        </w:rPr>
        <w:footnoteReference w:id="114"/>
      </w:r>
      <w:r w:rsidRPr="001948CA">
        <w:t xml:space="preserve"> </w:t>
      </w:r>
      <w:r w:rsidR="00B57D4A">
        <w:t>Acquisition</w:t>
      </w:r>
      <w:r w:rsidR="00B57D4A" w:rsidRPr="001948CA">
        <w:t xml:space="preserve"> costs include</w:t>
      </w:r>
      <w:r w:rsidR="00B57D4A">
        <w:t xml:space="preserve"> the</w:t>
      </w:r>
      <w:r w:rsidR="00B57D4A" w:rsidRPr="001948CA">
        <w:t>:</w:t>
      </w:r>
    </w:p>
    <w:p w14:paraId="152938B7" w14:textId="05399A1E" w:rsidR="009948ED" w:rsidRPr="008A3BC8" w:rsidRDefault="009948ED" w:rsidP="008A3BC8">
      <w:pPr>
        <w:pStyle w:val="ListBullet"/>
      </w:pPr>
      <w:r w:rsidRPr="008A3BC8">
        <w:t>cost of customer acquisition channels (such as third-party comparison websites or</w:t>
      </w:r>
      <w:r w:rsidRPr="008A3BC8" w:rsidDel="00866541">
        <w:t xml:space="preserve"> </w:t>
      </w:r>
      <w:r w:rsidR="00866541" w:rsidRPr="008A3BC8">
        <w:t>sign-up bonus</w:t>
      </w:r>
      <w:r w:rsidR="00553227" w:rsidRPr="008A3BC8">
        <w:t>es</w:t>
      </w:r>
      <w:r w:rsidR="00013B7B" w:rsidRPr="008A3BC8">
        <w:t>/credit</w:t>
      </w:r>
      <w:r w:rsidR="00CC0602" w:rsidRPr="008A3BC8">
        <w:t>)</w:t>
      </w:r>
    </w:p>
    <w:p w14:paraId="69717029" w14:textId="19813E9B" w:rsidR="009948ED" w:rsidRPr="008A3BC8" w:rsidRDefault="009948ED" w:rsidP="008A3BC8">
      <w:pPr>
        <w:pStyle w:val="ListBullet"/>
      </w:pPr>
      <w:r w:rsidRPr="008A3BC8">
        <w:t>cost of customer retention teams</w:t>
      </w:r>
    </w:p>
    <w:p w14:paraId="3FE8D120" w14:textId="77777777" w:rsidR="009948ED" w:rsidRPr="008A3BC8" w:rsidRDefault="00CC0602" w:rsidP="008A3BC8">
      <w:pPr>
        <w:pStyle w:val="ListBullet"/>
      </w:pPr>
      <w:r w:rsidRPr="008A3BC8">
        <w:t>m</w:t>
      </w:r>
      <w:r w:rsidR="009948ED" w:rsidRPr="008A3BC8">
        <w:t>arketing costs targeted at driving customer acquisition and retention.</w:t>
      </w:r>
    </w:p>
    <w:p w14:paraId="34AE83DF" w14:textId="61AB989B" w:rsidR="009948ED" w:rsidRPr="002C15AD" w:rsidRDefault="009948ED" w:rsidP="009948ED">
      <w:pPr>
        <w:pStyle w:val="Heading3"/>
      </w:pPr>
      <w:bookmarkStart w:id="85" w:name="_Toc151644473"/>
      <w:bookmarkStart w:id="86" w:name="_Toc160817032"/>
      <w:bookmarkStart w:id="87" w:name="_Toc191027375"/>
      <w:r w:rsidRPr="002C15AD">
        <w:t xml:space="preserve">Our </w:t>
      </w:r>
      <w:r w:rsidR="00EF69D9">
        <w:t>final</w:t>
      </w:r>
      <w:r w:rsidRPr="002C15AD">
        <w:t xml:space="preserve"> decision </w:t>
      </w:r>
      <w:r w:rsidR="7065E632" w:rsidRPr="00A40A15">
        <w:t>maintains</w:t>
      </w:r>
      <w:r w:rsidRPr="002C15AD">
        <w:t xml:space="preserve"> our approach to estimating </w:t>
      </w:r>
      <w:r w:rsidR="0041149A">
        <w:t xml:space="preserve">modest </w:t>
      </w:r>
      <w:r w:rsidRPr="002C15AD">
        <w:t>acquisition costs</w:t>
      </w:r>
      <w:bookmarkEnd w:id="85"/>
      <w:bookmarkEnd w:id="86"/>
      <w:bookmarkEnd w:id="87"/>
    </w:p>
    <w:p w14:paraId="2605CD2B" w14:textId="2CB31DDA" w:rsidR="009948ED" w:rsidRPr="00322476" w:rsidRDefault="009948ED" w:rsidP="009948ED">
      <w:pPr>
        <w:spacing w:before="0"/>
      </w:pPr>
      <w:r w:rsidRPr="00322476">
        <w:t xml:space="preserve">For our </w:t>
      </w:r>
      <w:r w:rsidR="00EF69D9" w:rsidRPr="00322476">
        <w:t>final</w:t>
      </w:r>
      <w:r w:rsidRPr="00322476">
        <w:t xml:space="preserve"> decision we </w:t>
      </w:r>
      <w:r w:rsidR="007F74CD" w:rsidRPr="00322476">
        <w:t xml:space="preserve">have </w:t>
      </w:r>
      <w:r w:rsidRPr="00322476">
        <w:t>used an acquisition cost benchmark based on the average N</w:t>
      </w:r>
      <w:r w:rsidR="000A6F36" w:rsidRPr="00322476">
        <w:t xml:space="preserve">ational </w:t>
      </w:r>
      <w:r w:rsidRPr="00322476">
        <w:t>E</w:t>
      </w:r>
      <w:r w:rsidR="000A6F36" w:rsidRPr="00322476">
        <w:t xml:space="preserve">nergy </w:t>
      </w:r>
      <w:r w:rsidRPr="00322476">
        <w:t>M</w:t>
      </w:r>
      <w:r w:rsidR="000A6F36" w:rsidRPr="00322476">
        <w:t>arket</w:t>
      </w:r>
      <w:r w:rsidRPr="00322476">
        <w:t>-wide acquisition costs from the Australian Competition and Consumer Commission’s retail electricity pricing inquiry report.</w:t>
      </w:r>
      <w:r w:rsidRPr="00322476">
        <w:rPr>
          <w:rStyle w:val="FootnoteReference"/>
        </w:rPr>
        <w:footnoteReference w:id="115"/>
      </w:r>
      <w:r w:rsidRPr="00322476">
        <w:t xml:space="preserve"> We selected average costs from 2013–</w:t>
      </w:r>
      <w:r w:rsidR="00505D6A">
        <w:t>‍</w:t>
      </w:r>
      <w:r w:rsidRPr="00322476">
        <w:t xml:space="preserve">14 on the basis that it was the most robust data available prior to large increases in spending on acquisition costs observed across most jurisdictions. </w:t>
      </w:r>
    </w:p>
    <w:p w14:paraId="479CA537" w14:textId="10D1415B" w:rsidR="009948ED" w:rsidRPr="00AC532C" w:rsidRDefault="009948ED" w:rsidP="009948ED">
      <w:pPr>
        <w:spacing w:before="0"/>
      </w:pPr>
      <w:r w:rsidRPr="00322476">
        <w:t xml:space="preserve">We </w:t>
      </w:r>
      <w:r w:rsidR="00FD38B2" w:rsidRPr="00322476">
        <w:t>update</w:t>
      </w:r>
      <w:r w:rsidRPr="00322476" w:rsidDel="008B0C67">
        <w:t xml:space="preserve"> </w:t>
      </w:r>
      <w:r w:rsidRPr="00322476">
        <w:t xml:space="preserve">our acquisition cost benchmark </w:t>
      </w:r>
      <w:r w:rsidRPr="00AC532C">
        <w:t>for inflation during each Victorian Default Offer review.</w:t>
      </w:r>
      <w:r w:rsidRPr="00AC532C">
        <w:rPr>
          <w:rStyle w:val="FootnoteReference"/>
        </w:rPr>
        <w:footnoteReference w:id="116"/>
      </w:r>
      <w:r w:rsidRPr="00AC532C">
        <w:t xml:space="preserve"> In adjusting for inflation, we are maintaining the value of our benchmark in real terms over time. This approach result</w:t>
      </w:r>
      <w:r w:rsidR="005216CD" w:rsidRPr="00AC532C">
        <w:t>ed</w:t>
      </w:r>
      <w:r w:rsidRPr="00AC532C">
        <w:t xml:space="preserve"> in a modest benchmark for acquisition costs of $</w:t>
      </w:r>
      <w:r w:rsidR="00B65A9A" w:rsidRPr="00AC532C">
        <w:t>46.57</w:t>
      </w:r>
      <w:r w:rsidRPr="00AC532C">
        <w:t xml:space="preserve"> excluding GST</w:t>
      </w:r>
      <w:r w:rsidR="006727B7" w:rsidRPr="00AC532C">
        <w:t>,</w:t>
      </w:r>
      <w:r w:rsidRPr="00AC532C">
        <w:t xml:space="preserve"> slightly higher than the benchmark of $</w:t>
      </w:r>
      <w:r w:rsidR="420BA640" w:rsidRPr="00AC532C">
        <w:t>45.50</w:t>
      </w:r>
      <w:r w:rsidRPr="00AC532C">
        <w:t xml:space="preserve"> for the 2024–25 Victorian Default Offer</w:t>
      </w:r>
      <w:r w:rsidR="00685362" w:rsidRPr="00AC532C">
        <w:t xml:space="preserve"> due to inflation</w:t>
      </w:r>
      <w:r w:rsidRPr="00AC532C">
        <w:t>.</w:t>
      </w:r>
    </w:p>
    <w:p w14:paraId="0E4D6F1E" w14:textId="04CF03D9" w:rsidR="009948ED" w:rsidRPr="00AC532C" w:rsidRDefault="009948ED" w:rsidP="00202EA8">
      <w:pPr>
        <w:pStyle w:val="Heading3"/>
      </w:pPr>
      <w:bookmarkStart w:id="89" w:name="_Toc191027376"/>
      <w:r w:rsidRPr="00AC532C">
        <w:lastRenderedPageBreak/>
        <w:t xml:space="preserve">Our </w:t>
      </w:r>
      <w:r w:rsidR="00776B68" w:rsidRPr="00AC532C">
        <w:t>final</w:t>
      </w:r>
      <w:r w:rsidR="00964A3C" w:rsidRPr="00AC532C">
        <w:t xml:space="preserve"> acquisition</w:t>
      </w:r>
      <w:r w:rsidRPr="00AC532C">
        <w:t xml:space="preserve"> benchmark is </w:t>
      </w:r>
      <w:r w:rsidR="00EF45FA" w:rsidRPr="00AC532C">
        <w:t>below</w:t>
      </w:r>
      <w:r w:rsidRPr="00AC532C">
        <w:t xml:space="preserve"> the </w:t>
      </w:r>
      <w:r w:rsidR="00400F70" w:rsidRPr="00AC532C">
        <w:t>national average</w:t>
      </w:r>
      <w:bookmarkEnd w:id="89"/>
    </w:p>
    <w:p w14:paraId="4A98DE3C" w14:textId="77777777" w:rsidR="001D36E9" w:rsidRDefault="00A96C56" w:rsidP="00EE320C">
      <w:pPr>
        <w:spacing w:before="0"/>
      </w:pPr>
      <w:r w:rsidRPr="00AC532C">
        <w:rPr>
          <w:bCs/>
        </w:rPr>
        <w:t xml:space="preserve">Our </w:t>
      </w:r>
      <w:r w:rsidR="003D72DE" w:rsidRPr="00AC532C">
        <w:rPr>
          <w:bCs/>
        </w:rPr>
        <w:t>acquisition</w:t>
      </w:r>
      <w:r w:rsidRPr="00AC532C">
        <w:rPr>
          <w:bCs/>
        </w:rPr>
        <w:t xml:space="preserve"> </w:t>
      </w:r>
      <w:r w:rsidR="00A6477B" w:rsidRPr="00AC532C">
        <w:rPr>
          <w:bCs/>
        </w:rPr>
        <w:t>benchmark</w:t>
      </w:r>
      <w:r w:rsidR="00514CB8" w:rsidRPr="00AC532C">
        <w:rPr>
          <w:bCs/>
        </w:rPr>
        <w:t xml:space="preserve"> for </w:t>
      </w:r>
      <w:r w:rsidR="00177A50" w:rsidRPr="00AC532C">
        <w:rPr>
          <w:bCs/>
        </w:rPr>
        <w:t xml:space="preserve">the </w:t>
      </w:r>
      <w:r w:rsidR="00514CB8" w:rsidRPr="00AC532C">
        <w:rPr>
          <w:bCs/>
        </w:rPr>
        <w:t>2025</w:t>
      </w:r>
      <w:r w:rsidR="00177A50" w:rsidRPr="00AC532C">
        <w:rPr>
          <w:bCs/>
        </w:rPr>
        <w:t>–</w:t>
      </w:r>
      <w:r w:rsidR="00514CB8" w:rsidRPr="00AC532C">
        <w:rPr>
          <w:bCs/>
        </w:rPr>
        <w:t>26 Victorian Default Offer</w:t>
      </w:r>
      <w:r w:rsidR="009948ED" w:rsidRPr="00AC532C">
        <w:t xml:space="preserve"> is </w:t>
      </w:r>
      <w:r w:rsidR="00673FC2" w:rsidRPr="00AC532C">
        <w:t xml:space="preserve">about </w:t>
      </w:r>
      <w:r w:rsidR="00673540" w:rsidRPr="00AC532C">
        <w:t>27</w:t>
      </w:r>
      <w:r w:rsidR="00673FC2" w:rsidRPr="00AC532C">
        <w:t xml:space="preserve"> per cent</w:t>
      </w:r>
      <w:r w:rsidR="009948ED" w:rsidRPr="00AC532C">
        <w:t xml:space="preserve"> below the weighted average </w:t>
      </w:r>
      <w:r w:rsidR="00025D67" w:rsidRPr="00AC532C">
        <w:t>acquisition</w:t>
      </w:r>
      <w:r w:rsidR="0053567D" w:rsidRPr="00AC532C">
        <w:t xml:space="preserve"> </w:t>
      </w:r>
      <w:r w:rsidR="009948ED" w:rsidRPr="00AC532C">
        <w:t>cost</w:t>
      </w:r>
      <w:r w:rsidR="0053567D" w:rsidRPr="00AC532C">
        <w:t>s</w:t>
      </w:r>
      <w:r w:rsidR="009948ED" w:rsidRPr="00AC532C">
        <w:t xml:space="preserve"> reported by Victorian retailers</w:t>
      </w:r>
      <w:r w:rsidR="00DC30FD" w:rsidRPr="00AC532C">
        <w:t xml:space="preserve"> and is 26 per cent below the national average for domestic consumers as reported by Australian Competition and Consumer Commission</w:t>
      </w:r>
      <w:r w:rsidR="00673FC2" w:rsidRPr="00AC532C">
        <w:t>.</w:t>
      </w:r>
      <w:r w:rsidR="009948ED" w:rsidRPr="00AC532C">
        <w:rPr>
          <w:rStyle w:val="FootnoteReference"/>
        </w:rPr>
        <w:footnoteReference w:id="117"/>
      </w:r>
      <w:r w:rsidR="00DC30FD" w:rsidRPr="00AC532C">
        <w:t xml:space="preserve"> </w:t>
      </w:r>
      <w:r w:rsidR="009948ED" w:rsidRPr="00AC532C">
        <w:rPr>
          <w:rStyle w:val="FootnoteReference"/>
        </w:rPr>
        <w:footnoteReference w:id="118"/>
      </w:r>
      <w:r w:rsidR="00BA604F" w:rsidRPr="00696E53">
        <w:t xml:space="preserve"> </w:t>
      </w:r>
    </w:p>
    <w:p w14:paraId="1B5BEA05" w14:textId="3FA502FF" w:rsidR="00195A33" w:rsidRDefault="007C0219" w:rsidP="00EE320C">
      <w:pPr>
        <w:spacing w:before="0"/>
      </w:pPr>
      <w:r>
        <w:t xml:space="preserve">This </w:t>
      </w:r>
      <w:r w:rsidR="00A37369">
        <w:t>indicates that</w:t>
      </w:r>
      <w:r>
        <w:t xml:space="preserve"> </w:t>
      </w:r>
      <w:r w:rsidR="00A15B0B">
        <w:t>our</w:t>
      </w:r>
      <w:r w:rsidR="00323349">
        <w:t xml:space="preserve"> </w:t>
      </w:r>
      <w:r w:rsidR="00194F22">
        <w:t>ac</w:t>
      </w:r>
      <w:r w:rsidR="00275CB6">
        <w:t>quisition benchmark is modest</w:t>
      </w:r>
      <w:r w:rsidR="00A37369">
        <w:t>,</w:t>
      </w:r>
      <w:r w:rsidR="00275CB6">
        <w:t xml:space="preserve"> </w:t>
      </w:r>
      <w:r w:rsidR="00324EE2">
        <w:t xml:space="preserve">which aligns with our requirement under the </w:t>
      </w:r>
      <w:r w:rsidR="003F1FDD">
        <w:t>p</w:t>
      </w:r>
      <w:r w:rsidR="00324EE2">
        <w:t xml:space="preserve">ricing </w:t>
      </w:r>
      <w:r w:rsidR="003F1FDD">
        <w:t>o</w:t>
      </w:r>
      <w:r w:rsidR="00324EE2">
        <w:t>rder.</w:t>
      </w:r>
      <w:r w:rsidR="00EE320C">
        <w:rPr>
          <w:rStyle w:val="FootnoteReference"/>
        </w:rPr>
        <w:footnoteReference w:id="119"/>
      </w:r>
    </w:p>
    <w:p w14:paraId="1DC77529" w14:textId="1C526969" w:rsidR="004944E3" w:rsidRDefault="007637E0" w:rsidP="00256E7F">
      <w:pPr>
        <w:pStyle w:val="Heading3"/>
      </w:pPr>
      <w:r w:rsidRPr="00F76E3E">
        <w:t>We have considered submissions on acquisition costs</w:t>
      </w:r>
    </w:p>
    <w:p w14:paraId="3DE24E19" w14:textId="5539F651" w:rsidR="00E72B38" w:rsidRDefault="00E72B38" w:rsidP="00E72B38">
      <w:r>
        <w:t xml:space="preserve">We received </w:t>
      </w:r>
      <w:r w:rsidR="00367DD4">
        <w:t xml:space="preserve">two </w:t>
      </w:r>
      <w:r w:rsidR="00436E73">
        <w:t>s</w:t>
      </w:r>
      <w:r w:rsidR="00403BA5">
        <w:t>ubmission</w:t>
      </w:r>
      <w:r w:rsidR="001B7C47">
        <w:t>s on acquisition costs</w:t>
      </w:r>
      <w:r w:rsidR="00367DD4">
        <w:t xml:space="preserve"> </w:t>
      </w:r>
      <w:r w:rsidR="001B7C47">
        <w:t>from customer advocacy groups</w:t>
      </w:r>
      <w:r w:rsidR="00367DD4">
        <w:t xml:space="preserve">, and one </w:t>
      </w:r>
      <w:r w:rsidR="00BC7E50">
        <w:t xml:space="preserve">submission </w:t>
      </w:r>
      <w:r w:rsidR="00367DD4">
        <w:t>from a retailer</w:t>
      </w:r>
      <w:r w:rsidR="00367DD4" w:rsidRPr="00EB43A4">
        <w:t>.</w:t>
      </w:r>
      <w:r w:rsidR="00865FB5" w:rsidRPr="00EB43A4">
        <w:rPr>
          <w:rStyle w:val="FootnoteReference"/>
        </w:rPr>
        <w:footnoteReference w:id="120"/>
      </w:r>
      <w:r w:rsidR="00221143" w:rsidRPr="00EB43A4">
        <w:t xml:space="preserve"> </w:t>
      </w:r>
      <w:r w:rsidR="00221143" w:rsidRPr="00EB43A4">
        <w:rPr>
          <w:rStyle w:val="FootnoteReference"/>
        </w:rPr>
        <w:footnoteReference w:id="121"/>
      </w:r>
    </w:p>
    <w:p w14:paraId="1E79E11D" w14:textId="77777777" w:rsidR="00B66983" w:rsidRDefault="001A058F" w:rsidP="00342C8B">
      <w:r w:rsidRPr="00EB43A4">
        <w:t xml:space="preserve">The Consumer Action Law Centre </w:t>
      </w:r>
      <w:r w:rsidR="00690AFB">
        <w:t xml:space="preserve">supported </w:t>
      </w:r>
      <w:r w:rsidRPr="00EB43A4">
        <w:t>that acquisition costs remain modest</w:t>
      </w:r>
      <w:r w:rsidR="00575169">
        <w:t xml:space="preserve"> in the Victorian Default Offer</w:t>
      </w:r>
      <w:r w:rsidRPr="00EB43A4">
        <w:t xml:space="preserve">, noting that our benchmark is significantly lower than the weighted average for Victorian retailers, and the National Electricity Market-wide average acquisition costs. </w:t>
      </w:r>
      <w:r w:rsidR="00600ABB" w:rsidRPr="00EB43A4">
        <w:t>However,</w:t>
      </w:r>
      <w:r w:rsidR="00600ABB" w:rsidRPr="00EB43A4" w:rsidDel="00E21E55">
        <w:t xml:space="preserve"> </w:t>
      </w:r>
      <w:r w:rsidR="00E21E55" w:rsidRPr="00EB43A4">
        <w:t xml:space="preserve">both </w:t>
      </w:r>
      <w:r w:rsidR="001959A4">
        <w:t>t</w:t>
      </w:r>
      <w:r w:rsidR="00F45037" w:rsidRPr="00EB43A4">
        <w:t>he Consumer Action Law Centre</w:t>
      </w:r>
      <w:r w:rsidR="00E21E55" w:rsidRPr="00EB43A4">
        <w:t xml:space="preserve"> </w:t>
      </w:r>
      <w:r w:rsidR="00907FF7">
        <w:t>and</w:t>
      </w:r>
      <w:r w:rsidR="00E21E55" w:rsidRPr="00EB43A4">
        <w:t xml:space="preserve"> </w:t>
      </w:r>
      <w:r w:rsidR="00554295" w:rsidRPr="00554295">
        <w:t>Victorian Council of Social Service</w:t>
      </w:r>
      <w:r w:rsidR="00D368F1" w:rsidRPr="00EB43A4">
        <w:t xml:space="preserve"> </w:t>
      </w:r>
      <w:r w:rsidR="00DB217D">
        <w:t>argued that</w:t>
      </w:r>
      <w:r w:rsidR="00D368F1" w:rsidRPr="00EB43A4">
        <w:t xml:space="preserve"> acquisition costs </w:t>
      </w:r>
      <w:r w:rsidR="00334760">
        <w:t xml:space="preserve">should not be included </w:t>
      </w:r>
      <w:r w:rsidR="00D368F1" w:rsidRPr="00EB43A4">
        <w:t>in the</w:t>
      </w:r>
      <w:r w:rsidR="00600ABB" w:rsidRPr="00EB43A4">
        <w:t xml:space="preserve"> Victorian Default Offer. </w:t>
      </w:r>
    </w:p>
    <w:p w14:paraId="2EE89904" w14:textId="33C63CCE" w:rsidR="003349DA" w:rsidRPr="00F60BFD" w:rsidRDefault="00F45037" w:rsidP="00342C8B">
      <w:r w:rsidRPr="00EB43A4">
        <w:t>The Consumer Action Law Centre</w:t>
      </w:r>
      <w:r w:rsidR="00D04512" w:rsidRPr="00EB43A4">
        <w:t xml:space="preserve"> questioned </w:t>
      </w:r>
      <w:r w:rsidR="00A40876" w:rsidRPr="00EB43A4">
        <w:t xml:space="preserve">the value of </w:t>
      </w:r>
      <w:r w:rsidR="00D04512" w:rsidRPr="00EB43A4">
        <w:t>retailers’ marketing spending</w:t>
      </w:r>
      <w:r w:rsidR="00042E33" w:rsidRPr="00EB43A4">
        <w:t xml:space="preserve"> and best offer mess</w:t>
      </w:r>
      <w:r w:rsidR="00196CA8" w:rsidRPr="00EB43A4">
        <w:t>aging</w:t>
      </w:r>
      <w:r w:rsidR="00A12231">
        <w:t xml:space="preserve"> and cited </w:t>
      </w:r>
      <w:r w:rsidR="00FC177E" w:rsidRPr="00322476">
        <w:t>Australian Competition and Consumer Commission</w:t>
      </w:r>
      <w:r w:rsidR="00FC177E">
        <w:t>’s</w:t>
      </w:r>
      <w:r w:rsidR="00A40876" w:rsidRPr="00EB43A4">
        <w:t xml:space="preserve"> </w:t>
      </w:r>
      <w:r w:rsidR="000319D1" w:rsidRPr="00EB43A4">
        <w:t>report</w:t>
      </w:r>
      <w:r w:rsidR="00A40876" w:rsidRPr="00EB43A4">
        <w:t xml:space="preserve"> </w:t>
      </w:r>
      <w:r w:rsidR="00026D63">
        <w:t xml:space="preserve">that </w:t>
      </w:r>
      <w:r w:rsidR="00A40876" w:rsidRPr="00EB43A4">
        <w:t>38</w:t>
      </w:r>
      <w:r w:rsidR="009857B2">
        <w:t xml:space="preserve"> per cent</w:t>
      </w:r>
      <w:r w:rsidR="00A40876" w:rsidRPr="00EB43A4">
        <w:t xml:space="preserve"> of flat rate customers were on market offer</w:t>
      </w:r>
      <w:r w:rsidR="00717323">
        <w:t>s</w:t>
      </w:r>
      <w:r w:rsidR="00A40876" w:rsidRPr="00EB43A4">
        <w:t xml:space="preserve"> higher than default offer</w:t>
      </w:r>
      <w:r w:rsidR="002544D6">
        <w:t>s</w:t>
      </w:r>
      <w:r w:rsidR="00A40876" w:rsidRPr="00EB43A4">
        <w:t xml:space="preserve"> across the whole National Electricity Market</w:t>
      </w:r>
      <w:r w:rsidR="00DB1A92">
        <w:t>.</w:t>
      </w:r>
      <w:r w:rsidR="00A40876" w:rsidRPr="00EB43A4">
        <w:rPr>
          <w:rStyle w:val="FootnoteReference"/>
        </w:rPr>
        <w:footnoteReference w:id="122"/>
      </w:r>
      <w:r w:rsidR="00BD1F65" w:rsidRPr="00EB43A4">
        <w:t xml:space="preserve"> </w:t>
      </w:r>
      <w:r w:rsidRPr="00EB43A4">
        <w:t>The Consumer Action Law Centre</w:t>
      </w:r>
      <w:r w:rsidR="000B5719" w:rsidRPr="00EB43A4">
        <w:t xml:space="preserve"> also </w:t>
      </w:r>
      <w:r w:rsidR="00950B85" w:rsidRPr="00EB43A4">
        <w:t>expressed</w:t>
      </w:r>
      <w:r w:rsidR="000B5719" w:rsidRPr="00EB43A4">
        <w:t xml:space="preserve"> concern </w:t>
      </w:r>
      <w:r w:rsidR="00950B85" w:rsidRPr="00EB43A4">
        <w:t xml:space="preserve">about the potential inclusion </w:t>
      </w:r>
      <w:r w:rsidR="000B5719" w:rsidRPr="00EB43A4">
        <w:t xml:space="preserve">of </w:t>
      </w:r>
      <w:r w:rsidR="00802770" w:rsidRPr="00EB43A4">
        <w:t xml:space="preserve">telemarketing </w:t>
      </w:r>
      <w:r w:rsidR="00950B85" w:rsidRPr="00EB43A4">
        <w:t>costs</w:t>
      </w:r>
      <w:r w:rsidR="00802770" w:rsidRPr="00EB43A4">
        <w:t xml:space="preserve"> in the </w:t>
      </w:r>
      <w:r w:rsidR="00DA69AC" w:rsidRPr="00EB43A4">
        <w:t>acquisition cost</w:t>
      </w:r>
      <w:r w:rsidR="00802770" w:rsidRPr="00EB43A4">
        <w:t xml:space="preserve"> benchmark</w:t>
      </w:r>
      <w:r w:rsidR="00DA69AC" w:rsidRPr="00EB43A4">
        <w:t xml:space="preserve">, </w:t>
      </w:r>
      <w:r w:rsidR="00950B85" w:rsidRPr="00EB43A4">
        <w:t>given that</w:t>
      </w:r>
      <w:r w:rsidR="00DA69AC" w:rsidRPr="00EB43A4">
        <w:t xml:space="preserve"> telemarketing</w:t>
      </w:r>
      <w:r w:rsidR="003A13CB" w:rsidRPr="00EB43A4">
        <w:t xml:space="preserve"> is </w:t>
      </w:r>
      <w:r w:rsidR="00950B85" w:rsidRPr="00EB43A4">
        <w:t>prohibited</w:t>
      </w:r>
      <w:r w:rsidR="003A13CB" w:rsidRPr="00EB43A4">
        <w:t xml:space="preserve"> in Victoria</w:t>
      </w:r>
      <w:r w:rsidR="00DB1A92">
        <w:t>.</w:t>
      </w:r>
      <w:r w:rsidR="003A13CB" w:rsidRPr="00EB43A4">
        <w:rPr>
          <w:rStyle w:val="FootnoteReference"/>
        </w:rPr>
        <w:footnoteReference w:id="123"/>
      </w:r>
      <w:r w:rsidR="00FA2934" w:rsidRPr="00EB43A4">
        <w:t xml:space="preserve"> </w:t>
      </w:r>
      <w:r w:rsidR="00BD1F65" w:rsidRPr="00327039">
        <w:t xml:space="preserve">The </w:t>
      </w:r>
      <w:r w:rsidR="00764787">
        <w:t>c</w:t>
      </w:r>
      <w:r w:rsidR="00BD1F65" w:rsidRPr="00327039">
        <w:t xml:space="preserve">ommission </w:t>
      </w:r>
      <w:r w:rsidR="004D19E7">
        <w:t>confirms</w:t>
      </w:r>
      <w:r w:rsidR="00D95819" w:rsidRPr="00327039">
        <w:t xml:space="preserve"> </w:t>
      </w:r>
      <w:r w:rsidR="00BD1F65" w:rsidRPr="00327039">
        <w:t xml:space="preserve">that telemarketing is not an explicit input in the benchmark, nor have retailers reported such costs in their responses to </w:t>
      </w:r>
      <w:r w:rsidR="00327039">
        <w:t>our</w:t>
      </w:r>
      <w:r w:rsidR="00BD1F65" w:rsidRPr="00327039">
        <w:t xml:space="preserve"> information request. </w:t>
      </w:r>
    </w:p>
    <w:p w14:paraId="59DEB2BD" w14:textId="3C087290" w:rsidR="00E06FEF" w:rsidRPr="00F60BFD" w:rsidRDefault="006444EC" w:rsidP="00342C8B">
      <w:r>
        <w:lastRenderedPageBreak/>
        <w:t xml:space="preserve">The </w:t>
      </w:r>
      <w:r w:rsidR="00554295" w:rsidRPr="00554295">
        <w:t>Victorian Council of Social Service</w:t>
      </w:r>
      <w:r w:rsidR="00E06FEF" w:rsidRPr="00F60BFD">
        <w:t xml:space="preserve"> further argued that including acquisition costs as a separate </w:t>
      </w:r>
      <w:r w:rsidR="00B92947">
        <w:t xml:space="preserve">cost </w:t>
      </w:r>
      <w:r w:rsidR="00E06FEF" w:rsidRPr="00F60BFD">
        <w:t>element may enable over-recovery</w:t>
      </w:r>
      <w:r w:rsidR="008B77E1">
        <w:t>,</w:t>
      </w:r>
      <w:r w:rsidR="00E06FEF" w:rsidRPr="00F60BFD">
        <w:t xml:space="preserve"> </w:t>
      </w:r>
      <w:r w:rsidR="00DB18FB" w:rsidRPr="00F60BFD">
        <w:t>as</w:t>
      </w:r>
      <w:r w:rsidR="00E06FEF" w:rsidRPr="00F60BFD">
        <w:t xml:space="preserve"> </w:t>
      </w:r>
      <w:r w:rsidR="008B77E1">
        <w:t xml:space="preserve">it considers </w:t>
      </w:r>
      <w:r w:rsidR="00E06FEF" w:rsidRPr="00F60BFD">
        <w:t xml:space="preserve">investment in market share expansion in a competitive environment should be funded through deferred profits rather than through recovery from customers. Both </w:t>
      </w:r>
      <w:r w:rsidR="0087635C">
        <w:t>t</w:t>
      </w:r>
      <w:r w:rsidR="00FC177E" w:rsidRPr="00EB43A4">
        <w:t>he Consumer Action Law Centre</w:t>
      </w:r>
      <w:r w:rsidR="00E06FEF" w:rsidRPr="00F60BFD">
        <w:t xml:space="preserve"> and </w:t>
      </w:r>
      <w:r w:rsidR="00554295" w:rsidRPr="00554295">
        <w:t>Victorian Council of Social Service</w:t>
      </w:r>
      <w:r w:rsidR="00E06FEF" w:rsidRPr="00F60BFD">
        <w:t xml:space="preserve"> recommended that acquisition costs be excluded in future determinations</w:t>
      </w:r>
      <w:r w:rsidR="000C758F">
        <w:t xml:space="preserve"> – </w:t>
      </w:r>
      <w:r w:rsidR="00E06FEF" w:rsidRPr="00F60BFD">
        <w:t>either through an Order in Council to amend the pricing order or by setting the benchmark to a nominal amount close to zero</w:t>
      </w:r>
      <w:r w:rsidR="00074908" w:rsidRPr="00F60BFD">
        <w:t>.</w:t>
      </w:r>
    </w:p>
    <w:p w14:paraId="382F0ABD" w14:textId="3B100BCD" w:rsidR="00474E56" w:rsidRPr="00F60BFD" w:rsidRDefault="00257474" w:rsidP="00474E56">
      <w:r w:rsidRPr="00F60BFD">
        <w:t>T</w:t>
      </w:r>
      <w:r w:rsidR="00474E56" w:rsidRPr="00F60BFD">
        <w:t xml:space="preserve">he </w:t>
      </w:r>
      <w:r w:rsidR="004F09BC" w:rsidRPr="00F60BFD">
        <w:t>Victorian Default Offer</w:t>
      </w:r>
      <w:r w:rsidR="00474E56" w:rsidRPr="00F60BFD">
        <w:t xml:space="preserve"> serves a dual purpose. While it </w:t>
      </w:r>
      <w:r w:rsidR="0090621F" w:rsidRPr="00F60BFD">
        <w:t xml:space="preserve">aims to </w:t>
      </w:r>
      <w:r w:rsidR="00474E56" w:rsidRPr="00F60BFD">
        <w:t xml:space="preserve">safeguard disengaged customers </w:t>
      </w:r>
      <w:r w:rsidR="00694C2C" w:rsidRPr="00F60BFD">
        <w:t xml:space="preserve">and </w:t>
      </w:r>
      <w:r w:rsidR="00474E56" w:rsidRPr="00F60BFD">
        <w:t>embedded networks</w:t>
      </w:r>
      <w:r w:rsidR="00694C2C" w:rsidRPr="00F60BFD">
        <w:t xml:space="preserve"> customers</w:t>
      </w:r>
      <w:r w:rsidR="0090621F" w:rsidRPr="00F60BFD">
        <w:t xml:space="preserve"> from unreasonably high prices</w:t>
      </w:r>
      <w:r w:rsidR="00474E56" w:rsidRPr="00F60BFD">
        <w:t xml:space="preserve">, it also </w:t>
      </w:r>
      <w:r w:rsidR="0060677C" w:rsidRPr="00F60BFD">
        <w:t>serves</w:t>
      </w:r>
      <w:r w:rsidR="00474E56" w:rsidRPr="00F60BFD">
        <w:t xml:space="preserve"> as a reference price </w:t>
      </w:r>
      <w:r w:rsidR="00236311" w:rsidRPr="00F60BFD">
        <w:t xml:space="preserve">for </w:t>
      </w:r>
      <w:r w:rsidR="00474E56" w:rsidRPr="00F60BFD">
        <w:t>market</w:t>
      </w:r>
      <w:r w:rsidR="00236311" w:rsidRPr="00F60BFD">
        <w:t xml:space="preserve"> offers</w:t>
      </w:r>
      <w:r w:rsidR="00474E56" w:rsidRPr="00F60BFD">
        <w:t>. To</w:t>
      </w:r>
      <w:r w:rsidR="00474E56" w:rsidRPr="00F60BFD" w:rsidDel="009D44C8">
        <w:t xml:space="preserve"> </w:t>
      </w:r>
      <w:r w:rsidR="009D44C8">
        <w:t>do</w:t>
      </w:r>
      <w:r w:rsidR="009D44C8" w:rsidRPr="00F60BFD">
        <w:t xml:space="preserve"> </w:t>
      </w:r>
      <w:r w:rsidR="00474E56" w:rsidRPr="00F60BFD">
        <w:t>this role, it must reflect the efficient costs that a retailer would reasonably incur in delivering electricity in a competitive environment. Acquisition and retention costs form part of this efficient cost structure, and the pricing order requires us to consider modest allowances for these costs.</w:t>
      </w:r>
      <w:r w:rsidR="005F351A" w:rsidRPr="00F60BFD">
        <w:t xml:space="preserve"> </w:t>
      </w:r>
      <w:r w:rsidR="00023E38">
        <w:t>T</w:t>
      </w:r>
      <w:r w:rsidR="00154E2A">
        <w:t>he</w:t>
      </w:r>
      <w:r w:rsidR="005F351A" w:rsidRPr="00F60BFD" w:rsidDel="003415DA">
        <w:t xml:space="preserve"> </w:t>
      </w:r>
      <w:r w:rsidR="005F351A" w:rsidRPr="00F60BFD">
        <w:t xml:space="preserve">pricing order </w:t>
      </w:r>
      <w:r w:rsidR="003415DA">
        <w:t xml:space="preserve">may only be amended by the minister </w:t>
      </w:r>
      <w:r w:rsidR="001A4173">
        <w:t>following relevant policy considerations.</w:t>
      </w:r>
    </w:p>
    <w:p w14:paraId="61FBB4BE" w14:textId="7F976321" w:rsidR="00D11734" w:rsidRDefault="00E64194" w:rsidP="00D137F8">
      <w:r w:rsidRPr="00F60BFD">
        <w:t>EnergyAustralia</w:t>
      </w:r>
      <w:r w:rsidR="00D137F8" w:rsidRPr="00F60BFD">
        <w:t xml:space="preserve"> supported the </w:t>
      </w:r>
      <w:r w:rsidR="000C758F">
        <w:t>c</w:t>
      </w:r>
      <w:r w:rsidR="00D137F8" w:rsidRPr="00F60BFD">
        <w:t xml:space="preserve">ommission’s consistent methodology but questioned the use of the </w:t>
      </w:r>
      <w:r w:rsidR="00FC177E" w:rsidRPr="00322476">
        <w:t>Australian Competition and Consumer Commission</w:t>
      </w:r>
      <w:r w:rsidR="00D137F8" w:rsidRPr="00F60BFD">
        <w:t>’s 2013–14 benchmark (adjusted for inflation), arguing it may not reflect current market conditions given substantial changes in technology, consumer behaviour, and regulatory pressures</w:t>
      </w:r>
      <w:r w:rsidR="004A2F13">
        <w:t>.</w:t>
      </w:r>
      <w:r w:rsidR="00DC7590" w:rsidRPr="00F60BFD">
        <w:rPr>
          <w:rStyle w:val="FootnoteReference"/>
        </w:rPr>
        <w:footnoteReference w:id="124"/>
      </w:r>
      <w:r w:rsidR="00DC7590" w:rsidRPr="00F60BFD">
        <w:t xml:space="preserve"> </w:t>
      </w:r>
    </w:p>
    <w:p w14:paraId="4D951B2D" w14:textId="432CCFAE" w:rsidR="00956C9D" w:rsidRDefault="00D137F8" w:rsidP="00343684">
      <w:r w:rsidRPr="00F60BFD">
        <w:t xml:space="preserve">The </w:t>
      </w:r>
      <w:r w:rsidR="001A4173">
        <w:t>c</w:t>
      </w:r>
      <w:r w:rsidRPr="00F60BFD">
        <w:t>ommission</w:t>
      </w:r>
      <w:r w:rsidRPr="00F60BFD" w:rsidDel="001A4173">
        <w:t xml:space="preserve"> </w:t>
      </w:r>
      <w:r w:rsidR="001A4173">
        <w:t xml:space="preserve">considers </w:t>
      </w:r>
      <w:r w:rsidR="006271BE">
        <w:t>a</w:t>
      </w:r>
      <w:r w:rsidR="001A4173" w:rsidRPr="00F60BFD">
        <w:t xml:space="preserve"> </w:t>
      </w:r>
      <w:r w:rsidRPr="00F60BFD">
        <w:t>modest allowance appropriately balances the interests of all stakeholders</w:t>
      </w:r>
      <w:r w:rsidR="000C758F">
        <w:t xml:space="preserve"> – </w:t>
      </w:r>
      <w:r w:rsidRPr="00F60BFD">
        <w:t>recognising that some acquisition and retention costs are necessary in a competitive market, while remaining mindful of affordability impacts, particularly for vulnerable customers.</w:t>
      </w:r>
      <w:r w:rsidR="00C12FC4" w:rsidRPr="00F60BFD">
        <w:t xml:space="preserve"> </w:t>
      </w:r>
      <w:r w:rsidR="00E3305C" w:rsidRPr="00F60BFD">
        <w:t xml:space="preserve">In terms of our approach to establishing a modest customer acquisition </w:t>
      </w:r>
      <w:r w:rsidR="00DC7590" w:rsidRPr="00F60BFD">
        <w:t>cost</w:t>
      </w:r>
      <w:r w:rsidR="00E3305C" w:rsidRPr="00F60BFD">
        <w:t xml:space="preserve">, we note a previous review of the Victorian Default Offer pricing order found our interpretation of the term ‘modest’ </w:t>
      </w:r>
      <w:r w:rsidR="00E3305C" w:rsidRPr="00AC532C">
        <w:t>appears to balance all interested parties’ concerns</w:t>
      </w:r>
      <w:r w:rsidR="009127E9" w:rsidRPr="00AC532C">
        <w:t>.</w:t>
      </w:r>
      <w:r w:rsidR="00E3305C" w:rsidRPr="00AC532C">
        <w:rPr>
          <w:rStyle w:val="FootnoteReference"/>
        </w:rPr>
        <w:footnoteReference w:id="125"/>
      </w:r>
      <w:bookmarkStart w:id="90" w:name="_Toc191027377"/>
      <w:bookmarkStart w:id="91" w:name="_Ref192753419"/>
      <w:bookmarkStart w:id="92" w:name="_Ref194397470"/>
      <w:bookmarkStart w:id="93" w:name="_Ref195534245"/>
      <w:r w:rsidR="009F3A5E">
        <w:t xml:space="preserve"> </w:t>
      </w:r>
      <w:r w:rsidR="00956C9D">
        <w:br w:type="page"/>
      </w:r>
    </w:p>
    <w:p w14:paraId="66174775" w14:textId="61CE9774" w:rsidR="006D5A03" w:rsidRPr="00AC532C" w:rsidRDefault="00041A39" w:rsidP="00041A39">
      <w:pPr>
        <w:pStyle w:val="Heading2"/>
      </w:pPr>
      <w:bookmarkStart w:id="94" w:name="_Ref198640846"/>
      <w:bookmarkStart w:id="95" w:name="_Toc198808332"/>
      <w:r w:rsidRPr="00AC532C">
        <w:lastRenderedPageBreak/>
        <w:t>Other costs</w:t>
      </w:r>
      <w:bookmarkEnd w:id="90"/>
      <w:bookmarkEnd w:id="91"/>
      <w:bookmarkEnd w:id="92"/>
      <w:bookmarkEnd w:id="93"/>
      <w:bookmarkEnd w:id="94"/>
      <w:bookmarkEnd w:id="95"/>
    </w:p>
    <w:p w14:paraId="3557B55A" w14:textId="4928AC3E" w:rsidR="00601ADC" w:rsidRPr="00AC532C" w:rsidRDefault="00601ADC" w:rsidP="00601ADC">
      <w:pPr>
        <w:pStyle w:val="Pull-outBullet1"/>
      </w:pPr>
      <w:r w:rsidRPr="00AC532C">
        <w:t xml:space="preserve">Other costs make up </w:t>
      </w:r>
      <w:r w:rsidR="00906AD4" w:rsidRPr="00AC532C">
        <w:t>1</w:t>
      </w:r>
      <w:r w:rsidR="00062C22" w:rsidRPr="00AC532C">
        <w:t>.25</w:t>
      </w:r>
      <w:r w:rsidRPr="00AC532C">
        <w:t xml:space="preserve"> per cent of total costs for a </w:t>
      </w:r>
      <w:r w:rsidR="00785BD5" w:rsidRPr="00AC532C">
        <w:t>representative</w:t>
      </w:r>
      <w:r w:rsidRPr="00AC532C">
        <w:t xml:space="preserve"> </w:t>
      </w:r>
      <w:r w:rsidR="00E31E09" w:rsidRPr="00AC532C">
        <w:t xml:space="preserve">Victorian Default Offer </w:t>
      </w:r>
      <w:r w:rsidRPr="00AC532C">
        <w:t>customer (averaged across the five distribution zones)</w:t>
      </w:r>
      <w:r w:rsidR="00996A80" w:rsidRPr="00AC532C">
        <w:t xml:space="preserve"> on a flat rate tariff</w:t>
      </w:r>
      <w:r w:rsidRPr="00AC532C">
        <w:t xml:space="preserve">. </w:t>
      </w:r>
    </w:p>
    <w:p w14:paraId="00D50747" w14:textId="41B6B37F" w:rsidR="00601ADC" w:rsidRPr="00AC532C" w:rsidRDefault="00601ADC" w:rsidP="00601ADC">
      <w:pPr>
        <w:pStyle w:val="Pull-outBullet1"/>
      </w:pPr>
      <w:r w:rsidRPr="00AC532C">
        <w:t xml:space="preserve">Our </w:t>
      </w:r>
      <w:r w:rsidR="00D6432D" w:rsidRPr="00AC532C">
        <w:t>final</w:t>
      </w:r>
      <w:r w:rsidRPr="00AC532C">
        <w:t xml:space="preserve"> decision</w:t>
      </w:r>
      <w:r w:rsidR="00025D67" w:rsidRPr="00AC532C">
        <w:t xml:space="preserve"> </w:t>
      </w:r>
      <w:r w:rsidRPr="00AC532C">
        <w:t>marginally increase</w:t>
      </w:r>
      <w:r w:rsidR="00E26CFA" w:rsidRPr="00AC532C">
        <w:t>s</w:t>
      </w:r>
      <w:r w:rsidRPr="00AC532C">
        <w:t xml:space="preserve"> the amount included for these costs compared with the 2024–25 Victorian Default Offer</w:t>
      </w:r>
      <w:r w:rsidR="00224C40" w:rsidRPr="00AC532C">
        <w:t>,</w:t>
      </w:r>
      <w:r w:rsidRPr="00AC532C">
        <w:t xml:space="preserve"> primarily due to </w:t>
      </w:r>
      <w:r w:rsidR="00D06EAD" w:rsidRPr="00AC532C">
        <w:t>increases</w:t>
      </w:r>
      <w:r w:rsidR="00765889" w:rsidRPr="00AC532C">
        <w:t xml:space="preserve"> in </w:t>
      </w:r>
      <w:r w:rsidRPr="00AC532C">
        <w:t>market intervention costs</w:t>
      </w:r>
      <w:r w:rsidR="00A46C76" w:rsidRPr="00AC532C">
        <w:t xml:space="preserve">, </w:t>
      </w:r>
      <w:r w:rsidR="0021364B" w:rsidRPr="00AC532C">
        <w:t>R</w:t>
      </w:r>
      <w:r w:rsidR="00117BDF" w:rsidRPr="00AC532C">
        <w:t xml:space="preserve">eliability and </w:t>
      </w:r>
      <w:r w:rsidR="0021364B" w:rsidRPr="00AC532C">
        <w:t>E</w:t>
      </w:r>
      <w:r w:rsidR="00117BDF" w:rsidRPr="00AC532C">
        <w:t xml:space="preserve">mergency </w:t>
      </w:r>
      <w:r w:rsidR="0021364B" w:rsidRPr="00AC532C">
        <w:t>R</w:t>
      </w:r>
      <w:r w:rsidR="00117BDF" w:rsidRPr="00AC532C">
        <w:t xml:space="preserve">eserve </w:t>
      </w:r>
      <w:r w:rsidR="0021364B" w:rsidRPr="00AC532C">
        <w:t>T</w:t>
      </w:r>
      <w:r w:rsidR="00117BDF" w:rsidRPr="00AC532C">
        <w:t xml:space="preserve">rader costs and </w:t>
      </w:r>
      <w:r w:rsidR="00F760C0" w:rsidRPr="00AC532C">
        <w:t>Australian Energy Market</w:t>
      </w:r>
      <w:r w:rsidR="00117BDF" w:rsidRPr="00AC532C">
        <w:t xml:space="preserve"> </w:t>
      </w:r>
      <w:r w:rsidR="00912A7E">
        <w:t>Operator</w:t>
      </w:r>
      <w:r w:rsidR="00117BDF" w:rsidRPr="00AC532C">
        <w:t xml:space="preserve"> fees.</w:t>
      </w:r>
    </w:p>
    <w:p w14:paraId="3856C009" w14:textId="64A684FB" w:rsidR="00224C40" w:rsidRPr="00AC532C" w:rsidRDefault="00246585" w:rsidP="00A31FD2">
      <w:r w:rsidRPr="00AC532C">
        <w:t>The pricing order</w:t>
      </w:r>
      <w:r w:rsidR="00777E65" w:rsidRPr="00AC532C">
        <w:t xml:space="preserve"> </w:t>
      </w:r>
      <w:r w:rsidR="00025A02" w:rsidRPr="00AC532C">
        <w:t xml:space="preserve">gives us discretion to </w:t>
      </w:r>
      <w:r w:rsidR="00E81E1A" w:rsidRPr="00AC532C">
        <w:t>have regard to</w:t>
      </w:r>
      <w:r w:rsidR="000502A2" w:rsidRPr="00AC532C">
        <w:t xml:space="preserve"> any </w:t>
      </w:r>
      <w:r w:rsidR="000502A2" w:rsidRPr="00AC532C">
        <w:rPr>
          <w:b/>
          <w:bCs/>
        </w:rPr>
        <w:t>other cost</w:t>
      </w:r>
      <w:r w:rsidR="00CF4900" w:rsidRPr="00AC532C">
        <w:rPr>
          <w:b/>
          <w:bCs/>
        </w:rPr>
        <w:t>s</w:t>
      </w:r>
      <w:r w:rsidR="00A11C0C" w:rsidRPr="00AC532C">
        <w:t xml:space="preserve"> consider</w:t>
      </w:r>
      <w:r w:rsidR="00916E03" w:rsidRPr="00AC532C">
        <w:t>ed</w:t>
      </w:r>
      <w:r w:rsidR="00A11C0C" w:rsidRPr="00AC532C">
        <w:t xml:space="preserve"> appropriate or relevant</w:t>
      </w:r>
      <w:r w:rsidR="003A413D" w:rsidRPr="00AC532C">
        <w:t xml:space="preserve"> </w:t>
      </w:r>
      <w:r w:rsidR="007427C2" w:rsidRPr="00AC532C">
        <w:t>in our estimation of the efficient cost</w:t>
      </w:r>
      <w:r w:rsidR="000636D0" w:rsidRPr="00AC532C">
        <w:t>s</w:t>
      </w:r>
      <w:r w:rsidR="007427C2" w:rsidRPr="00AC532C">
        <w:t xml:space="preserve"> of the sale of electricity</w:t>
      </w:r>
      <w:r w:rsidR="000171B5" w:rsidRPr="00AC532C">
        <w:t xml:space="preserve"> by a retailer</w:t>
      </w:r>
      <w:r w:rsidR="007427C2" w:rsidRPr="00AC532C">
        <w:t xml:space="preserve"> </w:t>
      </w:r>
      <w:r w:rsidR="00D466DD" w:rsidRPr="00AC532C">
        <w:t>(</w:t>
      </w:r>
      <w:proofErr w:type="gramStart"/>
      <w:r w:rsidR="00D466DD" w:rsidRPr="00AC532C">
        <w:t>with the exc</w:t>
      </w:r>
      <w:r w:rsidR="003E5FFF" w:rsidRPr="00AC532C">
        <w:t>e</w:t>
      </w:r>
      <w:r w:rsidR="00D466DD" w:rsidRPr="00AC532C">
        <w:t>ption of</w:t>
      </w:r>
      <w:proofErr w:type="gramEnd"/>
      <w:r w:rsidR="00D466DD" w:rsidRPr="00AC532C">
        <w:t xml:space="preserve"> headroom).</w:t>
      </w:r>
      <w:r w:rsidR="0058778F">
        <w:rPr>
          <w:rStyle w:val="FootnoteReference"/>
        </w:rPr>
        <w:footnoteReference w:id="126"/>
      </w:r>
      <w:r w:rsidR="00A11C0C" w:rsidRPr="00AC532C">
        <w:t xml:space="preserve"> </w:t>
      </w:r>
    </w:p>
    <w:p w14:paraId="280BC518" w14:textId="09B906D2" w:rsidR="00A31FD2" w:rsidRPr="00AC532C" w:rsidRDefault="00B304D1" w:rsidP="00A31FD2">
      <w:r w:rsidRPr="00AC532C">
        <w:t>Ou</w:t>
      </w:r>
      <w:r w:rsidR="0096265C" w:rsidRPr="00AC532C">
        <w:t xml:space="preserve">r </w:t>
      </w:r>
      <w:r w:rsidR="00D6432D" w:rsidRPr="00AC532C">
        <w:t>final</w:t>
      </w:r>
      <w:r w:rsidR="0096265C" w:rsidRPr="00AC532C">
        <w:t xml:space="preserve"> decision </w:t>
      </w:r>
      <w:r w:rsidR="00387D05" w:rsidRPr="00AC532C">
        <w:t xml:space="preserve">is to </w:t>
      </w:r>
      <w:r w:rsidR="005B5648" w:rsidRPr="00AC532C">
        <w:t>pass</w:t>
      </w:r>
      <w:r w:rsidR="00685751" w:rsidRPr="00AC532C">
        <w:t>-</w:t>
      </w:r>
      <w:r w:rsidR="005B5648" w:rsidRPr="00AC532C">
        <w:t>through</w:t>
      </w:r>
      <w:r w:rsidR="00505905" w:rsidRPr="00AC532C">
        <w:t xml:space="preserve"> </w:t>
      </w:r>
      <w:r w:rsidR="00A31FD2" w:rsidRPr="00AC532C">
        <w:t xml:space="preserve">other costs </w:t>
      </w:r>
      <w:r w:rsidR="00E14683" w:rsidRPr="00AC532C">
        <w:t xml:space="preserve">that </w:t>
      </w:r>
      <w:r w:rsidR="00A31FD2" w:rsidRPr="00AC532C">
        <w:t xml:space="preserve">retailers incur </w:t>
      </w:r>
      <w:r w:rsidR="00D06EAD" w:rsidRPr="00AC532C">
        <w:t>whe</w:t>
      </w:r>
      <w:r w:rsidR="00230C2C" w:rsidRPr="00AC532C">
        <w:t>n</w:t>
      </w:r>
      <w:r w:rsidR="00D06EAD" w:rsidRPr="00AC532C">
        <w:t xml:space="preserve"> they</w:t>
      </w:r>
      <w:r w:rsidR="00A31FD2" w:rsidRPr="00AC532C">
        <w:t xml:space="preserve"> are specific and discrete to their obligations and requirements to operate as an electricity retailer. These costs are generally minor </w:t>
      </w:r>
      <w:r w:rsidR="00D41D8C" w:rsidRPr="00AC532C">
        <w:t>in relation</w:t>
      </w:r>
      <w:r w:rsidR="00A31FD2" w:rsidRPr="00AC532C">
        <w:t xml:space="preserve"> to the total </w:t>
      </w:r>
      <w:r w:rsidR="00224C40" w:rsidRPr="00AC532C">
        <w:t xml:space="preserve">Victorian Default Offer </w:t>
      </w:r>
      <w:r w:rsidR="00A31FD2" w:rsidRPr="00AC532C">
        <w:t>cost stack (</w:t>
      </w:r>
      <w:r w:rsidR="00BD792F" w:rsidRPr="00AC532C">
        <w:t>1</w:t>
      </w:r>
      <w:r w:rsidR="00F570B1" w:rsidRPr="00AC532C">
        <w:t>.25</w:t>
      </w:r>
      <w:r w:rsidR="00A31FD2" w:rsidRPr="00AC532C">
        <w:t xml:space="preserve"> per cent</w:t>
      </w:r>
      <w:r w:rsidR="00CB3344" w:rsidRPr="00AC532C">
        <w:t>)</w:t>
      </w:r>
      <w:r w:rsidR="00A31FD2" w:rsidRPr="00AC532C">
        <w:t xml:space="preserve"> but are </w:t>
      </w:r>
      <w:r w:rsidR="007A7FBC" w:rsidRPr="00AC532C">
        <w:t>part of a</w:t>
      </w:r>
      <w:r w:rsidR="00991DD0" w:rsidRPr="00AC532C">
        <w:t xml:space="preserve"> retailer’s </w:t>
      </w:r>
      <w:r w:rsidR="00A31FD2" w:rsidRPr="00AC532C">
        <w:t>efficient cost</w:t>
      </w:r>
      <w:r w:rsidR="00991DD0" w:rsidRPr="00AC532C">
        <w:t>s</w:t>
      </w:r>
      <w:r w:rsidR="00333613" w:rsidRPr="00AC532C">
        <w:t xml:space="preserve"> in selling electricity</w:t>
      </w:r>
      <w:r w:rsidR="00A31FD2" w:rsidRPr="00AC532C">
        <w:t>.</w:t>
      </w:r>
    </w:p>
    <w:p w14:paraId="6694E0DD" w14:textId="4A587F6E" w:rsidR="00A31FD2" w:rsidRPr="00820A47" w:rsidRDefault="00461D34" w:rsidP="00A31FD2">
      <w:r w:rsidRPr="00AC532C">
        <w:t>Other</w:t>
      </w:r>
      <w:r w:rsidR="00A31FD2" w:rsidRPr="00AC532C">
        <w:t xml:space="preserve"> costs include:</w:t>
      </w:r>
    </w:p>
    <w:p w14:paraId="7883727F" w14:textId="0978B843" w:rsidR="00A31FD2" w:rsidRPr="00413253" w:rsidRDefault="00676020" w:rsidP="00413253">
      <w:pPr>
        <w:pStyle w:val="ListBullet"/>
      </w:pPr>
      <w:r w:rsidRPr="00413253">
        <w:t xml:space="preserve">market </w:t>
      </w:r>
      <w:r w:rsidR="00A31FD2" w:rsidRPr="00413253">
        <w:t>intervention costs</w:t>
      </w:r>
    </w:p>
    <w:p w14:paraId="65CC67C6" w14:textId="77777777" w:rsidR="00A31FD2" w:rsidRPr="00413253" w:rsidRDefault="00A31FD2" w:rsidP="00413253">
      <w:pPr>
        <w:pStyle w:val="ListBullet"/>
      </w:pPr>
      <w:r w:rsidRPr="00413253">
        <w:t>Australian Energy Market Operator fees</w:t>
      </w:r>
    </w:p>
    <w:p w14:paraId="6DB5F7A9" w14:textId="43396A8D" w:rsidR="00A31FD2" w:rsidRPr="00413253" w:rsidRDefault="009420AF" w:rsidP="00413253">
      <w:pPr>
        <w:pStyle w:val="ListBullet"/>
      </w:pPr>
      <w:r w:rsidRPr="00413253">
        <w:t>a</w:t>
      </w:r>
      <w:r w:rsidR="00A31FD2" w:rsidRPr="00413253">
        <w:t xml:space="preserve">ncillary </w:t>
      </w:r>
      <w:r w:rsidR="00D13C34" w:rsidRPr="00413253">
        <w:t xml:space="preserve">services </w:t>
      </w:r>
      <w:r w:rsidR="00A31FD2" w:rsidRPr="00413253">
        <w:t>fees</w:t>
      </w:r>
    </w:p>
    <w:p w14:paraId="78EAFB56" w14:textId="77777777" w:rsidR="00A31FD2" w:rsidRPr="00413253" w:rsidRDefault="00A31FD2" w:rsidP="00413253">
      <w:pPr>
        <w:pStyle w:val="ListBullet"/>
      </w:pPr>
      <w:r w:rsidRPr="00413253">
        <w:t>Reliability and Emergency Reserve Trader costs</w:t>
      </w:r>
    </w:p>
    <w:p w14:paraId="6AD8FC61" w14:textId="4F13D4ED" w:rsidR="00185C2D" w:rsidRPr="00413253" w:rsidRDefault="00A31FD2" w:rsidP="00413253">
      <w:pPr>
        <w:pStyle w:val="ListBullet"/>
      </w:pPr>
      <w:r w:rsidRPr="00413253">
        <w:t xml:space="preserve">Essential Services Commission licence fees. </w:t>
      </w:r>
    </w:p>
    <w:p w14:paraId="18C1E6E6" w14:textId="125E9F0B" w:rsidR="00FB375D" w:rsidRPr="00FB375D" w:rsidRDefault="00E76362" w:rsidP="00610F02">
      <w:bookmarkStart w:id="96" w:name="_Ref192605871"/>
      <w:r>
        <w:t xml:space="preserve">These </w:t>
      </w:r>
      <w:r w:rsidR="001514D8">
        <w:t xml:space="preserve">other </w:t>
      </w:r>
      <w:r>
        <w:t xml:space="preserve">costs </w:t>
      </w:r>
      <w:r w:rsidR="00046331">
        <w:t>comprise</w:t>
      </w:r>
      <w:r>
        <w:t xml:space="preserve"> both </w:t>
      </w:r>
      <w:r w:rsidR="00FB375D" w:rsidRPr="00FB375D">
        <w:t xml:space="preserve">fixed </w:t>
      </w:r>
      <w:r w:rsidR="006E6CD9">
        <w:t xml:space="preserve">costs </w:t>
      </w:r>
      <w:r w:rsidR="00FB375D" w:rsidRPr="00FB375D">
        <w:t xml:space="preserve">(per customer) and variable </w:t>
      </w:r>
      <w:r w:rsidR="002F75A3">
        <w:t xml:space="preserve">costs </w:t>
      </w:r>
      <w:r w:rsidR="00FB375D" w:rsidRPr="00FB375D">
        <w:t>(per megawatt hour)</w:t>
      </w:r>
      <w:r w:rsidR="002F75A3">
        <w:t>.</w:t>
      </w:r>
      <w:bookmarkEnd w:id="96"/>
    </w:p>
    <w:p w14:paraId="6DFBDC37" w14:textId="4B0D2368" w:rsidR="0098778B" w:rsidRPr="00FB375D" w:rsidRDefault="0098778B" w:rsidP="00610F02">
      <w:r>
        <w:t xml:space="preserve">We did not receive any comments on other costs in submissions on our draft decision for the 2025–26 </w:t>
      </w:r>
      <w:r w:rsidR="00A01BCA">
        <w:t>Victorian D</w:t>
      </w:r>
      <w:r>
        <w:t xml:space="preserve">efault </w:t>
      </w:r>
      <w:r w:rsidR="00A01BCA">
        <w:t>O</w:t>
      </w:r>
      <w:r>
        <w:t xml:space="preserve">ffer. </w:t>
      </w:r>
    </w:p>
    <w:p w14:paraId="7CA669EA" w14:textId="6F8DEF2C" w:rsidR="00A31FD2" w:rsidRPr="005E1CD0" w:rsidRDefault="00BE4948" w:rsidP="00A31FD2">
      <w:pPr>
        <w:pStyle w:val="Heading3"/>
      </w:pPr>
      <w:bookmarkStart w:id="97" w:name="_Toc160817035"/>
      <w:bookmarkStart w:id="98" w:name="_Toc191027378"/>
      <w:r>
        <w:t xml:space="preserve">Our </w:t>
      </w:r>
      <w:r w:rsidR="00510387">
        <w:t>final</w:t>
      </w:r>
      <w:r>
        <w:t xml:space="preserve"> decision includes re</w:t>
      </w:r>
      <w:r w:rsidR="00A31FD2" w:rsidRPr="005E1CD0">
        <w:t>cover</w:t>
      </w:r>
      <w:r>
        <w:t>y of</w:t>
      </w:r>
      <w:r w:rsidR="00A31FD2" w:rsidRPr="005E1CD0">
        <w:t xml:space="preserve"> market </w:t>
      </w:r>
      <w:r w:rsidR="00144B20">
        <w:t>intervention</w:t>
      </w:r>
      <w:r w:rsidR="00A31FD2" w:rsidRPr="005E1CD0">
        <w:t xml:space="preserve"> costs</w:t>
      </w:r>
      <w:bookmarkEnd w:id="97"/>
      <w:bookmarkEnd w:id="98"/>
    </w:p>
    <w:p w14:paraId="5968B1C6" w14:textId="42DEBBB8" w:rsidR="00110EDE" w:rsidRPr="000F172F" w:rsidRDefault="00A31FD2" w:rsidP="00FB5837">
      <w:r w:rsidRPr="005E1CD0">
        <w:t>The Australian Energy Market Operator manages the power system that supports the National Electricity Market</w:t>
      </w:r>
      <w:r w:rsidR="00862E1B">
        <w:t xml:space="preserve"> (NEM)</w:t>
      </w:r>
      <w:r w:rsidRPr="005E1CD0">
        <w:t>. If the power system is interrupted</w:t>
      </w:r>
      <w:r w:rsidR="00F60410">
        <w:t>,</w:t>
      </w:r>
      <w:r w:rsidRPr="005E1CD0">
        <w:t xml:space="preserve"> the market operator can act to maintain a secure operating state by suspending the NEM. In the event the NEM is suspended, the cost of electricity traded on the NEM during that time is determined through </w:t>
      </w:r>
      <w:r w:rsidRPr="000F172F">
        <w:t xml:space="preserve">market suspension </w:t>
      </w:r>
      <w:r w:rsidRPr="000F172F">
        <w:lastRenderedPageBreak/>
        <w:t>pricing schedules set out in the National Electricity Rules.</w:t>
      </w:r>
      <w:r w:rsidRPr="000F172F">
        <w:rPr>
          <w:rStyle w:val="FootnoteReference"/>
        </w:rPr>
        <w:footnoteReference w:id="127"/>
      </w:r>
      <w:r w:rsidRPr="000F172F">
        <w:t xml:space="preserve"> This cost is recovered by the market operator from electricity retailers </w:t>
      </w:r>
      <w:r w:rsidR="00273BAE">
        <w:t>that</w:t>
      </w:r>
      <w:r w:rsidRPr="000F172F">
        <w:t xml:space="preserve"> contribut</w:t>
      </w:r>
      <w:r w:rsidR="00273BAE">
        <w:t>ed</w:t>
      </w:r>
      <w:r w:rsidRPr="000F172F">
        <w:t xml:space="preserve"> to electricity demand during the suspension event.</w:t>
      </w:r>
      <w:r w:rsidR="00110EDE" w:rsidRPr="000F172F" w:rsidDel="00110EDE">
        <w:t xml:space="preserve"> </w:t>
      </w:r>
    </w:p>
    <w:p w14:paraId="25C65CAB" w14:textId="5CB1094D" w:rsidR="00AE37A0" w:rsidRPr="0019717F" w:rsidRDefault="00AE37A0" w:rsidP="00AE37A0">
      <w:pPr>
        <w:pStyle w:val="Heading4"/>
      </w:pPr>
      <w:r w:rsidRPr="0019717F">
        <w:t>Suspension events in 2024</w:t>
      </w:r>
    </w:p>
    <w:p w14:paraId="418939B9" w14:textId="706EE77E" w:rsidR="009136F1" w:rsidRPr="004610E0" w:rsidRDefault="00CD5663" w:rsidP="00A31FD2">
      <w:r w:rsidRPr="0011166D">
        <w:t xml:space="preserve">The </w:t>
      </w:r>
      <w:r w:rsidR="00D27950" w:rsidRPr="005E1CD0">
        <w:t xml:space="preserve">Australian Energy Market </w:t>
      </w:r>
      <w:r w:rsidR="00D27950" w:rsidRPr="001B1D0A">
        <w:t xml:space="preserve">Operator </w:t>
      </w:r>
      <w:r w:rsidR="0014331F" w:rsidRPr="0011166D">
        <w:t>ha</w:t>
      </w:r>
      <w:r w:rsidR="00D858AE" w:rsidRPr="0011166D">
        <w:t>s</w:t>
      </w:r>
      <w:r w:rsidR="0014331F" w:rsidRPr="0011166D">
        <w:t xml:space="preserve"> advised </w:t>
      </w:r>
      <w:r w:rsidR="00B86CEF" w:rsidRPr="0011166D">
        <w:t>of</w:t>
      </w:r>
      <w:r w:rsidR="00CC6F5A" w:rsidRPr="0011166D">
        <w:t xml:space="preserve"> six events which occurred in 2024 which may result in costs </w:t>
      </w:r>
      <w:r w:rsidR="00CC6F5A" w:rsidRPr="004610E0">
        <w:t>being recovered from Victorians.</w:t>
      </w:r>
      <w:r w:rsidR="00B13674" w:rsidRPr="004610E0">
        <w:rPr>
          <w:rStyle w:val="FootnoteReference"/>
        </w:rPr>
        <w:footnoteReference w:id="128"/>
      </w:r>
      <w:r w:rsidR="00CC6F5A" w:rsidRPr="004610E0">
        <w:t xml:space="preserve"> </w:t>
      </w:r>
    </w:p>
    <w:p w14:paraId="583EC57E" w14:textId="058AAC3D" w:rsidR="00CD5663" w:rsidRPr="004610E0" w:rsidRDefault="00B92108" w:rsidP="00A31FD2">
      <w:r w:rsidRPr="004610E0">
        <w:t>Of the six events, t</w:t>
      </w:r>
      <w:r w:rsidR="0036657B" w:rsidRPr="004610E0">
        <w:t xml:space="preserve">hree </w:t>
      </w:r>
      <w:r w:rsidR="00F2285E" w:rsidRPr="004610E0">
        <w:t>are</w:t>
      </w:r>
      <w:r w:rsidR="00E560DD" w:rsidRPr="004610E0">
        <w:t xml:space="preserve"> still</w:t>
      </w:r>
      <w:r w:rsidR="00F2285E" w:rsidRPr="004610E0">
        <w:t xml:space="preserve"> </w:t>
      </w:r>
      <w:r w:rsidR="00821329" w:rsidRPr="004610E0">
        <w:t xml:space="preserve">pending </w:t>
      </w:r>
      <w:r w:rsidR="00ED3A72" w:rsidRPr="004610E0">
        <w:t>cost recovery</w:t>
      </w:r>
      <w:r w:rsidR="00D82DCC" w:rsidRPr="004610E0">
        <w:t xml:space="preserve"> </w:t>
      </w:r>
      <w:r w:rsidR="00821329" w:rsidRPr="004610E0">
        <w:t xml:space="preserve">confirmation </w:t>
      </w:r>
      <w:r w:rsidR="00D82DCC" w:rsidRPr="004610E0">
        <w:t xml:space="preserve">and final </w:t>
      </w:r>
      <w:r w:rsidR="0064384F" w:rsidRPr="004610E0">
        <w:t>market operator</w:t>
      </w:r>
      <w:r w:rsidR="00F77BE1" w:rsidRPr="004610E0">
        <w:t xml:space="preserve"> </w:t>
      </w:r>
      <w:r w:rsidR="00D82DCC" w:rsidRPr="004610E0">
        <w:t>reports</w:t>
      </w:r>
      <w:r w:rsidR="00177112" w:rsidRPr="004610E0">
        <w:t>.</w:t>
      </w:r>
      <w:r w:rsidR="00ED3A72" w:rsidRPr="004610E0">
        <w:t xml:space="preserve"> </w:t>
      </w:r>
      <w:r w:rsidR="00F00E53" w:rsidRPr="004610E0">
        <w:t xml:space="preserve">As these </w:t>
      </w:r>
      <w:r w:rsidR="004A2D8A" w:rsidRPr="004610E0">
        <w:t xml:space="preserve">three </w:t>
      </w:r>
      <w:r w:rsidR="00F00E53" w:rsidRPr="004610E0">
        <w:t xml:space="preserve">events are </w:t>
      </w:r>
      <w:r w:rsidR="009F5DF2" w:rsidRPr="004610E0">
        <w:t>yet to be finalised</w:t>
      </w:r>
      <w:r w:rsidR="00F00E53" w:rsidRPr="004610E0">
        <w:t xml:space="preserve">, they have not been included in our </w:t>
      </w:r>
      <w:r w:rsidR="00333086" w:rsidRPr="004610E0">
        <w:t>final</w:t>
      </w:r>
      <w:r w:rsidR="00F00E53" w:rsidRPr="004610E0">
        <w:t xml:space="preserve"> decision. Should these events i</w:t>
      </w:r>
      <w:r w:rsidR="001A392A" w:rsidRPr="004610E0">
        <w:t>mpose</w:t>
      </w:r>
      <w:r w:rsidR="00F00E53" w:rsidRPr="004610E0">
        <w:t xml:space="preserve"> a cost on Victorian</w:t>
      </w:r>
      <w:r w:rsidR="004F2DFD" w:rsidRPr="004610E0">
        <w:t xml:space="preserve"> retailer</w:t>
      </w:r>
      <w:r w:rsidR="00F00E53" w:rsidRPr="004610E0">
        <w:t>s once finalised</w:t>
      </w:r>
      <w:r w:rsidR="005C79B3" w:rsidRPr="004610E0">
        <w:t xml:space="preserve"> after our final decision</w:t>
      </w:r>
      <w:r w:rsidR="00F00E53" w:rsidRPr="004610E0">
        <w:t xml:space="preserve">, they will be considered </w:t>
      </w:r>
      <w:r w:rsidR="001A392A" w:rsidRPr="004610E0">
        <w:t xml:space="preserve">in </w:t>
      </w:r>
      <w:r w:rsidR="00BE4BDB" w:rsidRPr="004610E0">
        <w:t xml:space="preserve">subsequent </w:t>
      </w:r>
      <w:r w:rsidR="0067285C" w:rsidRPr="004610E0">
        <w:t>Victorian Default Offer price determinations</w:t>
      </w:r>
      <w:r w:rsidR="00BE4BDB" w:rsidRPr="004610E0">
        <w:t xml:space="preserve">. </w:t>
      </w:r>
    </w:p>
    <w:p w14:paraId="16DF238F" w14:textId="13C099E0" w:rsidR="00BB15AA" w:rsidRPr="00DC0539" w:rsidRDefault="00533310" w:rsidP="00A31FD2">
      <w:r w:rsidRPr="00903505">
        <w:t>T</w:t>
      </w:r>
      <w:r w:rsidR="00BB15AA" w:rsidRPr="00903505">
        <w:t xml:space="preserve">he market operator </w:t>
      </w:r>
      <w:r w:rsidR="00774843" w:rsidRPr="00903505">
        <w:t xml:space="preserve">has confirmed </w:t>
      </w:r>
      <w:r w:rsidR="00740D5E" w:rsidRPr="00903505">
        <w:t xml:space="preserve">costs have been recovered </w:t>
      </w:r>
      <w:r w:rsidR="008B33A0" w:rsidRPr="00903505">
        <w:t>from Victorian</w:t>
      </w:r>
      <w:r w:rsidR="004A2D8A" w:rsidRPr="00903505">
        <w:t xml:space="preserve"> retailer</w:t>
      </w:r>
      <w:r w:rsidR="008B33A0" w:rsidRPr="00903505">
        <w:t xml:space="preserve">s for </w:t>
      </w:r>
      <w:r w:rsidR="00B877D8" w:rsidRPr="00903505">
        <w:t>three</w:t>
      </w:r>
      <w:r w:rsidR="00EE1D2F" w:rsidRPr="00903505">
        <w:t xml:space="preserve"> events</w:t>
      </w:r>
      <w:r w:rsidR="00E352C2" w:rsidRPr="00903505">
        <w:t xml:space="preserve"> </w:t>
      </w:r>
      <w:r w:rsidR="0067285C" w:rsidRPr="00903505">
        <w:t>in 2024</w:t>
      </w:r>
      <w:r w:rsidR="0024199E" w:rsidRPr="00903505">
        <w:t>.</w:t>
      </w:r>
      <w:r w:rsidR="0024199E" w:rsidRPr="00DC0539">
        <w:t xml:space="preserve"> </w:t>
      </w:r>
      <w:r w:rsidR="00547AEB" w:rsidRPr="00DC0539">
        <w:t xml:space="preserve">Two of these events occurred </w:t>
      </w:r>
      <w:r w:rsidR="002B1AD0">
        <w:t>13 and 14</w:t>
      </w:r>
      <w:r w:rsidR="00547AEB" w:rsidRPr="00DC0539">
        <w:t xml:space="preserve"> </w:t>
      </w:r>
      <w:r w:rsidR="004442F7" w:rsidRPr="00DC0539">
        <w:t>February</w:t>
      </w:r>
      <w:r w:rsidR="00547AEB" w:rsidRPr="00DC0539">
        <w:t xml:space="preserve"> </w:t>
      </w:r>
      <w:r w:rsidR="00763919" w:rsidRPr="00DC0539">
        <w:t>2024</w:t>
      </w:r>
      <w:r w:rsidR="00E046B9" w:rsidRPr="00DC0539">
        <w:t xml:space="preserve">, </w:t>
      </w:r>
      <w:r w:rsidR="0034372D" w:rsidRPr="00DC0539">
        <w:t xml:space="preserve">resulting </w:t>
      </w:r>
      <w:r w:rsidR="000A2EA9" w:rsidRPr="00DC0539">
        <w:t xml:space="preserve">from a severe storm cell which developed near Ballarat </w:t>
      </w:r>
      <w:r w:rsidR="00A34842" w:rsidRPr="00DC0539">
        <w:t>and moved</w:t>
      </w:r>
      <w:r w:rsidR="000A2EA9" w:rsidRPr="00DC0539">
        <w:t xml:space="preserve"> southeast.</w:t>
      </w:r>
      <w:r w:rsidR="000B2EAC" w:rsidRPr="00DC0539">
        <w:rPr>
          <w:rStyle w:val="FootnoteReference"/>
        </w:rPr>
        <w:footnoteReference w:id="129"/>
      </w:r>
      <w:r w:rsidR="000A2EA9" w:rsidRPr="00DC0539">
        <w:t xml:space="preserve"> The Moorabool-Sy</w:t>
      </w:r>
      <w:r w:rsidR="00532D80" w:rsidRPr="00DC0539">
        <w:t>denham No.1 and 2</w:t>
      </w:r>
      <w:r w:rsidR="00800027" w:rsidRPr="00DC0539">
        <w:t>,</w:t>
      </w:r>
      <w:r w:rsidR="00532D80" w:rsidRPr="00DC0539">
        <w:t>500 kilovolt (kV) lines tripped, following a failure of six 500</w:t>
      </w:r>
      <w:r w:rsidR="00816BE6" w:rsidRPr="00DC0539">
        <w:t xml:space="preserve"> </w:t>
      </w:r>
      <w:r w:rsidR="00532D80" w:rsidRPr="00DC0539">
        <w:t xml:space="preserve">kV towers. </w:t>
      </w:r>
      <w:r w:rsidR="0095564D" w:rsidRPr="00DC0539">
        <w:t>A</w:t>
      </w:r>
      <w:r w:rsidR="00532D80" w:rsidRPr="00DC0539">
        <w:t>pproximately 2,</w:t>
      </w:r>
      <w:r w:rsidR="00901C38" w:rsidRPr="00DC0539">
        <w:t xml:space="preserve">690 megawatts (MW) of generation </w:t>
      </w:r>
      <w:r w:rsidR="00C45E0B">
        <w:t>were</w:t>
      </w:r>
      <w:r w:rsidR="00901C38" w:rsidRPr="00DC0539">
        <w:t xml:space="preserve"> lost and 1,000 MW of load was </w:t>
      </w:r>
      <w:r w:rsidR="00C82047" w:rsidRPr="00DC0539">
        <w:t>shed</w:t>
      </w:r>
      <w:r w:rsidR="00901C38" w:rsidRPr="00DC0539">
        <w:t xml:space="preserve"> in Victoria following the disturbance. As a result of this incident, </w:t>
      </w:r>
      <w:r w:rsidR="00940C3C" w:rsidRPr="00DC0539">
        <w:t>the market operator</w:t>
      </w:r>
      <w:r w:rsidR="00901C38" w:rsidRPr="00DC0539">
        <w:t xml:space="preserve"> directed Mortlake Units 11 and 12 to remain synchronised to maintain power system </w:t>
      </w:r>
      <w:r w:rsidR="00607260" w:rsidRPr="00DC0539">
        <w:t>security in Victoria</w:t>
      </w:r>
      <w:r w:rsidR="00416B59" w:rsidRPr="00DC0539">
        <w:t xml:space="preserve">. </w:t>
      </w:r>
    </w:p>
    <w:p w14:paraId="732F4CDC" w14:textId="23902B67" w:rsidR="00DB31C3" w:rsidRPr="00DC0539" w:rsidRDefault="004B32E6" w:rsidP="00A31FD2">
      <w:r w:rsidRPr="00DC0539">
        <w:t xml:space="preserve">The third event occurred on </w:t>
      </w:r>
      <w:r w:rsidR="00EF1B0B" w:rsidRPr="00DC0539">
        <w:t>5</w:t>
      </w:r>
      <w:r w:rsidR="006A0865" w:rsidRPr="00DC0539">
        <w:t xml:space="preserve"> September 2024</w:t>
      </w:r>
      <w:r w:rsidR="00EF1B0B" w:rsidRPr="00DC0539">
        <w:t>. This</w:t>
      </w:r>
      <w:r w:rsidR="007A17B5" w:rsidRPr="00DC0539">
        <w:t xml:space="preserve"> involved an IT failure that occurred during a planned electricity market management system transfer</w:t>
      </w:r>
      <w:r w:rsidR="001A6FBB" w:rsidRPr="00DC0539">
        <w:t xml:space="preserve"> which impacted </w:t>
      </w:r>
      <w:r w:rsidR="003B4AD1" w:rsidRPr="00DC0539">
        <w:t>the entire dispatch process</w:t>
      </w:r>
      <w:r w:rsidR="00DB31C3" w:rsidRPr="00DC0539">
        <w:t>.</w:t>
      </w:r>
      <w:r w:rsidR="005701F3" w:rsidRPr="00DC0539">
        <w:rPr>
          <w:rStyle w:val="FootnoteReference"/>
        </w:rPr>
        <w:footnoteReference w:id="130"/>
      </w:r>
      <w:r w:rsidR="007A17B5" w:rsidRPr="00DC0539">
        <w:t xml:space="preserve"> </w:t>
      </w:r>
      <w:r w:rsidR="002C71D6" w:rsidRPr="00DC0539">
        <w:t xml:space="preserve">The incident involved the suspension of the spot market in all NEM regions </w:t>
      </w:r>
      <w:r w:rsidR="00DF2286" w:rsidRPr="00DC0539">
        <w:t xml:space="preserve">from trading </w:t>
      </w:r>
      <w:r w:rsidR="00544ECB" w:rsidRPr="00DC0539">
        <w:t>for two hours in the afternoon</w:t>
      </w:r>
      <w:r w:rsidR="00DF2286" w:rsidRPr="00DC0539">
        <w:t>.</w:t>
      </w:r>
      <w:r w:rsidR="007A17B5" w:rsidRPr="00DC0539">
        <w:t xml:space="preserve"> </w:t>
      </w:r>
    </w:p>
    <w:p w14:paraId="522C6D66" w14:textId="4A76D271" w:rsidR="00255089" w:rsidRPr="008B48EE" w:rsidRDefault="00F925C2" w:rsidP="00255089">
      <w:r w:rsidRPr="00DC0539">
        <w:t xml:space="preserve">Our </w:t>
      </w:r>
      <w:r w:rsidR="009B4AC4" w:rsidRPr="00DC0539">
        <w:t>2024</w:t>
      </w:r>
      <w:r w:rsidR="00FB03F0" w:rsidRPr="00DC0539">
        <w:t>–</w:t>
      </w:r>
      <w:r w:rsidR="009B4AC4" w:rsidRPr="00DC0539">
        <w:t xml:space="preserve">25 </w:t>
      </w:r>
      <w:r w:rsidR="00C46931" w:rsidRPr="00DC0539">
        <w:t>Victorian Default Offer</w:t>
      </w:r>
      <w:r w:rsidR="009B4AC4" w:rsidRPr="00DC0539">
        <w:t xml:space="preserve"> decision </w:t>
      </w:r>
      <w:r w:rsidR="00BC3E0E" w:rsidRPr="00DC0539">
        <w:t xml:space="preserve">otherwise </w:t>
      </w:r>
      <w:r w:rsidR="009B4AC4" w:rsidRPr="00DC0539">
        <w:t xml:space="preserve">noted potential </w:t>
      </w:r>
      <w:r w:rsidR="00BC3E0E" w:rsidRPr="00DC0539">
        <w:t xml:space="preserve">market intervention costs relating to </w:t>
      </w:r>
      <w:r w:rsidR="009B4AC4" w:rsidRPr="00DC0539">
        <w:t xml:space="preserve">outstanding compensation payable for </w:t>
      </w:r>
      <w:r w:rsidR="00013670" w:rsidRPr="00DC0539">
        <w:t>a</w:t>
      </w:r>
      <w:r w:rsidR="00EC5FC5" w:rsidRPr="00DC0539">
        <w:t xml:space="preserve"> significant market </w:t>
      </w:r>
      <w:r w:rsidR="007855A3" w:rsidRPr="00DC0539">
        <w:t>intervention</w:t>
      </w:r>
      <w:r w:rsidR="00EC5FC5" w:rsidRPr="00DC0539">
        <w:t xml:space="preserve"> event in</w:t>
      </w:r>
      <w:r w:rsidR="009B4AC4" w:rsidRPr="00DC0539">
        <w:t xml:space="preserve"> June 2022</w:t>
      </w:r>
      <w:r w:rsidR="00690333" w:rsidRPr="00DC0539">
        <w:t>. T</w:t>
      </w:r>
      <w:r w:rsidR="00255089" w:rsidRPr="00DC0539">
        <w:t xml:space="preserve">he </w:t>
      </w:r>
      <w:r w:rsidR="00576C03" w:rsidRPr="00DC0539">
        <w:t>m</w:t>
      </w:r>
      <w:r w:rsidR="00255089" w:rsidRPr="00DC0539">
        <w:t xml:space="preserve">arket </w:t>
      </w:r>
      <w:r w:rsidR="00576C03" w:rsidRPr="00DC0539">
        <w:t>o</w:t>
      </w:r>
      <w:r w:rsidR="00255089" w:rsidRPr="00DC0539">
        <w:t xml:space="preserve">perator has </w:t>
      </w:r>
      <w:r w:rsidR="00DC2BB6" w:rsidRPr="008B48EE">
        <w:t xml:space="preserve">since </w:t>
      </w:r>
      <w:r w:rsidR="00255089" w:rsidRPr="008B48EE">
        <w:t xml:space="preserve">confirmed that compensation relating to </w:t>
      </w:r>
      <w:r w:rsidR="00690333" w:rsidRPr="008B48EE">
        <w:t>this</w:t>
      </w:r>
      <w:r w:rsidR="00255089" w:rsidRPr="008B48EE">
        <w:t xml:space="preserve"> event will </w:t>
      </w:r>
      <w:r w:rsidR="00F33CAC" w:rsidRPr="008B48EE">
        <w:t xml:space="preserve">not </w:t>
      </w:r>
      <w:r w:rsidR="00255089" w:rsidRPr="008B48EE">
        <w:t>be recovered from Victorian electricity retailers.</w:t>
      </w:r>
      <w:r w:rsidR="00255089" w:rsidRPr="008B48EE">
        <w:rPr>
          <w:rStyle w:val="FootnoteReference"/>
        </w:rPr>
        <w:footnoteReference w:id="131"/>
      </w:r>
    </w:p>
    <w:p w14:paraId="1D8D9ADA" w14:textId="3A14863A" w:rsidR="00F26B36" w:rsidRPr="008B48EE" w:rsidRDefault="00F26B36" w:rsidP="00F26B36">
      <w:r w:rsidRPr="008B48EE">
        <w:lastRenderedPageBreak/>
        <w:t>This results in a cost to an average domestic Victorian Default Offer customer of $</w:t>
      </w:r>
      <w:r w:rsidR="00C2511E" w:rsidRPr="008B48EE">
        <w:t>0.28</w:t>
      </w:r>
      <w:r w:rsidRPr="008B48EE">
        <w:t xml:space="preserve"> in 2025</w:t>
      </w:r>
      <w:r w:rsidR="0057317F" w:rsidRPr="008B48EE">
        <w:t>–</w:t>
      </w:r>
      <w:r w:rsidR="009602BF" w:rsidRPr="008B48EE">
        <w:t>‍</w:t>
      </w:r>
      <w:r w:rsidRPr="008B48EE">
        <w:t xml:space="preserve">26. This is an increase of </w:t>
      </w:r>
      <w:r w:rsidR="003D59E6" w:rsidRPr="008B48EE">
        <w:t>$0.27</w:t>
      </w:r>
      <w:r w:rsidRPr="008B48EE">
        <w:t xml:space="preserve"> from the 2024–25 Victorian Default Offer and is driven by </w:t>
      </w:r>
      <w:r w:rsidR="00CB3CA0" w:rsidRPr="008B48EE">
        <w:t xml:space="preserve">the </w:t>
      </w:r>
      <w:r w:rsidRPr="008B48EE">
        <w:t>market suspension events in February and September 2024.</w:t>
      </w:r>
    </w:p>
    <w:p w14:paraId="0776F735" w14:textId="77777777" w:rsidR="00A31FD2" w:rsidRPr="002B7E51" w:rsidRDefault="00A31FD2" w:rsidP="007519B8">
      <w:pPr>
        <w:pStyle w:val="Heading3"/>
      </w:pPr>
      <w:r w:rsidRPr="008B48EE">
        <w:t>Reliability and Emergency Reserve Trader costs</w:t>
      </w:r>
    </w:p>
    <w:p w14:paraId="79F66499" w14:textId="625DEDB7" w:rsidR="00A31FD2" w:rsidRPr="00242D4D" w:rsidRDefault="00A31FD2" w:rsidP="00A31FD2">
      <w:r w:rsidRPr="002B7E51">
        <w:t xml:space="preserve">The Reliability and Emergency Reserve Trader scheme is a mechanism that the </w:t>
      </w:r>
      <w:r w:rsidR="00DF5EC2">
        <w:t xml:space="preserve">market operator </w:t>
      </w:r>
      <w:r w:rsidRPr="002B7E51">
        <w:t>can use to maintain power system reliability and system security using reserve contracts. The market operator publishes reports detailing when their reliability and emergency trader functions have been activated.</w:t>
      </w:r>
      <w:r w:rsidRPr="002B7E51">
        <w:rPr>
          <w:rStyle w:val="FootnoteReference"/>
        </w:rPr>
        <w:footnoteReference w:id="132"/>
      </w:r>
    </w:p>
    <w:p w14:paraId="48FFCA08" w14:textId="73AA091C" w:rsidR="00D120D6" w:rsidRPr="00A23D8E" w:rsidRDefault="00E72B52" w:rsidP="00A31FD2">
      <w:r w:rsidRPr="00EC6E45">
        <w:t xml:space="preserve">Since </w:t>
      </w:r>
      <w:r w:rsidR="002E1DCF" w:rsidRPr="00EC6E45">
        <w:t>our</w:t>
      </w:r>
      <w:r w:rsidR="00BD017B" w:rsidRPr="00EC6E45">
        <w:t xml:space="preserve"> </w:t>
      </w:r>
      <w:r w:rsidR="002E1DCF" w:rsidRPr="00EC6E45">
        <w:t>final decision on</w:t>
      </w:r>
      <w:r w:rsidRPr="00EC6E45">
        <w:t xml:space="preserve"> </w:t>
      </w:r>
      <w:r w:rsidR="00BD017B" w:rsidRPr="00EC6E45">
        <w:t>the 2024</w:t>
      </w:r>
      <w:r w:rsidR="00837737" w:rsidRPr="00EC6E45">
        <w:t>–</w:t>
      </w:r>
      <w:r w:rsidR="00BD017B" w:rsidRPr="00EC6E45">
        <w:t>25 Victorian Default Offer</w:t>
      </w:r>
      <w:r w:rsidRPr="00EC6E45">
        <w:t xml:space="preserve">, the market operator </w:t>
      </w:r>
      <w:r w:rsidR="00DB35ED" w:rsidRPr="00EC6E45">
        <w:t xml:space="preserve">has </w:t>
      </w:r>
      <w:r w:rsidR="00CA0E5A" w:rsidRPr="00EC6E45">
        <w:t xml:space="preserve">confirmed </w:t>
      </w:r>
      <w:r w:rsidR="00A76D56" w:rsidRPr="00EC6E45">
        <w:t xml:space="preserve">that </w:t>
      </w:r>
      <w:r w:rsidR="00E5173E" w:rsidRPr="00EC6E45">
        <w:t>additional</w:t>
      </w:r>
      <w:r w:rsidRPr="00EC6E45">
        <w:t xml:space="preserve"> </w:t>
      </w:r>
      <w:r w:rsidR="00A31FD2" w:rsidRPr="00EC6E45">
        <w:t>Interim Reliability Reserve</w:t>
      </w:r>
      <w:r w:rsidR="009B3EC6" w:rsidRPr="00EC6E45">
        <w:t>s</w:t>
      </w:r>
      <w:r w:rsidR="00A31FD2" w:rsidRPr="00EC6E45">
        <w:t xml:space="preserve"> </w:t>
      </w:r>
      <w:r w:rsidR="00A94DE2" w:rsidRPr="00EC6E45">
        <w:t xml:space="preserve">were </w:t>
      </w:r>
      <w:r w:rsidR="00A31FD2" w:rsidRPr="00EC6E45">
        <w:t>contract</w:t>
      </w:r>
      <w:r w:rsidR="00A94DE2" w:rsidRPr="00EC6E45">
        <w:t xml:space="preserve">ed </w:t>
      </w:r>
      <w:r w:rsidR="00295367" w:rsidRPr="00EC6E45">
        <w:t xml:space="preserve">to cover the period </w:t>
      </w:r>
      <w:r w:rsidR="00312A1D" w:rsidRPr="00EC6E45">
        <w:t>from 1 January 2024 to 31 March 2024</w:t>
      </w:r>
      <w:r w:rsidR="008F143F" w:rsidRPr="00EC6E45">
        <w:t xml:space="preserve"> </w:t>
      </w:r>
      <w:r w:rsidR="008F143F" w:rsidRPr="00A23D8E">
        <w:t>for the Victorian region</w:t>
      </w:r>
      <w:r w:rsidR="001F0269" w:rsidRPr="00A23D8E">
        <w:t xml:space="preserve">, with </w:t>
      </w:r>
      <w:r w:rsidR="00556745" w:rsidRPr="00A23D8E">
        <w:t>costs incurred recovered from Victorian electr</w:t>
      </w:r>
      <w:r w:rsidR="009C3091" w:rsidRPr="00A23D8E">
        <w:t>i</w:t>
      </w:r>
      <w:r w:rsidR="00556745" w:rsidRPr="00A23D8E">
        <w:t>city retailers</w:t>
      </w:r>
      <w:r w:rsidR="008F143F" w:rsidRPr="00A23D8E">
        <w:t>.</w:t>
      </w:r>
      <w:r w:rsidR="004C06BB" w:rsidRPr="00A23D8E">
        <w:rPr>
          <w:rStyle w:val="FootnoteReference"/>
        </w:rPr>
        <w:footnoteReference w:id="133"/>
      </w:r>
      <w:r w:rsidR="008F143F" w:rsidRPr="00A23D8E">
        <w:t xml:space="preserve">  </w:t>
      </w:r>
      <w:r w:rsidR="00A31FD2" w:rsidRPr="00A23D8E">
        <w:t xml:space="preserve"> </w:t>
      </w:r>
    </w:p>
    <w:p w14:paraId="4F50C416" w14:textId="7204048C" w:rsidR="003C4C5C" w:rsidRPr="00EC6E45" w:rsidRDefault="0023441A" w:rsidP="00A31FD2">
      <w:r w:rsidRPr="00A23D8E">
        <w:t xml:space="preserve">Our </w:t>
      </w:r>
      <w:r w:rsidR="00985C64" w:rsidRPr="00A23D8E">
        <w:t>final</w:t>
      </w:r>
      <w:r w:rsidR="00D120D6" w:rsidRPr="00A23D8E">
        <w:t xml:space="preserve"> decision</w:t>
      </w:r>
      <w:r w:rsidR="00A31FD2" w:rsidRPr="00A23D8E">
        <w:t xml:space="preserve"> </w:t>
      </w:r>
      <w:r w:rsidR="001A0552" w:rsidRPr="00A23D8E">
        <w:t xml:space="preserve">reflects </w:t>
      </w:r>
      <w:r w:rsidR="007F0B7A" w:rsidRPr="00A23D8E">
        <w:t>a pass</w:t>
      </w:r>
      <w:r w:rsidR="00691AC1" w:rsidRPr="00A23D8E">
        <w:t>-</w:t>
      </w:r>
      <w:r w:rsidR="007F0B7A" w:rsidRPr="00A23D8E">
        <w:t xml:space="preserve">through of </w:t>
      </w:r>
      <w:r w:rsidR="001A0552" w:rsidRPr="00A23D8E">
        <w:t>these costs</w:t>
      </w:r>
      <w:r w:rsidR="003F13CA" w:rsidRPr="00A23D8E">
        <w:t xml:space="preserve"> as advised by the ma</w:t>
      </w:r>
      <w:r w:rsidR="00C36133" w:rsidRPr="00A23D8E">
        <w:t>rket operator</w:t>
      </w:r>
      <w:r w:rsidR="001A0552" w:rsidRPr="00A23D8E">
        <w:t xml:space="preserve">, </w:t>
      </w:r>
      <w:r w:rsidR="00CA4378" w:rsidRPr="00A23D8E">
        <w:t>set</w:t>
      </w:r>
      <w:r w:rsidR="001A0552" w:rsidRPr="00A23D8E">
        <w:t xml:space="preserve">ting </w:t>
      </w:r>
      <w:r w:rsidR="007A063D" w:rsidRPr="00A23D8E">
        <w:t>Reliability and Emergency Reserve Trader</w:t>
      </w:r>
      <w:r w:rsidR="00A31FD2" w:rsidRPr="00A23D8E">
        <w:t xml:space="preserve"> costs</w:t>
      </w:r>
      <w:r w:rsidR="003C4C5C" w:rsidRPr="00A23D8E">
        <w:t xml:space="preserve"> at </w:t>
      </w:r>
      <w:r w:rsidR="003D59E6" w:rsidRPr="00A23D8E">
        <w:t>$0.38</w:t>
      </w:r>
      <w:r w:rsidR="00420D45" w:rsidRPr="00A23D8E">
        <w:t xml:space="preserve"> </w:t>
      </w:r>
      <w:r w:rsidR="003C4C5C" w:rsidRPr="00A23D8E">
        <w:t>per megawatt hour</w:t>
      </w:r>
      <w:r w:rsidR="00F4455D" w:rsidRPr="00A23D8E">
        <w:t>.</w:t>
      </w:r>
      <w:r w:rsidR="00A31FD2" w:rsidRPr="00A23D8E">
        <w:t xml:space="preserve"> </w:t>
      </w:r>
      <w:r w:rsidR="00F4455D" w:rsidRPr="00A23D8E">
        <w:t>T</w:t>
      </w:r>
      <w:r w:rsidR="00A31FD2" w:rsidRPr="00A23D8E">
        <w:t xml:space="preserve">his results in </w:t>
      </w:r>
      <w:r w:rsidR="007471C5" w:rsidRPr="00A23D8E">
        <w:t xml:space="preserve">a </w:t>
      </w:r>
      <w:r w:rsidR="00A31FD2" w:rsidRPr="00A23D8E">
        <w:t>cost to an average domestic Victorian Default Offer customer of $</w:t>
      </w:r>
      <w:r w:rsidR="00595B45" w:rsidRPr="00A23D8E">
        <w:t>1.52</w:t>
      </w:r>
      <w:r w:rsidR="00A31FD2" w:rsidRPr="00A23D8E">
        <w:t xml:space="preserve"> </w:t>
      </w:r>
      <w:r w:rsidR="00895777" w:rsidRPr="00A23D8E">
        <w:t>in</w:t>
      </w:r>
      <w:r w:rsidR="00A31FD2" w:rsidRPr="00A23D8E">
        <w:t xml:space="preserve"> 2025</w:t>
      </w:r>
      <w:r w:rsidR="00CD2EAA" w:rsidRPr="00A23D8E">
        <w:t>–</w:t>
      </w:r>
      <w:r w:rsidR="00A31FD2" w:rsidRPr="00A23D8E">
        <w:t>26.</w:t>
      </w:r>
      <w:r w:rsidR="00A31FD2" w:rsidRPr="00EC6E45">
        <w:t xml:space="preserve"> </w:t>
      </w:r>
    </w:p>
    <w:p w14:paraId="1058A8AB" w14:textId="77777777" w:rsidR="00A31FD2" w:rsidRPr="00BA4450" w:rsidRDefault="00A31FD2" w:rsidP="00A31FD2">
      <w:pPr>
        <w:pStyle w:val="Heading3"/>
      </w:pPr>
      <w:bookmarkStart w:id="99" w:name="_Toc160817037"/>
      <w:bookmarkStart w:id="100" w:name="_Toc191027380"/>
      <w:r w:rsidRPr="00BA4450">
        <w:t>Australian Energy Market Operator fees</w:t>
      </w:r>
      <w:bookmarkEnd w:id="99"/>
      <w:bookmarkEnd w:id="100"/>
    </w:p>
    <w:p w14:paraId="344B6F61" w14:textId="56E4413A" w:rsidR="00A31FD2" w:rsidRPr="00BA4450" w:rsidRDefault="00920FB1" w:rsidP="00A31FD2">
      <w:r>
        <w:t>T</w:t>
      </w:r>
      <w:r w:rsidR="00A31FD2" w:rsidRPr="00BA4450">
        <w:t xml:space="preserve">he Australian Energy Market Operator </w:t>
      </w:r>
      <w:r w:rsidR="00E077E0">
        <w:t>charges</w:t>
      </w:r>
      <w:r w:rsidR="00640ED5">
        <w:t xml:space="preserve"> fees</w:t>
      </w:r>
      <w:r w:rsidR="00E077E0">
        <w:t xml:space="preserve"> to retailers</w:t>
      </w:r>
      <w:r w:rsidR="00640ED5">
        <w:t xml:space="preserve"> </w:t>
      </w:r>
      <w:r w:rsidR="00A31FD2" w:rsidRPr="00BA4450">
        <w:t>to recover the costs of market operation.</w:t>
      </w:r>
      <w:r w:rsidR="00A31FD2" w:rsidRPr="00BA4450">
        <w:rPr>
          <w:rStyle w:val="FootnoteReference"/>
        </w:rPr>
        <w:footnoteReference w:id="134"/>
      </w:r>
      <w:r w:rsidR="00A31FD2" w:rsidRPr="00BA4450">
        <w:t xml:space="preserve"> </w:t>
      </w:r>
      <w:r w:rsidR="008C6A93">
        <w:t xml:space="preserve">These </w:t>
      </w:r>
      <w:r w:rsidR="0007688B">
        <w:t>fees</w:t>
      </w:r>
      <w:r w:rsidR="00A31FD2" w:rsidRPr="00BA4450">
        <w:t xml:space="preserve"> include:</w:t>
      </w:r>
    </w:p>
    <w:p w14:paraId="4CFCAC1D" w14:textId="496B825F" w:rsidR="00A31FD2" w:rsidRPr="00676C5D" w:rsidRDefault="00A56DEF" w:rsidP="00676C5D">
      <w:pPr>
        <w:pStyle w:val="ListBullet"/>
      </w:pPr>
      <w:r w:rsidRPr="00676C5D">
        <w:t>G</w:t>
      </w:r>
      <w:r w:rsidR="00A31FD2" w:rsidRPr="00676C5D">
        <w:t xml:space="preserve">eneral </w:t>
      </w:r>
      <w:r w:rsidR="001951B9" w:rsidRPr="00676C5D">
        <w:t>National Electricity Market (</w:t>
      </w:r>
      <w:r w:rsidR="00A31FD2" w:rsidRPr="00676C5D">
        <w:t>NEM</w:t>
      </w:r>
      <w:r w:rsidR="001951B9" w:rsidRPr="00676C5D">
        <w:t>)</w:t>
      </w:r>
      <w:r w:rsidR="00A31FD2" w:rsidRPr="00676C5D">
        <w:t xml:space="preserve"> fees</w:t>
      </w:r>
    </w:p>
    <w:p w14:paraId="1463A024" w14:textId="77777777" w:rsidR="00A31FD2" w:rsidRPr="00676C5D" w:rsidRDefault="00A31FD2" w:rsidP="00676C5D">
      <w:pPr>
        <w:pStyle w:val="ListBullet"/>
      </w:pPr>
      <w:r w:rsidRPr="00676C5D">
        <w:t>Distributed Energy Resources Integration Program costs</w:t>
      </w:r>
    </w:p>
    <w:p w14:paraId="4D03431E" w14:textId="77777777" w:rsidR="00A31FD2" w:rsidRPr="00676C5D" w:rsidRDefault="00A31FD2" w:rsidP="00676C5D">
      <w:pPr>
        <w:pStyle w:val="ListBullet"/>
      </w:pPr>
      <w:r w:rsidRPr="00676C5D">
        <w:t>IT and 5MS/GC compliance costs</w:t>
      </w:r>
    </w:p>
    <w:p w14:paraId="1132BF07" w14:textId="77777777" w:rsidR="00A31FD2" w:rsidRPr="00676C5D" w:rsidRDefault="00A31FD2" w:rsidP="00676C5D">
      <w:pPr>
        <w:pStyle w:val="ListBullet"/>
      </w:pPr>
      <w:r w:rsidRPr="00676C5D">
        <w:t>Energy Consumers Australia fees</w:t>
      </w:r>
    </w:p>
    <w:p w14:paraId="62D71CF3" w14:textId="77777777" w:rsidR="00A31FD2" w:rsidRPr="00676C5D" w:rsidRDefault="00A31FD2" w:rsidP="00676C5D">
      <w:pPr>
        <w:pStyle w:val="ListBullet"/>
      </w:pPr>
      <w:r w:rsidRPr="00676C5D">
        <w:t>Electricity Retail Market fee (formally the Full Retail Contestability operations fee).</w:t>
      </w:r>
    </w:p>
    <w:p w14:paraId="1F568774" w14:textId="5FEBFE8F" w:rsidR="003F631B" w:rsidRPr="003F631B" w:rsidRDefault="00D638D3" w:rsidP="00A31FD2">
      <w:r>
        <w:t>These</w:t>
      </w:r>
      <w:r w:rsidR="00A31FD2" w:rsidRPr="003F631B">
        <w:t xml:space="preserve"> are unavoidable costs incurred by electricity retailers when selling electricity. </w:t>
      </w:r>
    </w:p>
    <w:p w14:paraId="717E72F6" w14:textId="642DFF39" w:rsidR="00A31FD2" w:rsidRPr="00B60F05" w:rsidRDefault="00A31FD2" w:rsidP="00A31FD2">
      <w:r w:rsidRPr="00CD4CD5">
        <w:t xml:space="preserve">Our </w:t>
      </w:r>
      <w:r w:rsidR="00E32568" w:rsidRPr="00CD4CD5">
        <w:t>final</w:t>
      </w:r>
      <w:r w:rsidRPr="00CD4CD5">
        <w:t xml:space="preserve"> decision</w:t>
      </w:r>
      <w:r w:rsidR="00E522EF" w:rsidRPr="00CD4CD5">
        <w:t xml:space="preserve"> </w:t>
      </w:r>
      <w:r w:rsidR="000C05BE" w:rsidRPr="00CD4CD5">
        <w:t>relie</w:t>
      </w:r>
      <w:r w:rsidR="00507F42">
        <w:t>d</w:t>
      </w:r>
      <w:r w:rsidR="000C05BE" w:rsidRPr="00CD4CD5">
        <w:t xml:space="preserve"> on </w:t>
      </w:r>
      <w:r w:rsidRPr="00CD4CD5">
        <w:t xml:space="preserve">fees </w:t>
      </w:r>
      <w:r w:rsidR="00302FC5" w:rsidRPr="00CD4CD5">
        <w:t xml:space="preserve">provided by the market </w:t>
      </w:r>
      <w:r w:rsidRPr="00CD4CD5">
        <w:t>operator</w:t>
      </w:r>
      <w:r w:rsidR="000E522E" w:rsidRPr="00CD4CD5">
        <w:t>,</w:t>
      </w:r>
      <w:r w:rsidRPr="00CD4CD5">
        <w:t xml:space="preserve"> based on </w:t>
      </w:r>
      <w:r w:rsidR="00302FC5" w:rsidRPr="00CD4CD5">
        <w:t>its</w:t>
      </w:r>
      <w:r w:rsidRPr="00CD4CD5">
        <w:t xml:space="preserve"> </w:t>
      </w:r>
      <w:r w:rsidR="00FA38B3">
        <w:t>draft</w:t>
      </w:r>
      <w:r w:rsidR="00FA38B3" w:rsidRPr="00CD4CD5">
        <w:t xml:space="preserve"> </w:t>
      </w:r>
      <w:r w:rsidRPr="00CD4CD5">
        <w:t>202</w:t>
      </w:r>
      <w:r w:rsidR="00CD090E" w:rsidRPr="00CD4CD5">
        <w:t>5</w:t>
      </w:r>
      <w:r w:rsidRPr="00CD4CD5">
        <w:t>–2</w:t>
      </w:r>
      <w:r w:rsidR="00CD090E" w:rsidRPr="00CD4CD5">
        <w:t>6</w:t>
      </w:r>
      <w:r w:rsidRPr="00CD4CD5">
        <w:t xml:space="preserve"> budget and fees report</w:t>
      </w:r>
      <w:r w:rsidR="00FA38B3">
        <w:t xml:space="preserve"> </w:t>
      </w:r>
      <w:r w:rsidR="003F7D83" w:rsidRPr="00B60F05">
        <w:t xml:space="preserve">released </w:t>
      </w:r>
      <w:r w:rsidR="00FA38B3">
        <w:t>in April</w:t>
      </w:r>
      <w:r w:rsidR="00FA38B3" w:rsidRPr="00B60F05">
        <w:t xml:space="preserve"> </w:t>
      </w:r>
      <w:r w:rsidR="00877720" w:rsidRPr="00B60F05">
        <w:t>2025.</w:t>
      </w:r>
      <w:r w:rsidR="004F022D">
        <w:rPr>
          <w:rStyle w:val="FootnoteReference"/>
        </w:rPr>
        <w:footnoteReference w:id="135"/>
      </w:r>
    </w:p>
    <w:p w14:paraId="30168DE8" w14:textId="604B3D19" w:rsidR="00CD4822" w:rsidRPr="00A23D8E" w:rsidRDefault="00A31FD2" w:rsidP="00CD4822">
      <w:r w:rsidRPr="00B60F05">
        <w:lastRenderedPageBreak/>
        <w:t xml:space="preserve">The total </w:t>
      </w:r>
      <w:r w:rsidRPr="00A23D8E">
        <w:t xml:space="preserve">cost in our </w:t>
      </w:r>
      <w:r w:rsidR="00F31062" w:rsidRPr="00A23D8E">
        <w:t>final</w:t>
      </w:r>
      <w:r w:rsidRPr="00A23D8E">
        <w:t xml:space="preserve"> decision for market operator fees for the average domestic </w:t>
      </w:r>
      <w:r w:rsidR="00860A2F" w:rsidRPr="00A23D8E">
        <w:t xml:space="preserve">Victorian </w:t>
      </w:r>
      <w:r w:rsidRPr="00A23D8E">
        <w:t>Default Offer customer is $</w:t>
      </w:r>
      <w:r w:rsidR="00D5786B" w:rsidRPr="00A23D8E">
        <w:t>16.13</w:t>
      </w:r>
      <w:r w:rsidRPr="00A23D8E">
        <w:t xml:space="preserve">. This an increase of </w:t>
      </w:r>
      <w:r w:rsidR="00211798" w:rsidRPr="00A23D8E">
        <w:t>$2.21</w:t>
      </w:r>
      <w:r w:rsidRPr="00A23D8E">
        <w:t xml:space="preserve"> from $</w:t>
      </w:r>
      <w:r w:rsidR="00211798" w:rsidRPr="00A23D8E">
        <w:t>13.92</w:t>
      </w:r>
      <w:r w:rsidRPr="00A23D8E">
        <w:t xml:space="preserve"> in </w:t>
      </w:r>
      <w:r w:rsidR="00D559D2" w:rsidRPr="00A23D8E">
        <w:t>the</w:t>
      </w:r>
      <w:r w:rsidRPr="00A23D8E">
        <w:t xml:space="preserve"> 2024–25 </w:t>
      </w:r>
      <w:r w:rsidR="00D559D2" w:rsidRPr="00A23D8E">
        <w:t>Victorian Default Offer</w:t>
      </w:r>
      <w:r w:rsidR="00CD4822" w:rsidRPr="00A23D8E">
        <w:t xml:space="preserve">. </w:t>
      </w:r>
      <w:r w:rsidR="00824A63" w:rsidRPr="00A23D8E">
        <w:t>The market operator</w:t>
      </w:r>
      <w:r w:rsidR="00CD4822" w:rsidRPr="00A23D8E">
        <w:t xml:space="preserve"> advised that the main drivers of the increase in cost are:</w:t>
      </w:r>
    </w:p>
    <w:p w14:paraId="6C4ED58B" w14:textId="0D5C42E4" w:rsidR="00CD4822" w:rsidRPr="00824A63" w:rsidRDefault="00CD4822" w:rsidP="00EA4761">
      <w:pPr>
        <w:pStyle w:val="ListBullet"/>
      </w:pPr>
      <w:r w:rsidRPr="00A23D8E">
        <w:t xml:space="preserve">The underlying costs of operating the energy system and markets and ongoing investment to prepare for and respond to an increasingly complex operating </w:t>
      </w:r>
      <w:r w:rsidR="008F5CAC" w:rsidRPr="00A23D8E">
        <w:t>environment</w:t>
      </w:r>
      <w:r w:rsidR="008F5CAC" w:rsidRPr="00824A63">
        <w:t>.</w:t>
      </w:r>
    </w:p>
    <w:p w14:paraId="04F89915" w14:textId="3A2A8CE5" w:rsidR="00DC5ECF" w:rsidRPr="00824A63" w:rsidRDefault="00CD4822" w:rsidP="00EA4761">
      <w:pPr>
        <w:pStyle w:val="ListBullet"/>
      </w:pPr>
      <w:r w:rsidRPr="00824A63">
        <w:t xml:space="preserve">The implementation of market reforms </w:t>
      </w:r>
      <w:r w:rsidR="00E045BC">
        <w:t>which have led to</w:t>
      </w:r>
      <w:r w:rsidR="00E045BC" w:rsidRPr="00824A63">
        <w:t xml:space="preserve"> </w:t>
      </w:r>
      <w:r w:rsidR="000E3283">
        <w:t xml:space="preserve">increases in </w:t>
      </w:r>
      <w:r w:rsidRPr="00824A63">
        <w:t>capital costs depreciation and amortisation</w:t>
      </w:r>
      <w:r w:rsidR="00CD48B9">
        <w:t xml:space="preserve"> and ongoing operating costs</w:t>
      </w:r>
      <w:r w:rsidRPr="00824A63">
        <w:t>.</w:t>
      </w:r>
      <w:r w:rsidR="00C9691E">
        <w:rPr>
          <w:rStyle w:val="FootnoteReference"/>
        </w:rPr>
        <w:footnoteReference w:id="136"/>
      </w:r>
    </w:p>
    <w:p w14:paraId="37CBA991" w14:textId="335E4EF9" w:rsidR="004D6806" w:rsidRPr="00824A63" w:rsidRDefault="00CD48B9" w:rsidP="00EA4761">
      <w:pPr>
        <w:pStyle w:val="ListBullet"/>
      </w:pPr>
      <w:r>
        <w:t xml:space="preserve">The introduction of new </w:t>
      </w:r>
      <w:r w:rsidR="004D6806" w:rsidRPr="00824A63">
        <w:t>Cyber Security roles</w:t>
      </w:r>
      <w:r>
        <w:t>, which</w:t>
      </w:r>
      <w:r w:rsidR="004D6806" w:rsidRPr="00824A63">
        <w:t xml:space="preserve"> is a new function </w:t>
      </w:r>
      <w:r>
        <w:t xml:space="preserve">for the market operator that </w:t>
      </w:r>
      <w:r w:rsidR="004D6806" w:rsidRPr="00824A63">
        <w:t xml:space="preserve">commenced </w:t>
      </w:r>
      <w:r>
        <w:t xml:space="preserve">on </w:t>
      </w:r>
      <w:r w:rsidR="004D6806" w:rsidRPr="00824A63">
        <w:t>12 December 2024</w:t>
      </w:r>
      <w:r w:rsidR="004D6806">
        <w:t>.</w:t>
      </w:r>
    </w:p>
    <w:p w14:paraId="65B67246" w14:textId="3108BB41" w:rsidR="00A31FD2" w:rsidRPr="00C70F2E" w:rsidRDefault="00A31FD2" w:rsidP="00A31FD2">
      <w:pPr>
        <w:pStyle w:val="Heading3"/>
      </w:pPr>
      <w:bookmarkStart w:id="101" w:name="_Toc160817038"/>
      <w:bookmarkStart w:id="102" w:name="_Toc191027381"/>
      <w:r w:rsidRPr="00C70F2E">
        <w:t xml:space="preserve">Ancillary </w:t>
      </w:r>
      <w:r w:rsidR="00F24D5D">
        <w:t>s</w:t>
      </w:r>
      <w:r w:rsidR="003C2127" w:rsidRPr="00C70F2E">
        <w:t xml:space="preserve">ervice </w:t>
      </w:r>
      <w:r w:rsidR="004A10D5">
        <w:t>f</w:t>
      </w:r>
      <w:r w:rsidRPr="00C70F2E">
        <w:t>ees</w:t>
      </w:r>
      <w:bookmarkEnd w:id="101"/>
      <w:bookmarkEnd w:id="102"/>
    </w:p>
    <w:p w14:paraId="234AC3E5" w14:textId="50BB53C3" w:rsidR="00A31FD2" w:rsidRPr="003C5995" w:rsidRDefault="00A31FD2" w:rsidP="00A31FD2">
      <w:r w:rsidRPr="00C70F2E">
        <w:t xml:space="preserve">Ancillary services are </w:t>
      </w:r>
      <w:r w:rsidR="00583B85">
        <w:t>provided by</w:t>
      </w:r>
      <w:r w:rsidRPr="00C70F2E">
        <w:t xml:space="preserve"> the </w:t>
      </w:r>
      <w:r w:rsidR="00266BEC">
        <w:t>Australia Energy Market O</w:t>
      </w:r>
      <w:r w:rsidRPr="00C70F2E">
        <w:t>perator to manage the power system safely, securely and reliably, for frequency, voltage and system restart processes.</w:t>
      </w:r>
      <w:r w:rsidRPr="00C70F2E">
        <w:rPr>
          <w:rStyle w:val="FootnoteReference"/>
        </w:rPr>
        <w:footnoteReference w:id="137"/>
      </w:r>
      <w:r w:rsidRPr="00C70F2E">
        <w:t xml:space="preserve"> The ancillary services </w:t>
      </w:r>
      <w:r w:rsidR="006C09F2">
        <w:t xml:space="preserve">are provided </w:t>
      </w:r>
      <w:r w:rsidRPr="00C70F2E">
        <w:t xml:space="preserve">separately for each </w:t>
      </w:r>
      <w:r w:rsidRPr="001407E8">
        <w:t>market region</w:t>
      </w:r>
      <w:r w:rsidRPr="00C70F2E">
        <w:t xml:space="preserve"> </w:t>
      </w:r>
      <w:r w:rsidR="00D90859">
        <w:t>in which</w:t>
      </w:r>
      <w:r w:rsidRPr="00C70F2E">
        <w:t xml:space="preserve"> the</w:t>
      </w:r>
      <w:r w:rsidR="0037127F" w:rsidRPr="0037127F">
        <w:t xml:space="preserve"> </w:t>
      </w:r>
      <w:r w:rsidR="00576C03">
        <w:t>m</w:t>
      </w:r>
      <w:r w:rsidR="0037127F" w:rsidRPr="00BE163D">
        <w:t xml:space="preserve">arket </w:t>
      </w:r>
      <w:r w:rsidR="00576C03">
        <w:t>o</w:t>
      </w:r>
      <w:r w:rsidR="0037127F" w:rsidRPr="00BE163D">
        <w:t>perator</w:t>
      </w:r>
      <w:r w:rsidRPr="00BE163D">
        <w:t xml:space="preserve"> operate</w:t>
      </w:r>
      <w:r w:rsidR="00EC53D4">
        <w:t>s</w:t>
      </w:r>
      <w:r w:rsidRPr="00BE163D">
        <w:t>.</w:t>
      </w:r>
      <w:r w:rsidRPr="00C70F2E">
        <w:t xml:space="preserve"> Unlike other charges, the market operator’s ancillary service fees differ across these different </w:t>
      </w:r>
      <w:r w:rsidRPr="001407E8">
        <w:t>market regions</w:t>
      </w:r>
      <w:r w:rsidRPr="00C70F2E">
        <w:t xml:space="preserve"> and </w:t>
      </w:r>
      <w:r w:rsidR="006E1E9D">
        <w:t>therefore</w:t>
      </w:r>
      <w:r w:rsidRPr="00C70F2E">
        <w:t xml:space="preserve"> are not included in the Australian </w:t>
      </w:r>
      <w:r w:rsidRPr="003C5995">
        <w:t xml:space="preserve">Energy Market fees. </w:t>
      </w:r>
    </w:p>
    <w:p w14:paraId="59599EEC" w14:textId="3A93CF44" w:rsidR="00497973" w:rsidRPr="00A23D8E" w:rsidRDefault="00D1194E" w:rsidP="00A31FD2">
      <w:r>
        <w:t xml:space="preserve">Applicable </w:t>
      </w:r>
      <w:r w:rsidR="00025D67">
        <w:t>ancillary</w:t>
      </w:r>
      <w:r w:rsidR="0037053C">
        <w:t xml:space="preserve"> service fees</w:t>
      </w:r>
      <w:r w:rsidR="00A31FD2" w:rsidRPr="003C5995">
        <w:t xml:space="preserve"> depend on the amount of service required at any time, which means the </w:t>
      </w:r>
      <w:r w:rsidR="00A31FD2" w:rsidRPr="00A23D8E">
        <w:t xml:space="preserve">costs will vary from period to period. </w:t>
      </w:r>
      <w:r w:rsidR="00270050" w:rsidRPr="00A23D8E">
        <w:t xml:space="preserve">Our </w:t>
      </w:r>
      <w:r w:rsidR="00920D4B" w:rsidRPr="00A23D8E">
        <w:t>final</w:t>
      </w:r>
      <w:r w:rsidR="00270050" w:rsidRPr="00A23D8E">
        <w:t xml:space="preserve"> decision </w:t>
      </w:r>
      <w:r w:rsidR="00A31FD2" w:rsidRPr="00A23D8E">
        <w:t>estimate</w:t>
      </w:r>
      <w:r w:rsidR="00012942" w:rsidRPr="00A23D8E">
        <w:t>d</w:t>
      </w:r>
      <w:r w:rsidR="00A31FD2" w:rsidRPr="00A23D8E">
        <w:t xml:space="preserve"> Victorian ancillary </w:t>
      </w:r>
      <w:r w:rsidR="00DE3D88" w:rsidRPr="00A23D8E">
        <w:t>service fees</w:t>
      </w:r>
      <w:r w:rsidR="00C97160" w:rsidRPr="00A23D8E">
        <w:t xml:space="preserve"> based on</w:t>
      </w:r>
      <w:r w:rsidR="00A31FD2" w:rsidRPr="00A23D8E">
        <w:t xml:space="preserve"> an average of ancillary service </w:t>
      </w:r>
      <w:r w:rsidR="00820764" w:rsidRPr="00A23D8E">
        <w:t xml:space="preserve">fee </w:t>
      </w:r>
      <w:r w:rsidR="00A31FD2" w:rsidRPr="00A23D8E">
        <w:t>payments in Victoria</w:t>
      </w:r>
      <w:r w:rsidR="00463B88" w:rsidRPr="00A23D8E">
        <w:t xml:space="preserve"> over </w:t>
      </w:r>
      <w:r w:rsidR="005F0D75" w:rsidRPr="00A23D8E">
        <w:t>the 52</w:t>
      </w:r>
      <w:r w:rsidR="007855A3" w:rsidRPr="00A23D8E">
        <w:t>-</w:t>
      </w:r>
      <w:r w:rsidR="005F0D75" w:rsidRPr="00A23D8E">
        <w:t>week period to</w:t>
      </w:r>
      <w:r w:rsidR="00B57F7F" w:rsidRPr="00A23D8E">
        <w:t xml:space="preserve"> April 2025</w:t>
      </w:r>
      <w:r w:rsidR="00A31FD2" w:rsidRPr="00A23D8E">
        <w:t xml:space="preserve">. </w:t>
      </w:r>
    </w:p>
    <w:p w14:paraId="0649E137" w14:textId="298BB276" w:rsidR="00A31FD2" w:rsidRPr="003C5995" w:rsidRDefault="00A31FD2" w:rsidP="00A31FD2">
      <w:r w:rsidRPr="00A23D8E">
        <w:t xml:space="preserve">Our </w:t>
      </w:r>
      <w:r w:rsidR="00920D4B" w:rsidRPr="00A23D8E">
        <w:t>final</w:t>
      </w:r>
      <w:r w:rsidRPr="00A23D8E">
        <w:t xml:space="preserve"> decision results in an average ancillary service </w:t>
      </w:r>
      <w:r w:rsidR="00F47966" w:rsidRPr="00A23D8E">
        <w:t>fee</w:t>
      </w:r>
      <w:r w:rsidR="0045253E" w:rsidRPr="00A23D8E">
        <w:t xml:space="preserve"> </w:t>
      </w:r>
      <w:r w:rsidRPr="00A23D8E">
        <w:t>of $</w:t>
      </w:r>
      <w:r w:rsidR="00126EDC" w:rsidRPr="00A23D8E">
        <w:t>0.15</w:t>
      </w:r>
      <w:r w:rsidRPr="00A23D8E">
        <w:t xml:space="preserve"> per megawatt hour for the average Victorian Default Offer customer. This is a decrease of </w:t>
      </w:r>
      <w:r w:rsidR="00160F6C" w:rsidRPr="00A23D8E">
        <w:t>$</w:t>
      </w:r>
      <w:r w:rsidR="00E35698" w:rsidRPr="00A23D8E">
        <w:t>0.13</w:t>
      </w:r>
      <w:r w:rsidRPr="00A23D8E">
        <w:t xml:space="preserve"> per megawatt hour from the 2024–25 Victorian Default Offer determination</w:t>
      </w:r>
      <w:r w:rsidR="00A53581" w:rsidRPr="00A23D8E">
        <w:t>.</w:t>
      </w:r>
      <w:r w:rsidR="00A53581" w:rsidRPr="003C5995">
        <w:t xml:space="preserve"> </w:t>
      </w:r>
    </w:p>
    <w:p w14:paraId="68EEE10B" w14:textId="77777777" w:rsidR="00A31FD2" w:rsidRPr="003C5995" w:rsidRDefault="00A31FD2" w:rsidP="00A31FD2">
      <w:pPr>
        <w:pStyle w:val="Heading3"/>
      </w:pPr>
      <w:bookmarkStart w:id="103" w:name="_Toc160817039"/>
      <w:bookmarkStart w:id="104" w:name="_Toc191027382"/>
      <w:bookmarkStart w:id="105" w:name="_Ref192605887"/>
      <w:bookmarkStart w:id="106" w:name="_Ref194397483"/>
      <w:bookmarkStart w:id="107" w:name="_Ref194397486"/>
      <w:r w:rsidRPr="003C5995">
        <w:t>Essential Services Commission licence fees</w:t>
      </w:r>
      <w:bookmarkEnd w:id="103"/>
      <w:bookmarkEnd w:id="104"/>
      <w:bookmarkEnd w:id="105"/>
      <w:bookmarkEnd w:id="106"/>
      <w:bookmarkEnd w:id="107"/>
    </w:p>
    <w:p w14:paraId="2F3C4CF2" w14:textId="500DAD9E" w:rsidR="00A31FD2" w:rsidRPr="003C5995" w:rsidRDefault="00A230D2" w:rsidP="00A31FD2">
      <w:r>
        <w:t>Holding an electricity licence incurs</w:t>
      </w:r>
      <w:r w:rsidR="00A31FD2" w:rsidRPr="003C5995">
        <w:t xml:space="preserve"> an annual licence fee</w:t>
      </w:r>
      <w:r w:rsidR="004F5EBC">
        <w:t xml:space="preserve">. </w:t>
      </w:r>
      <w:r w:rsidR="002D3220">
        <w:t>Licence</w:t>
      </w:r>
      <w:r w:rsidR="004F5EBC">
        <w:t xml:space="preserve"> fees and charges are determined</w:t>
      </w:r>
      <w:r w:rsidR="00A31FD2" w:rsidRPr="003C5995">
        <w:t xml:space="preserve"> by the </w:t>
      </w:r>
      <w:r w:rsidR="004F5EBC">
        <w:t>Minister for Energy</w:t>
      </w:r>
      <w:r w:rsidR="00A56438">
        <w:t xml:space="preserve"> and Resources </w:t>
      </w:r>
      <w:r w:rsidR="004F5EBC">
        <w:t xml:space="preserve">and Climate Action in consultation with the </w:t>
      </w:r>
      <w:r w:rsidR="0046797C">
        <w:t>minister</w:t>
      </w:r>
      <w:r w:rsidR="004F5EBC">
        <w:t xml:space="preserve"> administering</w:t>
      </w:r>
      <w:r w:rsidR="00481723">
        <w:t xml:space="preserve"> the </w:t>
      </w:r>
      <w:r w:rsidR="00A31FD2" w:rsidRPr="004565F7">
        <w:rPr>
          <w:i/>
        </w:rPr>
        <w:t xml:space="preserve">Essential Services Commission </w:t>
      </w:r>
      <w:r w:rsidR="00481723" w:rsidRPr="004565F7">
        <w:rPr>
          <w:i/>
          <w:iCs/>
        </w:rPr>
        <w:t>Act</w:t>
      </w:r>
      <w:r w:rsidR="00C866D7">
        <w:t>.</w:t>
      </w:r>
      <w:r w:rsidR="00224652">
        <w:rPr>
          <w:rStyle w:val="FootnoteReference"/>
        </w:rPr>
        <w:footnoteReference w:id="138"/>
      </w:r>
      <w:r w:rsidR="00A31FD2" w:rsidRPr="003C5995">
        <w:t xml:space="preserve"> </w:t>
      </w:r>
      <w:r w:rsidR="00866BF5">
        <w:t>Commission l</w:t>
      </w:r>
      <w:r w:rsidR="00A31FD2" w:rsidRPr="003C5995">
        <w:t xml:space="preserve">icence fees are based on the costs we incur in performing our regulatory functions. The specific fee for each retailer is contingent on the number of customers served by that retailer. </w:t>
      </w:r>
    </w:p>
    <w:p w14:paraId="60528A5D" w14:textId="7413F22B" w:rsidR="00096441" w:rsidRPr="004C2828" w:rsidRDefault="00B5585E" w:rsidP="00A31FD2">
      <w:r w:rsidRPr="006A6B1C">
        <w:t>To estimate the cost of licence fees per customer for the 2025–26 Victorian Default Offer</w:t>
      </w:r>
      <w:r w:rsidR="00A31FD2" w:rsidRPr="006A6B1C">
        <w:t xml:space="preserve"> we used a market</w:t>
      </w:r>
      <w:r w:rsidR="00F601F0" w:rsidRPr="006A6B1C">
        <w:t>-</w:t>
      </w:r>
      <w:r w:rsidR="00A31FD2" w:rsidRPr="006A6B1C">
        <w:t xml:space="preserve">wide total of all retailer licence fees for 2024–25, adjusted for inflation, divided by the total </w:t>
      </w:r>
      <w:r w:rsidR="00A31FD2" w:rsidRPr="006A6B1C">
        <w:lastRenderedPageBreak/>
        <w:t xml:space="preserve">number of </w:t>
      </w:r>
      <w:r w:rsidR="00A31FD2" w:rsidRPr="004C2828">
        <w:t>customers as of 30 June 2024. The latest approved licence fees are for 2024–</w:t>
      </w:r>
      <w:r w:rsidR="00D419DC">
        <w:t>‍</w:t>
      </w:r>
      <w:r w:rsidR="00A31FD2" w:rsidRPr="004C2828">
        <w:t>25. When adjusted by inflation this results in a benchmark of $</w:t>
      </w:r>
      <w:r w:rsidR="00F144CC" w:rsidRPr="004C2828">
        <w:t>2.13</w:t>
      </w:r>
      <w:r w:rsidR="00A31FD2" w:rsidRPr="004C2828">
        <w:t xml:space="preserve"> per customer per year for our 2025–</w:t>
      </w:r>
      <w:r w:rsidR="00D419DC">
        <w:t>‍</w:t>
      </w:r>
      <w:r w:rsidR="00A31FD2" w:rsidRPr="004C2828">
        <w:t xml:space="preserve">26 </w:t>
      </w:r>
      <w:r w:rsidR="00E86474" w:rsidRPr="004C2828">
        <w:t>final</w:t>
      </w:r>
      <w:r w:rsidR="00A31FD2" w:rsidRPr="004C2828">
        <w:t xml:space="preserve"> decision. </w:t>
      </w:r>
    </w:p>
    <w:p w14:paraId="3760B39C" w14:textId="777DEF20" w:rsidR="00A31FD2" w:rsidRDefault="00A31FD2" w:rsidP="00A31FD2">
      <w:r w:rsidRPr="004C2828">
        <w:t xml:space="preserve">This </w:t>
      </w:r>
      <w:r w:rsidR="00AE274F" w:rsidRPr="004C2828">
        <w:t>estimate</w:t>
      </w:r>
      <w:r w:rsidRPr="004C2828">
        <w:t xml:space="preserve"> is a</w:t>
      </w:r>
      <w:r w:rsidRPr="004C2828" w:rsidDel="005A2E06">
        <w:t xml:space="preserve"> </w:t>
      </w:r>
      <w:r w:rsidRPr="004C2828">
        <w:t>decrease of $</w:t>
      </w:r>
      <w:r w:rsidR="003E76B0" w:rsidRPr="004C2828">
        <w:t>0.04</w:t>
      </w:r>
      <w:r w:rsidRPr="004C2828">
        <w:t xml:space="preserve"> per customer from $</w:t>
      </w:r>
      <w:r w:rsidR="003E76B0" w:rsidRPr="004C2828">
        <w:t>2.17</w:t>
      </w:r>
      <w:r w:rsidRPr="004C2828">
        <w:t xml:space="preserve"> in our 2024–25 Victorian Default Offer determination, due to using more recent licence fees, customer numbers and updated inflation.</w:t>
      </w:r>
      <w:r>
        <w:t xml:space="preserve"> </w:t>
      </w:r>
    </w:p>
    <w:p w14:paraId="5F49B422" w14:textId="3E5575CB" w:rsidR="00A54025" w:rsidRPr="00793A51" w:rsidRDefault="00A54025" w:rsidP="00A70469">
      <w:pPr>
        <w:pStyle w:val="Heading2"/>
      </w:pPr>
      <w:bookmarkStart w:id="108" w:name="_Toc198808333"/>
      <w:r>
        <w:t xml:space="preserve">Network </w:t>
      </w:r>
      <w:r w:rsidR="008D7052">
        <w:t>l</w:t>
      </w:r>
      <w:r>
        <w:t xml:space="preserve">oss </w:t>
      </w:r>
      <w:r w:rsidR="008D7052">
        <w:t>f</w:t>
      </w:r>
      <w:r>
        <w:t>actor</w:t>
      </w:r>
      <w:bookmarkEnd w:id="108"/>
    </w:p>
    <w:p w14:paraId="0518F330" w14:textId="4F41C173" w:rsidR="00E13912" w:rsidRDefault="00E13912" w:rsidP="00E13912">
      <w:r>
        <w:t xml:space="preserve">The pricing order </w:t>
      </w:r>
      <w:r w:rsidR="004D23AE">
        <w:t>requires the commission</w:t>
      </w:r>
      <w:r>
        <w:t xml:space="preserve"> to consider any </w:t>
      </w:r>
      <w:r w:rsidRPr="00A70469">
        <w:rPr>
          <w:b/>
          <w:bCs/>
        </w:rPr>
        <w:t>matter or thing</w:t>
      </w:r>
      <w:r>
        <w:t xml:space="preserve"> that we consider appropriate or relevant </w:t>
      </w:r>
      <w:r w:rsidRPr="003C5995">
        <w:t>in our estimation of the efficient cost of the sale of electricity</w:t>
      </w:r>
      <w:r>
        <w:t xml:space="preserve"> by a retailer</w:t>
      </w:r>
      <w:r w:rsidRPr="003C5995">
        <w:t xml:space="preserve"> </w:t>
      </w:r>
      <w:r>
        <w:t>(</w:t>
      </w:r>
      <w:r w:rsidR="00157467">
        <w:t>except for</w:t>
      </w:r>
      <w:r>
        <w:t xml:space="preserve"> headroom).</w:t>
      </w:r>
      <w:r>
        <w:rPr>
          <w:rStyle w:val="FootnoteReference"/>
        </w:rPr>
        <w:footnoteReference w:id="139"/>
      </w:r>
      <w:r>
        <w:t xml:space="preserve"> </w:t>
      </w:r>
    </w:p>
    <w:p w14:paraId="299066E7" w14:textId="3D894811" w:rsidR="00A54025" w:rsidRPr="00793A51" w:rsidRDefault="00A54025" w:rsidP="00A54025">
      <w:r w:rsidRPr="00793A51">
        <w:t xml:space="preserve">When electricity is transported through transmission and distribution networks, some of </w:t>
      </w:r>
      <w:r>
        <w:t xml:space="preserve">this electricity </w:t>
      </w:r>
      <w:r w:rsidRPr="00793A51">
        <w:t xml:space="preserve">is lost in the process. </w:t>
      </w:r>
      <w:r w:rsidRPr="00793A51" w:rsidDel="00FD68C6">
        <w:t xml:space="preserve">Electricity losses occur because of electrical resistance in the wires, converting some electricity to heat and noise. </w:t>
      </w:r>
      <w:r w:rsidRPr="00793A51">
        <w:t>As a result, more electricity is generated</w:t>
      </w:r>
      <w:r>
        <w:t xml:space="preserve"> </w:t>
      </w:r>
      <w:r w:rsidRPr="00793A51">
        <w:t xml:space="preserve">than is consumed by end users. </w:t>
      </w:r>
      <w:r>
        <w:t>The Australian Energy Market Operator reports t</w:t>
      </w:r>
      <w:r w:rsidRPr="00793A51">
        <w:t>hese</w:t>
      </w:r>
      <w:r w:rsidRPr="00793A51" w:rsidDel="00162B04">
        <w:t xml:space="preserve"> </w:t>
      </w:r>
      <w:r w:rsidRPr="00793A51">
        <w:t>losses,</w:t>
      </w:r>
      <w:r w:rsidRPr="00793A51" w:rsidDel="00162B04">
        <w:t xml:space="preserve"> </w:t>
      </w:r>
      <w:r>
        <w:t xml:space="preserve">and we account for them by applying a network loss factor </w:t>
      </w:r>
      <w:r w:rsidR="00B755A0">
        <w:t xml:space="preserve">to </w:t>
      </w:r>
      <w:r w:rsidR="00746645">
        <w:t xml:space="preserve">variable </w:t>
      </w:r>
      <w:r w:rsidR="00944CF9">
        <w:t xml:space="preserve">cost components </w:t>
      </w:r>
      <w:r w:rsidR="00333E38">
        <w:t xml:space="preserve">of the </w:t>
      </w:r>
      <w:r>
        <w:t xml:space="preserve">Victorian Default Offer. </w:t>
      </w:r>
    </w:p>
    <w:p w14:paraId="23C86AA3" w14:textId="654B826C" w:rsidR="00A54025" w:rsidRPr="00D43607" w:rsidRDefault="007D0B84" w:rsidP="00A54025">
      <w:r w:rsidRPr="008F6848">
        <w:t>Consistent</w:t>
      </w:r>
      <w:r>
        <w:t xml:space="preserve"> with the </w:t>
      </w:r>
      <w:r w:rsidRPr="00C372DB">
        <w:t xml:space="preserve">approach we </w:t>
      </w:r>
      <w:r w:rsidRPr="003D7F3E">
        <w:t>used in the 2024–25 Victorian Default Offer</w:t>
      </w:r>
      <w:r>
        <w:t xml:space="preserve">, our </w:t>
      </w:r>
      <w:r w:rsidR="00444769">
        <w:t>final</w:t>
      </w:r>
      <w:r>
        <w:t xml:space="preserve"> decision is to </w:t>
      </w:r>
      <w:r w:rsidR="00E874F1">
        <w:t>estimate</w:t>
      </w:r>
      <w:r w:rsidR="001F0100">
        <w:t xml:space="preserve"> the network loss factor </w:t>
      </w:r>
      <w:r w:rsidR="00A304C4">
        <w:t xml:space="preserve">by </w:t>
      </w:r>
      <w:r w:rsidR="005222AB">
        <w:t xml:space="preserve">calculating and </w:t>
      </w:r>
      <w:r w:rsidR="0097444C">
        <w:t>add</w:t>
      </w:r>
      <w:r w:rsidR="000E07FB">
        <w:t>ing</w:t>
      </w:r>
      <w:r w:rsidR="0097444C">
        <w:t xml:space="preserve"> </w:t>
      </w:r>
      <w:r w:rsidR="00A304C4">
        <w:t xml:space="preserve">the </w:t>
      </w:r>
      <w:r w:rsidR="0097444C">
        <w:t xml:space="preserve">relevant </w:t>
      </w:r>
      <w:r w:rsidR="00A54025" w:rsidRPr="0001022C">
        <w:t xml:space="preserve">marginal </w:t>
      </w:r>
      <w:r w:rsidR="0097444C">
        <w:t xml:space="preserve">loss factor </w:t>
      </w:r>
      <w:r w:rsidR="00A54025" w:rsidRPr="0001022C">
        <w:t xml:space="preserve">(energy losses for electricity transmitted on a transmission network) and distribution </w:t>
      </w:r>
      <w:r w:rsidR="000E07FB">
        <w:t xml:space="preserve">loss factor </w:t>
      </w:r>
      <w:r w:rsidR="00A54025" w:rsidRPr="0001022C">
        <w:t>(energy losses for electricity transmitted on a distribution network).</w:t>
      </w:r>
    </w:p>
    <w:p w14:paraId="35A0DD11" w14:textId="1E9DC2A6" w:rsidR="005B542C" w:rsidRDefault="005B542C" w:rsidP="00A54025">
      <w:r>
        <w:t xml:space="preserve">To </w:t>
      </w:r>
      <w:r w:rsidR="00BD1617">
        <w:t>calculate</w:t>
      </w:r>
      <w:r>
        <w:t xml:space="preserve"> the</w:t>
      </w:r>
      <w:r w:rsidR="0084510E">
        <w:t xml:space="preserve"> </w:t>
      </w:r>
      <w:r w:rsidR="00A54025">
        <w:t>distribution loss factor</w:t>
      </w:r>
      <w:r w:rsidR="005222AB">
        <w:t>s</w:t>
      </w:r>
      <w:r w:rsidR="0084510E">
        <w:t xml:space="preserve"> in our </w:t>
      </w:r>
      <w:r w:rsidR="00F34495">
        <w:t>final</w:t>
      </w:r>
      <w:r w:rsidR="0084510E">
        <w:t xml:space="preserve"> decision</w:t>
      </w:r>
      <w:r w:rsidR="00A54025">
        <w:t>, w</w:t>
      </w:r>
      <w:r w:rsidR="00A54025" w:rsidRPr="008A19DE">
        <w:t xml:space="preserve">e </w:t>
      </w:r>
      <w:r w:rsidR="00A54025">
        <w:t>use</w:t>
      </w:r>
      <w:r>
        <w:t>d:</w:t>
      </w:r>
      <w:r w:rsidR="00A54025">
        <w:t xml:space="preserve"> </w:t>
      </w:r>
    </w:p>
    <w:p w14:paraId="4927E136" w14:textId="31DC02BE" w:rsidR="005B542C" w:rsidRDefault="00C017EC" w:rsidP="00676C5D">
      <w:pPr>
        <w:pStyle w:val="ListBullet"/>
      </w:pPr>
      <w:r>
        <w:t>T</w:t>
      </w:r>
      <w:r w:rsidR="00A54025" w:rsidRPr="008A19DE">
        <w:t xml:space="preserve">he </w:t>
      </w:r>
      <w:r w:rsidR="005B542C">
        <w:t>m</w:t>
      </w:r>
      <w:r w:rsidR="008764B0">
        <w:t xml:space="preserve">arket </w:t>
      </w:r>
      <w:r w:rsidR="005B542C">
        <w:t>o</w:t>
      </w:r>
      <w:r w:rsidR="008764B0">
        <w:t xml:space="preserve">perator’s </w:t>
      </w:r>
      <w:r w:rsidR="00A54025" w:rsidRPr="008A19DE">
        <w:t>short sub-transmission factor for the CitiPower, Jemena, and United Energy distribution zone</w:t>
      </w:r>
      <w:r w:rsidR="00A84EF1">
        <w:t>s</w:t>
      </w:r>
    </w:p>
    <w:p w14:paraId="5AAFA3F7" w14:textId="3E66334F" w:rsidR="00A54025" w:rsidRPr="008A19DE" w:rsidRDefault="00C017EC" w:rsidP="00676C5D">
      <w:pPr>
        <w:pStyle w:val="ListBullet"/>
      </w:pPr>
      <w:r>
        <w:t>T</w:t>
      </w:r>
      <w:r w:rsidR="00A54025" w:rsidRPr="008A19DE">
        <w:t>he load</w:t>
      </w:r>
      <w:r w:rsidR="004D6F65">
        <w:t>-</w:t>
      </w:r>
      <w:r w:rsidR="00A54025" w:rsidRPr="008A19DE">
        <w:t>weighted average of the short and long sub-transmission factors for the Powercor and AusNet zones.</w:t>
      </w:r>
      <w:r w:rsidR="00A54025" w:rsidRPr="0096579C">
        <w:rPr>
          <w:vertAlign w:val="superscript"/>
        </w:rPr>
        <w:footnoteReference w:id="140"/>
      </w:r>
      <w:r w:rsidR="00A54025" w:rsidRPr="008A19DE">
        <w:t xml:space="preserve"> </w:t>
      </w:r>
    </w:p>
    <w:p w14:paraId="44C8ADD3" w14:textId="4B5D0B3A" w:rsidR="00C2129B" w:rsidRPr="00956C9D" w:rsidRDefault="00BD1617" w:rsidP="00956C9D">
      <w:r>
        <w:t>To</w:t>
      </w:r>
      <w:r w:rsidR="00A54025" w:rsidRPr="00C372DB">
        <w:t xml:space="preserve"> calculat</w:t>
      </w:r>
      <w:r>
        <w:t>e</w:t>
      </w:r>
      <w:r w:rsidR="00A54025" w:rsidRPr="00C372DB">
        <w:t xml:space="preserve"> the marginal loss factor</w:t>
      </w:r>
      <w:r>
        <w:t xml:space="preserve">s in our </w:t>
      </w:r>
      <w:r w:rsidR="00F34495">
        <w:t>final</w:t>
      </w:r>
      <w:r>
        <w:t xml:space="preserve"> </w:t>
      </w:r>
      <w:r w:rsidRPr="008F6848">
        <w:t>decision</w:t>
      </w:r>
      <w:r w:rsidR="003E60BD" w:rsidRPr="008F6848">
        <w:t>,</w:t>
      </w:r>
      <w:r w:rsidR="00A54025" w:rsidRPr="008F6848">
        <w:t xml:space="preserve"> we</w:t>
      </w:r>
      <w:r w:rsidR="00331640" w:rsidRPr="008F6848">
        <w:t xml:space="preserve"> used</w:t>
      </w:r>
      <w:r w:rsidRPr="008F6848">
        <w:t xml:space="preserve"> </w:t>
      </w:r>
      <w:r w:rsidR="00A54025" w:rsidRPr="008F6848">
        <w:t xml:space="preserve">a simple average of the </w:t>
      </w:r>
      <w:r w:rsidR="00EE6094" w:rsidRPr="008F6848">
        <w:t xml:space="preserve">market operator’s </w:t>
      </w:r>
      <w:r w:rsidR="00A54025" w:rsidRPr="008F6848">
        <w:t xml:space="preserve">regional reference node factor for each </w:t>
      </w:r>
      <w:r w:rsidR="00CC6565" w:rsidRPr="008F6848">
        <w:t xml:space="preserve">of the five Victorian </w:t>
      </w:r>
      <w:r w:rsidR="00A54025" w:rsidRPr="008F6848">
        <w:t>distribution zone</w:t>
      </w:r>
      <w:r w:rsidR="00CC6565" w:rsidRPr="008F6848">
        <w:t>s</w:t>
      </w:r>
      <w:r w:rsidR="007D0B84" w:rsidRPr="008F6848">
        <w:t>,</w:t>
      </w:r>
      <w:r w:rsidR="0040164E" w:rsidRPr="008F6848">
        <w:t xml:space="preserve"> </w:t>
      </w:r>
      <w:r w:rsidR="003E60BD" w:rsidRPr="008F6848">
        <w:t>r</w:t>
      </w:r>
      <w:r w:rsidR="00A54025" w:rsidRPr="008F6848">
        <w:t>emov</w:t>
      </w:r>
      <w:r w:rsidR="0040164E" w:rsidRPr="008F6848">
        <w:t>ing</w:t>
      </w:r>
      <w:r w:rsidR="003E60BD" w:rsidRPr="008F6848">
        <w:t xml:space="preserve"> </w:t>
      </w:r>
      <w:r w:rsidR="00A54025" w:rsidRPr="008F6848">
        <w:t xml:space="preserve">transmission nodes </w:t>
      </w:r>
      <w:r w:rsidR="00CC6565" w:rsidRPr="008F6848">
        <w:t xml:space="preserve">that did </w:t>
      </w:r>
      <w:r w:rsidR="00A54025" w:rsidRPr="008F6848">
        <w:t>not have any domestic or small business load.</w:t>
      </w:r>
      <w:r w:rsidR="00A07FB5" w:rsidRPr="008F6848">
        <w:rPr>
          <w:vertAlign w:val="superscript"/>
        </w:rPr>
        <w:footnoteReference w:id="141"/>
      </w:r>
      <w:bookmarkStart w:id="109" w:name="_Ref192605401"/>
      <w:bookmarkStart w:id="110" w:name="_Toc191027383"/>
    </w:p>
    <w:p w14:paraId="1423CCB3" w14:textId="5114EEA8" w:rsidR="00041A39" w:rsidRDefault="00084E27" w:rsidP="00AF1930">
      <w:pPr>
        <w:pStyle w:val="Heading2"/>
      </w:pPr>
      <w:bookmarkStart w:id="111" w:name="_Ref196820688"/>
      <w:bookmarkStart w:id="112" w:name="_Toc198808334"/>
      <w:r w:rsidRPr="00F95FDC">
        <w:lastRenderedPageBreak/>
        <w:t>Retail operating margin</w:t>
      </w:r>
      <w:bookmarkEnd w:id="109"/>
      <w:bookmarkEnd w:id="110"/>
      <w:bookmarkEnd w:id="111"/>
      <w:bookmarkEnd w:id="112"/>
    </w:p>
    <w:p w14:paraId="50508F3A" w14:textId="3014CAC9" w:rsidR="00263118" w:rsidRPr="004C2828" w:rsidRDefault="00263118" w:rsidP="00263118">
      <w:pPr>
        <w:pStyle w:val="Pull-outBullet1"/>
      </w:pPr>
      <w:r w:rsidRPr="00EA3D20">
        <w:t xml:space="preserve">Our </w:t>
      </w:r>
      <w:r w:rsidR="00657CFC">
        <w:t>final</w:t>
      </w:r>
      <w:r w:rsidRPr="00EA3D20">
        <w:t xml:space="preserve"> </w:t>
      </w:r>
      <w:r w:rsidRPr="004C2828">
        <w:t xml:space="preserve">decision is to </w:t>
      </w:r>
      <w:r w:rsidR="000733E9" w:rsidRPr="004C2828">
        <w:t xml:space="preserve">reduce </w:t>
      </w:r>
      <w:r w:rsidR="00C67B5F" w:rsidRPr="004C2828">
        <w:t xml:space="preserve">the retail operating margin </w:t>
      </w:r>
      <w:r w:rsidR="000733E9" w:rsidRPr="004C2828">
        <w:t xml:space="preserve">to </w:t>
      </w:r>
      <w:r w:rsidR="00D37A71" w:rsidRPr="004C2828">
        <w:t xml:space="preserve">five </w:t>
      </w:r>
      <w:r w:rsidR="00C67B5F" w:rsidRPr="004C2828">
        <w:t>per cent</w:t>
      </w:r>
      <w:r w:rsidRPr="004C2828">
        <w:t xml:space="preserve"> of the total cost stack (before GST)</w:t>
      </w:r>
      <w:r w:rsidR="00C15820" w:rsidRPr="004C2828">
        <w:t xml:space="preserve">, down from </w:t>
      </w:r>
      <w:r w:rsidR="006C27C4" w:rsidRPr="004C2828">
        <w:t xml:space="preserve">5.3 </w:t>
      </w:r>
      <w:r w:rsidR="00C15820" w:rsidRPr="004C2828">
        <w:t>per cent</w:t>
      </w:r>
      <w:r w:rsidR="006C27C4" w:rsidRPr="004C2828">
        <w:t xml:space="preserve"> in the 2024–25 Victorian Default Offer</w:t>
      </w:r>
      <w:r w:rsidRPr="004C2828">
        <w:t>.</w:t>
      </w:r>
    </w:p>
    <w:p w14:paraId="3D937AB1" w14:textId="770267EB" w:rsidR="00263118" w:rsidRPr="004C2828" w:rsidRDefault="1664782D" w:rsidP="00263118">
      <w:pPr>
        <w:pStyle w:val="Pull-outBullet1"/>
      </w:pPr>
      <w:r w:rsidRPr="004C2828">
        <w:t xml:space="preserve">We continue to use </w:t>
      </w:r>
      <w:r w:rsidR="00BD6408" w:rsidRPr="004C2828">
        <w:t>a</w:t>
      </w:r>
      <w:r w:rsidRPr="004C2828">
        <w:t xml:space="preserve"> </w:t>
      </w:r>
      <w:r w:rsidR="0017130A" w:rsidRPr="004C2828">
        <w:t>regulatory</w:t>
      </w:r>
      <w:r w:rsidRPr="004C2828">
        <w:t xml:space="preserve"> benchmark</w:t>
      </w:r>
      <w:r w:rsidR="6E02414E" w:rsidRPr="004C2828">
        <w:t xml:space="preserve"> approach</w:t>
      </w:r>
      <w:r w:rsidR="60E051C3" w:rsidRPr="004C2828">
        <w:t xml:space="preserve"> </w:t>
      </w:r>
      <w:r w:rsidR="3873528A" w:rsidRPr="004C2828">
        <w:t>in setting an</w:t>
      </w:r>
      <w:r w:rsidR="46F29102" w:rsidRPr="004C2828">
        <w:t xml:space="preserve"> appropriate </w:t>
      </w:r>
      <w:r w:rsidR="0F3199EA" w:rsidRPr="004C2828">
        <w:t>margin</w:t>
      </w:r>
      <w:r w:rsidR="197C000D" w:rsidRPr="004C2828">
        <w:t>,</w:t>
      </w:r>
      <w:r w:rsidR="1C49B15B" w:rsidRPr="004C2828">
        <w:t xml:space="preserve"> </w:t>
      </w:r>
      <w:r w:rsidR="4478A070" w:rsidRPr="004C2828">
        <w:t xml:space="preserve">while also having regard to </w:t>
      </w:r>
      <w:r w:rsidR="239AD713" w:rsidRPr="004C2828">
        <w:t>other</w:t>
      </w:r>
      <w:r w:rsidR="4478A070" w:rsidRPr="004C2828">
        <w:t xml:space="preserve"> </w:t>
      </w:r>
      <w:r w:rsidR="0C5D3294" w:rsidRPr="004C2828">
        <w:t xml:space="preserve">data and </w:t>
      </w:r>
      <w:r w:rsidR="4478A070" w:rsidRPr="004C2828">
        <w:t>evidence</w:t>
      </w:r>
      <w:r w:rsidR="00C20F01" w:rsidRPr="004C2828">
        <w:t>.</w:t>
      </w:r>
      <w:r w:rsidR="4478A070" w:rsidRPr="004C2828">
        <w:t xml:space="preserve"> </w:t>
      </w:r>
      <w:r w:rsidR="00C20F01" w:rsidRPr="004C2828">
        <w:t>For example,</w:t>
      </w:r>
      <w:r w:rsidR="3B7AFDD7" w:rsidRPr="004C2828">
        <w:t xml:space="preserve"> </w:t>
      </w:r>
      <w:r w:rsidR="4478A070" w:rsidRPr="004C2828">
        <w:t xml:space="preserve">the </w:t>
      </w:r>
      <w:r w:rsidR="00F93EDA" w:rsidRPr="004C2828">
        <w:t xml:space="preserve">feasible </w:t>
      </w:r>
      <w:r w:rsidR="3B7AFDD7" w:rsidRPr="004C2828">
        <w:t>range</w:t>
      </w:r>
      <w:r w:rsidR="34104C23" w:rsidRPr="004C2828" w:rsidDel="00113CA2">
        <w:t xml:space="preserve"> </w:t>
      </w:r>
      <w:r w:rsidR="00113CA2" w:rsidRPr="004C2828">
        <w:t>from the</w:t>
      </w:r>
      <w:r w:rsidR="34104C23" w:rsidRPr="004C2828">
        <w:t xml:space="preserve"> </w:t>
      </w:r>
      <w:r w:rsidR="3B7AFDD7" w:rsidRPr="004C2828">
        <w:t xml:space="preserve">expected returns approach, </w:t>
      </w:r>
      <w:r w:rsidR="00263118" w:rsidRPr="004C2828" w:rsidDel="3B7AFDD7">
        <w:t>market offer prices relative to default offer prices</w:t>
      </w:r>
      <w:r w:rsidR="00FC38D8" w:rsidRPr="004C2828">
        <w:t>,</w:t>
      </w:r>
      <w:r w:rsidR="3B7AFDD7" w:rsidRPr="004C2828">
        <w:t xml:space="preserve"> retailers’ actual margins</w:t>
      </w:r>
      <w:r w:rsidR="5A4B08AD" w:rsidRPr="004C2828">
        <w:t xml:space="preserve"> and </w:t>
      </w:r>
      <w:r w:rsidR="00B60E11" w:rsidRPr="004C2828">
        <w:t>interested</w:t>
      </w:r>
      <w:r w:rsidR="00B60E11" w:rsidRPr="004C2828" w:rsidDel="00BA2776">
        <w:t xml:space="preserve"> parties</w:t>
      </w:r>
      <w:r w:rsidR="00117A22" w:rsidRPr="004C2828" w:rsidDel="00BA2776">
        <w:t xml:space="preserve">’ concerns in </w:t>
      </w:r>
      <w:r w:rsidR="00157440" w:rsidRPr="004C2828" w:rsidDel="00BA2776">
        <w:t xml:space="preserve">the </w:t>
      </w:r>
      <w:r w:rsidR="5A4B08AD" w:rsidRPr="004C2828">
        <w:t>submissions</w:t>
      </w:r>
      <w:r w:rsidRPr="004C2828">
        <w:t>.</w:t>
      </w:r>
    </w:p>
    <w:p w14:paraId="5DD6A1E1" w14:textId="57ECBCD3" w:rsidR="00263118" w:rsidRPr="003F0BC3" w:rsidRDefault="00263118" w:rsidP="00263118">
      <w:pPr>
        <w:pStyle w:val="Pull-outBullet1"/>
      </w:pPr>
      <w:r w:rsidRPr="004C2828">
        <w:t xml:space="preserve">Our </w:t>
      </w:r>
      <w:r w:rsidR="00657CFC" w:rsidRPr="004C2828">
        <w:t>final</w:t>
      </w:r>
      <w:r w:rsidRPr="004C2828">
        <w:t xml:space="preserve"> decision means that the dollar value of the retail operating margin in the domestic cost stack will decrease by </w:t>
      </w:r>
      <w:r w:rsidR="00DD38B2" w:rsidRPr="004C2828">
        <w:t>$</w:t>
      </w:r>
      <w:r w:rsidR="00212E19" w:rsidRPr="004C2828">
        <w:t>4</w:t>
      </w:r>
      <w:r w:rsidR="00DD38B2" w:rsidRPr="004C2828">
        <w:t xml:space="preserve"> </w:t>
      </w:r>
      <w:r w:rsidRPr="004C2828">
        <w:t>(on</w:t>
      </w:r>
      <w:r w:rsidRPr="00665E57">
        <w:t xml:space="preserve"> average across Victoria’s five distribution zones) </w:t>
      </w:r>
      <w:r w:rsidR="00C53416">
        <w:t xml:space="preserve">compared to the margin </w:t>
      </w:r>
      <w:r w:rsidRPr="00665E57">
        <w:t>in the 2024–25 Victorian Default</w:t>
      </w:r>
      <w:r w:rsidRPr="003F0BC3">
        <w:t xml:space="preserve"> Offer.</w:t>
      </w:r>
    </w:p>
    <w:p w14:paraId="44795EA5" w14:textId="77777777" w:rsidR="002A5299" w:rsidRDefault="002A5299" w:rsidP="00581C1E">
      <w:r w:rsidRPr="00F319EE">
        <w:t>Under the pricing order</w:t>
      </w:r>
      <w:r>
        <w:t>,</w:t>
      </w:r>
      <w:r w:rsidRPr="00F319EE">
        <w:t xml:space="preserve"> we are required to have regard to the </w:t>
      </w:r>
      <w:r w:rsidRPr="00B45608">
        <w:rPr>
          <w:b/>
          <w:bCs/>
        </w:rPr>
        <w:t>retail operating margin</w:t>
      </w:r>
      <w:r w:rsidRPr="00F319EE">
        <w:t xml:space="preserve"> when making a Victorian Default Offer pricing determination.</w:t>
      </w:r>
      <w:r w:rsidRPr="00F319EE">
        <w:rPr>
          <w:rStyle w:val="FootnoteReference"/>
        </w:rPr>
        <w:footnoteReference w:id="142"/>
      </w:r>
      <w:r w:rsidRPr="00F319EE">
        <w:t xml:space="preserve"> </w:t>
      </w:r>
    </w:p>
    <w:p w14:paraId="5BBD64AD" w14:textId="57D293B5" w:rsidR="00EB0CF7" w:rsidRDefault="00F02F99" w:rsidP="00581C1E">
      <w:r w:rsidRPr="00AB16DE">
        <w:t xml:space="preserve">The retail </w:t>
      </w:r>
      <w:r w:rsidR="00042717">
        <w:t xml:space="preserve">operating </w:t>
      </w:r>
      <w:r w:rsidRPr="00AB16DE">
        <w:t>margin for an electricity retail business represents the return that a retailer requires to attract the capital needed to pr</w:t>
      </w:r>
      <w:r w:rsidRPr="00F319EE">
        <w:t>ovide a retail service.</w:t>
      </w:r>
      <w:r w:rsidRPr="00F319EE">
        <w:rPr>
          <w:rStyle w:val="FootnoteReference"/>
        </w:rPr>
        <w:footnoteReference w:id="143"/>
      </w:r>
      <w:r w:rsidRPr="00F319EE">
        <w:t xml:space="preserve"> </w:t>
      </w:r>
    </w:p>
    <w:p w14:paraId="00226CB9" w14:textId="40B7AEC8" w:rsidR="00581C1E" w:rsidRDefault="00EB0CF7" w:rsidP="00581C1E">
      <w:r>
        <w:t xml:space="preserve">The retail operating margin </w:t>
      </w:r>
      <w:r w:rsidR="00581C1E">
        <w:t>covers:</w:t>
      </w:r>
    </w:p>
    <w:p w14:paraId="43B19294" w14:textId="77777777" w:rsidR="00581C1E" w:rsidRPr="00676C5D" w:rsidRDefault="00581C1E" w:rsidP="00676C5D">
      <w:pPr>
        <w:pStyle w:val="ListBullet"/>
      </w:pPr>
      <w:r w:rsidRPr="00676C5D">
        <w:t>systematic risk (non-diversifiable)</w:t>
      </w:r>
    </w:p>
    <w:p w14:paraId="0E511967" w14:textId="7CD8C665" w:rsidR="00581C1E" w:rsidRPr="00676C5D" w:rsidRDefault="00581C1E" w:rsidP="00676C5D">
      <w:pPr>
        <w:pStyle w:val="ListBullet"/>
      </w:pPr>
      <w:r w:rsidRPr="00676C5D">
        <w:t xml:space="preserve">tax </w:t>
      </w:r>
      <w:r w:rsidR="00C06D2E" w:rsidRPr="00676C5D">
        <w:t xml:space="preserve"> </w:t>
      </w:r>
    </w:p>
    <w:p w14:paraId="5625BCC7" w14:textId="6398EA7C" w:rsidR="00F02F99" w:rsidRPr="00676C5D" w:rsidRDefault="00581C1E" w:rsidP="00676C5D">
      <w:pPr>
        <w:pStyle w:val="ListBullet"/>
      </w:pPr>
      <w:r w:rsidRPr="00676C5D">
        <w:t xml:space="preserve">depreciation and amortisation. </w:t>
      </w:r>
    </w:p>
    <w:p w14:paraId="3031D8E1" w14:textId="59A245E9" w:rsidR="00F02F99" w:rsidRPr="00E3267D" w:rsidRDefault="00F02F99" w:rsidP="00F02F99">
      <w:r w:rsidRPr="00F319EE">
        <w:t>We are not required to base the retail operating margin on retailers’ actual operating margins.</w:t>
      </w:r>
      <w:r w:rsidR="00393843">
        <w:rPr>
          <w:rStyle w:val="FootnoteReference"/>
        </w:rPr>
        <w:footnoteReference w:id="144"/>
      </w:r>
      <w:r w:rsidRPr="00F319EE">
        <w:t xml:space="preserve"> </w:t>
      </w:r>
      <w:r w:rsidR="00043406">
        <w:t>Under t</w:t>
      </w:r>
      <w:r w:rsidRPr="00F319EE">
        <w:t>he pricing order</w:t>
      </w:r>
      <w:r w:rsidR="00043406">
        <w:t>,</w:t>
      </w:r>
      <w:r w:rsidRPr="00F319EE">
        <w:t xml:space="preserve"> risks accounted for in other components of the </w:t>
      </w:r>
      <w:r w:rsidR="000B5728">
        <w:t xml:space="preserve">Victorian Default Offer </w:t>
      </w:r>
      <w:r w:rsidRPr="00F319EE">
        <w:t>cost stack (such as wholesale electricity market risk) must not be included in the retail operating margin.</w:t>
      </w:r>
      <w:r w:rsidRPr="00F319EE">
        <w:rPr>
          <w:rStyle w:val="FootnoteReference"/>
        </w:rPr>
        <w:footnoteReference w:id="145"/>
      </w:r>
      <w:r w:rsidR="00C00625">
        <w:rPr>
          <w:rStyle w:val="CommentReference"/>
        </w:rPr>
        <w:t xml:space="preserve"> </w:t>
      </w:r>
      <w:r w:rsidR="00E3267D">
        <w:br w:type="page"/>
      </w:r>
    </w:p>
    <w:p w14:paraId="15F69A74" w14:textId="6F809830" w:rsidR="00F02F99" w:rsidRPr="00161BED" w:rsidRDefault="00F02F99" w:rsidP="00F02F99">
      <w:pPr>
        <w:pStyle w:val="Heading3"/>
      </w:pPr>
      <w:bookmarkStart w:id="113" w:name="_Toc160817041"/>
      <w:bookmarkStart w:id="114" w:name="_Toc191027384"/>
      <w:r w:rsidRPr="00665E57">
        <w:lastRenderedPageBreak/>
        <w:t xml:space="preserve">Our </w:t>
      </w:r>
      <w:r w:rsidR="00FA29CB">
        <w:t>final</w:t>
      </w:r>
      <w:r w:rsidRPr="00665E57">
        <w:t xml:space="preserve"> decision is to reduce the </w:t>
      </w:r>
      <w:r w:rsidR="00BE439A">
        <w:t xml:space="preserve">retail operating </w:t>
      </w:r>
      <w:r w:rsidRPr="00665E57">
        <w:t xml:space="preserve">margin to </w:t>
      </w:r>
      <w:r w:rsidR="000C0DA7">
        <w:t>five</w:t>
      </w:r>
      <w:r w:rsidR="00C86B79" w:rsidRPr="00665E57">
        <w:t xml:space="preserve"> </w:t>
      </w:r>
      <w:r w:rsidRPr="00665E57">
        <w:t>per cent</w:t>
      </w:r>
      <w:bookmarkEnd w:id="113"/>
      <w:bookmarkEnd w:id="114"/>
    </w:p>
    <w:p w14:paraId="57BB99CF" w14:textId="1CB75B39" w:rsidR="00A1005E" w:rsidRPr="0040462E" w:rsidRDefault="00F02F99" w:rsidP="00F02F99">
      <w:r w:rsidRPr="00161BED">
        <w:t xml:space="preserve">Our </w:t>
      </w:r>
      <w:r w:rsidR="00FA29CB">
        <w:t>final</w:t>
      </w:r>
      <w:r w:rsidRPr="00161BED">
        <w:t xml:space="preserve"> decision is to reduce the </w:t>
      </w:r>
      <w:r w:rsidR="00BE439A">
        <w:t xml:space="preserve">retail operating </w:t>
      </w:r>
      <w:r w:rsidRPr="00161BED">
        <w:t xml:space="preserve">margin from </w:t>
      </w:r>
      <w:r w:rsidR="001B4C1A">
        <w:t>5.3</w:t>
      </w:r>
      <w:r w:rsidR="001B4C1A" w:rsidRPr="00161BED">
        <w:t xml:space="preserve"> </w:t>
      </w:r>
      <w:r w:rsidRPr="00161BED">
        <w:t xml:space="preserve">per cent </w:t>
      </w:r>
      <w:r w:rsidRPr="00374C77">
        <w:t xml:space="preserve">to </w:t>
      </w:r>
      <w:r w:rsidR="000C0DA7">
        <w:t>five</w:t>
      </w:r>
      <w:r w:rsidR="001B4C1A" w:rsidRPr="00374C77">
        <w:t xml:space="preserve"> </w:t>
      </w:r>
      <w:r w:rsidRPr="00374C77">
        <w:t>per cent</w:t>
      </w:r>
      <w:r w:rsidRPr="00161BED">
        <w:t xml:space="preserve"> of the cost stack. </w:t>
      </w:r>
      <w:r w:rsidR="00C15820">
        <w:t>In determining that</w:t>
      </w:r>
      <w:r w:rsidRPr="00161BED">
        <w:t xml:space="preserve"> </w:t>
      </w:r>
      <w:r w:rsidR="000C0DA7">
        <w:t>five</w:t>
      </w:r>
      <w:r w:rsidR="001B4C1A" w:rsidRPr="00161BED">
        <w:t> </w:t>
      </w:r>
      <w:r w:rsidRPr="00161BED">
        <w:t>per cent is an appropriate margin we have considered the following factors:</w:t>
      </w:r>
    </w:p>
    <w:p w14:paraId="22CEE3AC" w14:textId="77777777" w:rsidR="00FC0106" w:rsidRPr="00676C5D" w:rsidRDefault="00FB26FB" w:rsidP="00676C5D">
      <w:pPr>
        <w:pStyle w:val="ListBullet"/>
      </w:pPr>
      <w:r w:rsidRPr="00676C5D">
        <w:t>m</w:t>
      </w:r>
      <w:r w:rsidR="00F02F99" w:rsidRPr="00676C5D">
        <w:t>argins set by other Australian regulators</w:t>
      </w:r>
    </w:p>
    <w:p w14:paraId="212D8DD0" w14:textId="4C0D75BD" w:rsidR="00F02F99" w:rsidRPr="00676C5D" w:rsidRDefault="00FC0106" w:rsidP="00676C5D">
      <w:pPr>
        <w:pStyle w:val="ListBullet"/>
      </w:pPr>
      <w:r w:rsidRPr="00676C5D">
        <w:t>the expected returns approach</w:t>
      </w:r>
    </w:p>
    <w:p w14:paraId="665A865E" w14:textId="77777777" w:rsidR="00F02F99" w:rsidRPr="00676C5D" w:rsidRDefault="00FB26FB" w:rsidP="00676C5D">
      <w:pPr>
        <w:pStyle w:val="ListBullet"/>
        <w:rPr>
          <w:rStyle w:val="CommentReference"/>
          <w:sz w:val="22"/>
          <w:szCs w:val="22"/>
        </w:rPr>
      </w:pPr>
      <w:r w:rsidRPr="00676C5D">
        <w:t>m</w:t>
      </w:r>
      <w:r w:rsidR="00F02F99" w:rsidRPr="00676C5D">
        <w:t>arket offer prices relative to default offer prices</w:t>
      </w:r>
    </w:p>
    <w:p w14:paraId="55194BBD" w14:textId="40692C44" w:rsidR="00F02F99" w:rsidRPr="00676C5D" w:rsidRDefault="000F4C7E" w:rsidP="00676C5D">
      <w:pPr>
        <w:pStyle w:val="ListBullet"/>
      </w:pPr>
      <w:r w:rsidRPr="00676C5D">
        <w:t>r</w:t>
      </w:r>
      <w:r w:rsidR="00F02F99" w:rsidRPr="00676C5D">
        <w:t>etailers’ actual margins</w:t>
      </w:r>
    </w:p>
    <w:p w14:paraId="53AFE086" w14:textId="04208AAF" w:rsidR="00F02F99" w:rsidRPr="00676C5D" w:rsidRDefault="00F02F99" w:rsidP="00676C5D">
      <w:pPr>
        <w:pStyle w:val="ListBullet"/>
      </w:pPr>
      <w:r w:rsidRPr="00676C5D">
        <w:t>submissions.</w:t>
      </w:r>
    </w:p>
    <w:p w14:paraId="2C512020" w14:textId="3D01CDF6" w:rsidR="007E3C03" w:rsidRDefault="007E3C03" w:rsidP="00806F90">
      <w:r>
        <w:t xml:space="preserve">Each of these </w:t>
      </w:r>
      <w:r w:rsidR="00E67223">
        <w:t xml:space="preserve">factors </w:t>
      </w:r>
      <w:r w:rsidR="000F0FED">
        <w:t>are</w:t>
      </w:r>
      <w:r w:rsidR="00E67223">
        <w:t xml:space="preserve"> discussed in further detail below.</w:t>
      </w:r>
    </w:p>
    <w:p w14:paraId="648B8A38" w14:textId="2AC8EE3B" w:rsidR="009D7FE9" w:rsidRPr="0061725B" w:rsidRDefault="009D7FE9" w:rsidP="009D7FE9">
      <w:pPr>
        <w:pStyle w:val="Heading4"/>
      </w:pPr>
      <w:r w:rsidRPr="005C6405">
        <w:t>Most</w:t>
      </w:r>
      <w:r w:rsidRPr="0061725B">
        <w:t xml:space="preserve"> Australian jurisdictions </w:t>
      </w:r>
      <w:r w:rsidRPr="0091314D">
        <w:t>maintained</w:t>
      </w:r>
      <w:r w:rsidRPr="0061725B">
        <w:t xml:space="preserve"> their retail operating margin</w:t>
      </w:r>
    </w:p>
    <w:p w14:paraId="25DA216D" w14:textId="77777777" w:rsidR="00F02F99" w:rsidRDefault="008F2571" w:rsidP="00F02F99">
      <w:r>
        <w:t xml:space="preserve">For our </w:t>
      </w:r>
      <w:r w:rsidR="00C619DF">
        <w:t>final</w:t>
      </w:r>
      <w:r>
        <w:t xml:space="preserve"> decision</w:t>
      </w:r>
      <w:r w:rsidR="00F02F99" w:rsidRPr="00665E57">
        <w:t xml:space="preserve">, </w:t>
      </w:r>
      <w:r w:rsidR="00F02F99" w:rsidRPr="00806F90">
        <w:t>we investigated the</w:t>
      </w:r>
      <w:r w:rsidR="00F02F99" w:rsidRPr="00806F90" w:rsidDel="00114A68">
        <w:t xml:space="preserve"> </w:t>
      </w:r>
      <w:r w:rsidR="00206943" w:rsidRPr="00806F90">
        <w:t xml:space="preserve">regulated </w:t>
      </w:r>
      <w:r w:rsidR="00F02F99" w:rsidRPr="00806F90">
        <w:t>retail margins</w:t>
      </w:r>
      <w:r w:rsidR="00F02F99" w:rsidRPr="00806F90" w:rsidDel="00114A68">
        <w:t xml:space="preserve"> </w:t>
      </w:r>
      <w:r w:rsidR="00F02F99" w:rsidRPr="00806F90">
        <w:t xml:space="preserve">adopted in other Australian jurisdictions </w:t>
      </w:r>
      <w:r w:rsidR="00C15820" w:rsidRPr="00806F90">
        <w:t>using</w:t>
      </w:r>
      <w:r w:rsidR="00F02F99" w:rsidRPr="00806F90">
        <w:t xml:space="preserve"> the latest </w:t>
      </w:r>
      <w:r w:rsidR="00777D5A" w:rsidRPr="00806F90">
        <w:t>information available.</w:t>
      </w:r>
      <w:r w:rsidR="0014456E" w:rsidRPr="00806F90">
        <w:t xml:space="preserve"> </w:t>
      </w:r>
      <w:r w:rsidR="005604C5" w:rsidRPr="00806F90">
        <w:t xml:space="preserve">Victoria’s retail margin continues to be </w:t>
      </w:r>
      <w:r w:rsidR="008245AA" w:rsidRPr="00806F90">
        <w:t xml:space="preserve">among </w:t>
      </w:r>
      <w:r w:rsidR="005604C5" w:rsidRPr="00806F90">
        <w:t>the lowest retail margin</w:t>
      </w:r>
      <w:r w:rsidR="00D04756" w:rsidRPr="00806F90">
        <w:t>s</w:t>
      </w:r>
      <w:r w:rsidR="005604C5" w:rsidRPr="00806F90">
        <w:t xml:space="preserve"> across jurisdiction</w:t>
      </w:r>
      <w:r w:rsidR="0082707B" w:rsidRPr="00806F90">
        <w:t>s,</w:t>
      </w:r>
      <w:r w:rsidR="005604C5" w:rsidRPr="00806F90">
        <w:t xml:space="preserve"> reflecting the level of market competition in </w:t>
      </w:r>
      <w:r w:rsidR="00C04404" w:rsidRPr="00806F90">
        <w:t>Victoria.</w:t>
      </w:r>
      <w:r w:rsidR="005B6EA1" w:rsidRPr="0061725B">
        <w:t xml:space="preserve"> </w:t>
      </w:r>
    </w:p>
    <w:p w14:paraId="49C655DB" w14:textId="51CEF8DA" w:rsidR="00F02F99" w:rsidRDefault="007F79F5" w:rsidP="00F02F99">
      <w:r>
        <w:t>Table 6 shows the reta</w:t>
      </w:r>
      <w:r w:rsidR="00395640">
        <w:t>il margin</w:t>
      </w:r>
      <w:r w:rsidR="006D7185">
        <w:t>s</w:t>
      </w:r>
      <w:r w:rsidR="00395640">
        <w:t xml:space="preserve"> across other jurisdictions </w:t>
      </w:r>
      <w:r w:rsidR="005A17B2">
        <w:t>reflecting</w:t>
      </w:r>
      <w:r w:rsidR="00395640">
        <w:t xml:space="preserve"> their latest decisions. </w:t>
      </w:r>
      <w:r w:rsidR="00943128">
        <w:br w:type="page"/>
      </w:r>
    </w:p>
    <w:p w14:paraId="249FBC11" w14:textId="15F8337A" w:rsidR="00F02F99" w:rsidRPr="00934B98" w:rsidRDefault="00F02F99" w:rsidP="00F02F99">
      <w:pPr>
        <w:pStyle w:val="Figure-Table-BoxHeading"/>
      </w:pPr>
      <w:r w:rsidRPr="00161BED">
        <w:rPr>
          <w:lang w:val="en-AU"/>
        </w:rPr>
        <w:lastRenderedPageBreak/>
        <w:t xml:space="preserve">Table </w:t>
      </w:r>
      <w:r w:rsidR="00B84363">
        <w:rPr>
          <w:lang w:val="en-AU"/>
        </w:rPr>
        <w:t>6</w:t>
      </w:r>
      <w:r w:rsidRPr="00161BED">
        <w:rPr>
          <w:lang w:val="en-AU"/>
        </w:rPr>
        <w:t xml:space="preserve">: </w:t>
      </w:r>
      <w:r w:rsidR="00B577BE">
        <w:rPr>
          <w:lang w:val="en-AU"/>
        </w:rPr>
        <w:t>C</w:t>
      </w:r>
      <w:r w:rsidR="00B577BE" w:rsidRPr="00665E57">
        <w:rPr>
          <w:lang w:val="en-AU"/>
        </w:rPr>
        <w:t xml:space="preserve">omparison </w:t>
      </w:r>
      <w:r w:rsidRPr="00665E57">
        <w:rPr>
          <w:lang w:val="en-AU"/>
        </w:rPr>
        <w:t>of regulated retail margins in Australia</w:t>
      </w:r>
      <w:r w:rsidR="00670088" w:rsidRPr="008F5F57">
        <w:rPr>
          <w:lang w:val="en-AU"/>
        </w:rPr>
        <w:t xml:space="preserve"> </w:t>
      </w:r>
      <w:r w:rsidR="00670088" w:rsidRPr="00665E57">
        <w:rPr>
          <w:lang w:val="en-AU"/>
        </w:rPr>
        <w:t xml:space="preserve"> </w:t>
      </w:r>
    </w:p>
    <w:tbl>
      <w:tblPr>
        <w:tblStyle w:val="TableGrid"/>
        <w:tblW w:w="9071" w:type="dxa"/>
        <w:tblLook w:val="04A0" w:firstRow="1" w:lastRow="0" w:firstColumn="1" w:lastColumn="0" w:noHBand="0" w:noVBand="1"/>
      </w:tblPr>
      <w:tblGrid>
        <w:gridCol w:w="2545"/>
        <w:gridCol w:w="2122"/>
        <w:gridCol w:w="2074"/>
        <w:gridCol w:w="2330"/>
      </w:tblGrid>
      <w:tr w:rsidR="00B41008" w:rsidRPr="00934B98" w14:paraId="55480E44" w14:textId="77777777" w:rsidTr="6DDBB550">
        <w:trPr>
          <w:cnfStyle w:val="100000000000" w:firstRow="1" w:lastRow="0" w:firstColumn="0" w:lastColumn="0" w:oddVBand="0" w:evenVBand="0" w:oddHBand="0" w:evenHBand="0" w:firstRowFirstColumn="0" w:firstRowLastColumn="0" w:lastRowFirstColumn="0" w:lastRowLastColumn="0"/>
          <w:trHeight w:val="125"/>
          <w:tblHeader/>
        </w:trPr>
        <w:tc>
          <w:tcPr>
            <w:tcW w:w="2545" w:type="dxa"/>
          </w:tcPr>
          <w:p w14:paraId="1EFE8B21" w14:textId="0E90E535" w:rsidR="00B41008" w:rsidRPr="00872E1E" w:rsidRDefault="00B41008" w:rsidP="00872E1E">
            <w:pPr>
              <w:pStyle w:val="TableBold"/>
              <w:rPr>
                <w:b/>
              </w:rPr>
            </w:pPr>
            <w:r w:rsidRPr="00872E1E">
              <w:rPr>
                <w:b/>
              </w:rPr>
              <w:t>Regulatory decision</w:t>
            </w:r>
          </w:p>
        </w:tc>
        <w:tc>
          <w:tcPr>
            <w:tcW w:w="2122" w:type="dxa"/>
          </w:tcPr>
          <w:p w14:paraId="262C383F" w14:textId="77777777" w:rsidR="00B41008" w:rsidRPr="00872E1E" w:rsidRDefault="00B41008" w:rsidP="00872E1E">
            <w:pPr>
              <w:pStyle w:val="TableBold"/>
              <w:rPr>
                <w:b/>
              </w:rPr>
            </w:pPr>
            <w:r w:rsidRPr="00872E1E">
              <w:rPr>
                <w:b/>
              </w:rPr>
              <w:t>Approach</w:t>
            </w:r>
          </w:p>
        </w:tc>
        <w:tc>
          <w:tcPr>
            <w:tcW w:w="2074" w:type="dxa"/>
          </w:tcPr>
          <w:p w14:paraId="25CF3C72" w14:textId="0995C224" w:rsidR="00B41008" w:rsidRPr="00872E1E" w:rsidRDefault="00B41008" w:rsidP="00872E1E">
            <w:pPr>
              <w:pStyle w:val="TableBold"/>
              <w:rPr>
                <w:b/>
              </w:rPr>
            </w:pPr>
            <w:r w:rsidRPr="00872E1E">
              <w:rPr>
                <w:b/>
              </w:rPr>
              <w:t>2024–25</w:t>
            </w:r>
          </w:p>
        </w:tc>
        <w:tc>
          <w:tcPr>
            <w:tcW w:w="2330" w:type="dxa"/>
          </w:tcPr>
          <w:p w14:paraId="1A4E9F75" w14:textId="169F0FA1" w:rsidR="00B41008" w:rsidRPr="00872E1E" w:rsidRDefault="00B41008" w:rsidP="00872E1E">
            <w:pPr>
              <w:pStyle w:val="TableBold"/>
              <w:rPr>
                <w:b/>
              </w:rPr>
            </w:pPr>
            <w:r w:rsidRPr="00872E1E">
              <w:rPr>
                <w:b/>
                <w:lang w:val="en-AU"/>
              </w:rPr>
              <w:t>2025</w:t>
            </w:r>
            <w:r w:rsidRPr="00872E1E">
              <w:rPr>
                <w:b/>
              </w:rPr>
              <w:t>–</w:t>
            </w:r>
            <w:r w:rsidRPr="00872E1E">
              <w:rPr>
                <w:b/>
                <w:lang w:val="en-AU"/>
              </w:rPr>
              <w:t xml:space="preserve">26 </w:t>
            </w:r>
            <w:r w:rsidR="003C1FDA">
              <w:rPr>
                <w:b/>
                <w:lang w:val="en-AU"/>
              </w:rPr>
              <w:br/>
            </w:r>
            <w:r w:rsidRPr="00872E1E">
              <w:rPr>
                <w:b/>
                <w:lang w:val="en-AU"/>
              </w:rPr>
              <w:t>(</w:t>
            </w:r>
            <w:r w:rsidR="00F3264E">
              <w:rPr>
                <w:b/>
                <w:lang w:val="en-AU"/>
              </w:rPr>
              <w:t>latest</w:t>
            </w:r>
            <w:r w:rsidR="00333646">
              <w:rPr>
                <w:b/>
                <w:lang w:val="en-AU"/>
              </w:rPr>
              <w:t xml:space="preserve"> </w:t>
            </w:r>
            <w:r w:rsidR="000B161B">
              <w:rPr>
                <w:b/>
                <w:lang w:val="en-AU"/>
              </w:rPr>
              <w:t>decision</w:t>
            </w:r>
            <w:r w:rsidRPr="00872E1E">
              <w:rPr>
                <w:b/>
                <w:lang w:val="en-AU"/>
              </w:rPr>
              <w:t>)</w:t>
            </w:r>
          </w:p>
        </w:tc>
      </w:tr>
      <w:tr w:rsidR="00B41008" w:rsidRPr="00934B98" w14:paraId="2721381C" w14:textId="77777777" w:rsidTr="6DDBB550">
        <w:trPr>
          <w:cnfStyle w:val="000000100000" w:firstRow="0" w:lastRow="0" w:firstColumn="0" w:lastColumn="0" w:oddVBand="0" w:evenVBand="0" w:oddHBand="1" w:evenHBand="0" w:firstRowFirstColumn="0" w:firstRowLastColumn="0" w:lastRowFirstColumn="0" w:lastRowLastColumn="0"/>
          <w:trHeight w:val="125"/>
        </w:trPr>
        <w:tc>
          <w:tcPr>
            <w:tcW w:w="2545" w:type="dxa"/>
          </w:tcPr>
          <w:p w14:paraId="48581A79" w14:textId="28D1248A" w:rsidR="00B41008" w:rsidRPr="00872E1E" w:rsidRDefault="00B41008" w:rsidP="00661088">
            <w:pPr>
              <w:pStyle w:val="TableBody"/>
            </w:pPr>
            <w:r w:rsidRPr="00872E1E">
              <w:t xml:space="preserve">Australian Energy Regulator, Default Market Offer </w:t>
            </w:r>
            <w:r>
              <w:t xml:space="preserve"> </w:t>
            </w:r>
          </w:p>
        </w:tc>
        <w:tc>
          <w:tcPr>
            <w:tcW w:w="2122" w:type="dxa"/>
          </w:tcPr>
          <w:p w14:paraId="76FC70A4" w14:textId="533EA8E7" w:rsidR="00B41008" w:rsidRPr="00A70E02" w:rsidRDefault="00B41008" w:rsidP="00661088">
            <w:pPr>
              <w:pStyle w:val="TableBody"/>
              <w:rPr>
                <w:sz w:val="20"/>
                <w:szCs w:val="20"/>
              </w:rPr>
            </w:pPr>
            <w:r w:rsidRPr="005E2E1E">
              <w:rPr>
                <w:lang w:val="en-AU"/>
              </w:rPr>
              <w:t xml:space="preserve">Expected </w:t>
            </w:r>
            <w:r w:rsidR="00402C3A">
              <w:rPr>
                <w:lang w:val="en-AU"/>
              </w:rPr>
              <w:t>r</w:t>
            </w:r>
            <w:r w:rsidRPr="005E2E1E">
              <w:rPr>
                <w:lang w:val="en-AU"/>
              </w:rPr>
              <w:t xml:space="preserve">eturns + </w:t>
            </w:r>
            <w:r w:rsidR="00402C3A">
              <w:rPr>
                <w:lang w:val="en-AU"/>
              </w:rPr>
              <w:t>r</w:t>
            </w:r>
            <w:r w:rsidRPr="005E2E1E">
              <w:rPr>
                <w:lang w:val="en-AU"/>
              </w:rPr>
              <w:t xml:space="preserve">egulatory </w:t>
            </w:r>
            <w:r w:rsidR="00402C3A">
              <w:rPr>
                <w:lang w:val="en-AU"/>
              </w:rPr>
              <w:t>b</w:t>
            </w:r>
            <w:r w:rsidRPr="005E2E1E">
              <w:rPr>
                <w:lang w:val="en-AU"/>
              </w:rPr>
              <w:t>enchmarking</w:t>
            </w:r>
          </w:p>
        </w:tc>
        <w:tc>
          <w:tcPr>
            <w:tcW w:w="2074" w:type="dxa"/>
          </w:tcPr>
          <w:p w14:paraId="64BE15E4" w14:textId="75B11CDF" w:rsidR="00B41008" w:rsidRPr="00872E1E" w:rsidRDefault="00754B84" w:rsidP="00661088">
            <w:pPr>
              <w:pStyle w:val="TableBody"/>
            </w:pPr>
            <w:r>
              <w:t>6.0</w:t>
            </w:r>
            <w:r w:rsidR="00B41008" w:rsidRPr="00872E1E">
              <w:t xml:space="preserve">% </w:t>
            </w:r>
            <w:r w:rsidR="00FB280E">
              <w:t>in</w:t>
            </w:r>
            <w:r w:rsidR="00B41008" w:rsidRPr="00872E1E">
              <w:t xml:space="preserve"> all </w:t>
            </w:r>
            <w:r w:rsidR="00B41008" w:rsidRPr="00FD7386">
              <w:t>region</w:t>
            </w:r>
            <w:r w:rsidR="00B41008">
              <w:t>s</w:t>
            </w:r>
            <w:r w:rsidR="00B41008" w:rsidRPr="00872E1E">
              <w:t>,</w:t>
            </w:r>
            <w:r w:rsidR="00B41008" w:rsidRPr="00872E1E">
              <w:br/>
              <w:t>or $</w:t>
            </w:r>
            <w:r w:rsidR="001C1C25">
              <w:t>106</w:t>
            </w:r>
            <w:r w:rsidR="00B41008" w:rsidRPr="00872E1E">
              <w:t>-$</w:t>
            </w:r>
            <w:r w:rsidR="001C1C25">
              <w:t>153</w:t>
            </w:r>
            <w:r w:rsidR="00B41008" w:rsidRPr="00872E1E">
              <w:t>,</w:t>
            </w:r>
            <w:r w:rsidR="00447860">
              <w:t xml:space="preserve"> </w:t>
            </w:r>
            <w:r>
              <w:t>for</w:t>
            </w:r>
            <w:r w:rsidR="00B41008" w:rsidRPr="00872E1E">
              <w:t xml:space="preserve"> domestic customers w</w:t>
            </w:r>
            <w:r w:rsidR="008C73EB" w:rsidRPr="00872E1E">
              <w:t>ithout</w:t>
            </w:r>
            <w:r w:rsidR="00B41008" w:rsidRPr="00872E1E">
              <w:t xml:space="preserve"> control load</w:t>
            </w:r>
            <w:r w:rsidR="00B41008" w:rsidRPr="00872E1E">
              <w:rPr>
                <w:vertAlign w:val="superscript"/>
              </w:rPr>
              <w:footnoteReference w:id="146"/>
            </w:r>
          </w:p>
        </w:tc>
        <w:tc>
          <w:tcPr>
            <w:tcW w:w="2330" w:type="dxa"/>
          </w:tcPr>
          <w:p w14:paraId="43C2E6E8" w14:textId="2C62D518" w:rsidR="00B41008" w:rsidRPr="00901698" w:rsidRDefault="00AE11D9" w:rsidP="00661088">
            <w:pPr>
              <w:pStyle w:val="TableBody"/>
            </w:pPr>
            <w:r w:rsidRPr="009B5D08">
              <w:t>6.0</w:t>
            </w:r>
            <w:r w:rsidR="00B41008" w:rsidRPr="009B5D08">
              <w:t>%</w:t>
            </w:r>
            <w:r w:rsidR="00FB280E" w:rsidRPr="009B5D08">
              <w:t xml:space="preserve"> in</w:t>
            </w:r>
            <w:r w:rsidR="00B41008" w:rsidRPr="009B5D08">
              <w:t xml:space="preserve"> all region</w:t>
            </w:r>
            <w:r w:rsidR="00A124AA" w:rsidRPr="009B5D08">
              <w:t>s</w:t>
            </w:r>
            <w:r w:rsidR="00EA54A4" w:rsidRPr="009B5D08">
              <w:t>, or $118</w:t>
            </w:r>
            <w:r w:rsidR="00402C3A">
              <w:t>–</w:t>
            </w:r>
            <w:r w:rsidR="00310E45" w:rsidRPr="009B5D08">
              <w:t>$163,</w:t>
            </w:r>
            <w:r w:rsidR="00B41008" w:rsidRPr="009B5D08">
              <w:t xml:space="preserve"> for domestic customers w</w:t>
            </w:r>
            <w:r w:rsidR="00FB706D" w:rsidRPr="009B5D08">
              <w:t>ithout</w:t>
            </w:r>
            <w:r w:rsidR="00B41008" w:rsidRPr="009B5D08">
              <w:t xml:space="preserve"> control load</w:t>
            </w:r>
            <w:r w:rsidR="00B41008" w:rsidRPr="00491545">
              <w:rPr>
                <w:rStyle w:val="FootnoteReference"/>
              </w:rPr>
              <w:footnoteReference w:id="147"/>
            </w:r>
          </w:p>
        </w:tc>
      </w:tr>
      <w:tr w:rsidR="00B41008" w:rsidRPr="00934B98" w14:paraId="58F84B92" w14:textId="77777777" w:rsidTr="6DDBB550">
        <w:trPr>
          <w:cnfStyle w:val="000000010000" w:firstRow="0" w:lastRow="0" w:firstColumn="0" w:lastColumn="0" w:oddVBand="0" w:evenVBand="0" w:oddHBand="0" w:evenHBand="1" w:firstRowFirstColumn="0" w:firstRowLastColumn="0" w:lastRowFirstColumn="0" w:lastRowLastColumn="0"/>
          <w:trHeight w:val="1306"/>
        </w:trPr>
        <w:tc>
          <w:tcPr>
            <w:tcW w:w="2545" w:type="dxa"/>
          </w:tcPr>
          <w:p w14:paraId="40725E3E" w14:textId="2E78A07A" w:rsidR="00B41008" w:rsidRPr="00872E1E" w:rsidRDefault="00B41008" w:rsidP="00DA436D">
            <w:pPr>
              <w:pStyle w:val="TableBody"/>
            </w:pPr>
            <w:r w:rsidRPr="00872E1E">
              <w:t>Independent Competition and Regulator</w:t>
            </w:r>
            <w:r w:rsidR="00AF4AA2">
              <w:t>y</w:t>
            </w:r>
            <w:r w:rsidRPr="00872E1E">
              <w:t xml:space="preserve"> Commission</w:t>
            </w:r>
          </w:p>
        </w:tc>
        <w:tc>
          <w:tcPr>
            <w:tcW w:w="2122" w:type="dxa"/>
          </w:tcPr>
          <w:p w14:paraId="7E9642B7" w14:textId="7B2148A8" w:rsidR="00B41008" w:rsidRPr="00A70E02" w:rsidRDefault="00B41008" w:rsidP="00DA436D">
            <w:pPr>
              <w:pStyle w:val="TableBody"/>
              <w:rPr>
                <w:sz w:val="20"/>
                <w:szCs w:val="20"/>
              </w:rPr>
            </w:pPr>
            <w:r w:rsidRPr="00C71249">
              <w:t xml:space="preserve">Expected </w:t>
            </w:r>
            <w:r w:rsidR="00402C3A">
              <w:t>r</w:t>
            </w:r>
            <w:r w:rsidRPr="00C71249">
              <w:t xml:space="preserve">eturns + </w:t>
            </w:r>
            <w:r w:rsidR="00402C3A">
              <w:t>r</w:t>
            </w:r>
            <w:r w:rsidRPr="00C71249">
              <w:t xml:space="preserve">egulatory </w:t>
            </w:r>
            <w:r w:rsidR="00402C3A">
              <w:t>b</w:t>
            </w:r>
            <w:r w:rsidRPr="00C71249">
              <w:t>enchmarking</w:t>
            </w:r>
          </w:p>
        </w:tc>
        <w:tc>
          <w:tcPr>
            <w:tcW w:w="2074" w:type="dxa"/>
          </w:tcPr>
          <w:p w14:paraId="0B10680D" w14:textId="64A51867" w:rsidR="00B41008" w:rsidRPr="00872E1E" w:rsidRDefault="00AE11D9" w:rsidP="00DA436D">
            <w:pPr>
              <w:pStyle w:val="TableBody"/>
              <w:rPr>
                <w:highlight w:val="yellow"/>
              </w:rPr>
            </w:pPr>
            <w:r>
              <w:t>5.2</w:t>
            </w:r>
            <w:r w:rsidR="00B41008" w:rsidRPr="00872E1E">
              <w:t>% of the total cost stack</w:t>
            </w:r>
          </w:p>
        </w:tc>
        <w:tc>
          <w:tcPr>
            <w:tcW w:w="2330" w:type="dxa"/>
          </w:tcPr>
          <w:p w14:paraId="0F7462BD" w14:textId="28005C1A" w:rsidR="00B41008" w:rsidRPr="00D57046" w:rsidRDefault="00863ACD" w:rsidP="4C8275BC">
            <w:pPr>
              <w:pStyle w:val="TableBody"/>
              <w:rPr>
                <w:highlight w:val="yellow"/>
                <w:lang w:val="en-AU"/>
              </w:rPr>
            </w:pPr>
            <w:r w:rsidRPr="00491545">
              <w:rPr>
                <w:lang w:val="en-AU"/>
              </w:rPr>
              <w:t>5.2% of the total cost stack (continues to apply)</w:t>
            </w:r>
            <w:r w:rsidR="00B41008" w:rsidRPr="0091314D">
              <w:rPr>
                <w:rStyle w:val="FootnoteReference"/>
                <w:lang w:val="en-AU"/>
              </w:rPr>
              <w:footnoteReference w:id="148"/>
            </w:r>
          </w:p>
          <w:p w14:paraId="3C9270A5" w14:textId="0600D8CE" w:rsidR="00B41008" w:rsidRPr="00D57046" w:rsidRDefault="00B41008" w:rsidP="00DA436D">
            <w:pPr>
              <w:pStyle w:val="TableBody"/>
              <w:rPr>
                <w:highlight w:val="yellow"/>
              </w:rPr>
            </w:pPr>
          </w:p>
        </w:tc>
      </w:tr>
      <w:tr w:rsidR="00B41008" w:rsidRPr="00934B98" w14:paraId="663053F6" w14:textId="77777777" w:rsidTr="6DDBB550">
        <w:trPr>
          <w:cnfStyle w:val="000000100000" w:firstRow="0" w:lastRow="0" w:firstColumn="0" w:lastColumn="0" w:oddVBand="0" w:evenVBand="0" w:oddHBand="1" w:evenHBand="0" w:firstRowFirstColumn="0" w:firstRowLastColumn="0" w:lastRowFirstColumn="0" w:lastRowLastColumn="0"/>
          <w:trHeight w:val="1218"/>
        </w:trPr>
        <w:tc>
          <w:tcPr>
            <w:tcW w:w="2545" w:type="dxa"/>
          </w:tcPr>
          <w:p w14:paraId="487813E1" w14:textId="45F1F6A8" w:rsidR="00B41008" w:rsidRPr="00872E1E" w:rsidRDefault="00B41008" w:rsidP="00DA436D">
            <w:pPr>
              <w:pStyle w:val="TableBody"/>
            </w:pPr>
            <w:r w:rsidRPr="00872E1E">
              <w:t xml:space="preserve">Office of the Tasmanian Economic Regulator </w:t>
            </w:r>
          </w:p>
        </w:tc>
        <w:tc>
          <w:tcPr>
            <w:tcW w:w="2122" w:type="dxa"/>
          </w:tcPr>
          <w:p w14:paraId="419F7189" w14:textId="1635F159" w:rsidR="00B41008" w:rsidRPr="00A70E02" w:rsidRDefault="00B41008" w:rsidP="00DA436D">
            <w:pPr>
              <w:pStyle w:val="TableBody"/>
              <w:rPr>
                <w:sz w:val="20"/>
                <w:szCs w:val="20"/>
                <w:lang w:val="en-AU"/>
              </w:rPr>
            </w:pPr>
            <w:r w:rsidRPr="004B64C5">
              <w:t xml:space="preserve">Expected </w:t>
            </w:r>
            <w:r w:rsidR="00AF4AA2">
              <w:t>r</w:t>
            </w:r>
            <w:r w:rsidRPr="004B64C5">
              <w:t xml:space="preserve">eturns + </w:t>
            </w:r>
            <w:r w:rsidR="00AF4AA2">
              <w:t>r</w:t>
            </w:r>
            <w:r w:rsidRPr="004B64C5">
              <w:t xml:space="preserve">egulatory </w:t>
            </w:r>
            <w:r w:rsidR="00AF4AA2">
              <w:t>b</w:t>
            </w:r>
            <w:r w:rsidRPr="004B64C5">
              <w:t>enchmarking</w:t>
            </w:r>
          </w:p>
        </w:tc>
        <w:tc>
          <w:tcPr>
            <w:tcW w:w="2074" w:type="dxa"/>
          </w:tcPr>
          <w:p w14:paraId="5074C36E" w14:textId="3BCC5BD5" w:rsidR="00B41008" w:rsidRPr="003D0260" w:rsidRDefault="00B41008" w:rsidP="769D3AD7">
            <w:pPr>
              <w:pStyle w:val="TableBody"/>
              <w:rPr>
                <w:lang w:val="en-AU"/>
              </w:rPr>
            </w:pPr>
            <w:r w:rsidRPr="769D3AD7">
              <w:rPr>
                <w:lang w:val="en-AU"/>
              </w:rPr>
              <w:t xml:space="preserve">Approximately </w:t>
            </w:r>
            <w:r w:rsidR="001C1C25" w:rsidRPr="769D3AD7">
              <w:rPr>
                <w:lang w:val="en-AU"/>
              </w:rPr>
              <w:t>5.25</w:t>
            </w:r>
            <w:r w:rsidRPr="769D3AD7">
              <w:rPr>
                <w:lang w:val="en-AU"/>
              </w:rPr>
              <w:t>%, or $</w:t>
            </w:r>
            <w:r w:rsidR="00590C8E" w:rsidRPr="003D0260">
              <w:rPr>
                <w:lang w:val="en-AU"/>
              </w:rPr>
              <w:t>113</w:t>
            </w:r>
            <w:r w:rsidRPr="769D3AD7">
              <w:rPr>
                <w:lang w:val="en-AU"/>
              </w:rPr>
              <w:t>.</w:t>
            </w:r>
            <w:r w:rsidR="00EC633E" w:rsidRPr="769D3AD7">
              <w:rPr>
                <w:rStyle w:val="FootnoteReference"/>
                <w:lang w:val="en-AU"/>
              </w:rPr>
              <w:footnoteReference w:id="149"/>
            </w:r>
          </w:p>
        </w:tc>
        <w:tc>
          <w:tcPr>
            <w:tcW w:w="2330" w:type="dxa"/>
          </w:tcPr>
          <w:p w14:paraId="2D9C748F" w14:textId="1A639DC0" w:rsidR="00B41008" w:rsidRPr="003D0260" w:rsidRDefault="00010EE4" w:rsidP="00DA436D">
            <w:pPr>
              <w:pStyle w:val="TableBody"/>
            </w:pPr>
            <w:r w:rsidRPr="003D0260">
              <w:t>A</w:t>
            </w:r>
            <w:r w:rsidR="00B41008" w:rsidRPr="003D0260">
              <w:t xml:space="preserve">pproximately </w:t>
            </w:r>
            <w:r w:rsidR="00FC0C23" w:rsidRPr="003D0260">
              <w:t>5.25</w:t>
            </w:r>
            <w:r w:rsidR="00B41008" w:rsidRPr="003D0260">
              <w:t>%, or $</w:t>
            </w:r>
            <w:r w:rsidR="00FC0C23" w:rsidRPr="003D0260">
              <w:t>1</w:t>
            </w:r>
            <w:r w:rsidR="00A678B4" w:rsidRPr="003D0260">
              <w:t>1</w:t>
            </w:r>
            <w:r w:rsidR="00FC0C23" w:rsidRPr="003D0260">
              <w:t>7</w:t>
            </w:r>
            <w:r w:rsidR="00B41008" w:rsidRPr="003D0260">
              <w:t>.</w:t>
            </w:r>
            <w:r w:rsidR="00B41008" w:rsidRPr="003D0260">
              <w:rPr>
                <w:rStyle w:val="FootnoteReference"/>
              </w:rPr>
              <w:footnoteReference w:id="150"/>
            </w:r>
            <w:r w:rsidR="00B41008" w:rsidRPr="003D0260">
              <w:br/>
            </w:r>
          </w:p>
        </w:tc>
      </w:tr>
      <w:tr w:rsidR="00B41008" w:rsidRPr="00C41F8E" w14:paraId="68F742A7" w14:textId="77777777" w:rsidTr="6DDBB550">
        <w:trPr>
          <w:cnfStyle w:val="000000010000" w:firstRow="0" w:lastRow="0" w:firstColumn="0" w:lastColumn="0" w:oddVBand="0" w:evenVBand="0" w:oddHBand="0" w:evenHBand="1" w:firstRowFirstColumn="0" w:firstRowLastColumn="0" w:lastRowFirstColumn="0" w:lastRowLastColumn="0"/>
          <w:trHeight w:val="599"/>
        </w:trPr>
        <w:tc>
          <w:tcPr>
            <w:tcW w:w="2545" w:type="dxa"/>
          </w:tcPr>
          <w:p w14:paraId="6711DF2E" w14:textId="202AE10A" w:rsidR="00B41008" w:rsidRPr="00872E1E" w:rsidRDefault="00B41008" w:rsidP="00DA436D">
            <w:pPr>
              <w:pStyle w:val="TableBody"/>
            </w:pPr>
            <w:r w:rsidRPr="00872E1E">
              <w:t xml:space="preserve">Queensland Competition Authority </w:t>
            </w:r>
          </w:p>
        </w:tc>
        <w:tc>
          <w:tcPr>
            <w:tcW w:w="2122" w:type="dxa"/>
          </w:tcPr>
          <w:p w14:paraId="33ABC73F" w14:textId="44EAE14C" w:rsidR="00B41008" w:rsidRPr="00872E1E" w:rsidRDefault="00B41008" w:rsidP="00DA436D">
            <w:pPr>
              <w:pStyle w:val="TableBody"/>
            </w:pPr>
            <w:r w:rsidRPr="4C8275BC">
              <w:rPr>
                <w:lang w:val="en-AU"/>
              </w:rPr>
              <w:t>Overall retail cost allowance including retail margin; retail cost component equivalent to SEQ decision by the AER.</w:t>
            </w:r>
          </w:p>
        </w:tc>
        <w:tc>
          <w:tcPr>
            <w:tcW w:w="2074" w:type="dxa"/>
          </w:tcPr>
          <w:p w14:paraId="1BAF0D46" w14:textId="52A06D53" w:rsidR="00B41008" w:rsidRPr="00872E1E" w:rsidRDefault="00084120" w:rsidP="00DA436D">
            <w:pPr>
              <w:pStyle w:val="TableBody"/>
            </w:pPr>
            <w:r>
              <w:t>6.8</w:t>
            </w:r>
            <w:r w:rsidR="00B41008" w:rsidRPr="00872E1E">
              <w:t>%, or $</w:t>
            </w:r>
            <w:r w:rsidR="00122858">
              <w:t>123</w:t>
            </w:r>
            <w:r w:rsidR="00B41008" w:rsidRPr="00872E1E">
              <w:t xml:space="preserve">, calculated from </w:t>
            </w:r>
            <w:r w:rsidR="00670D3C">
              <w:t xml:space="preserve">QCA and AER </w:t>
            </w:r>
            <w:r w:rsidR="00E53C72">
              <w:t>2024</w:t>
            </w:r>
            <w:r w:rsidR="00147288">
              <w:t>–</w:t>
            </w:r>
            <w:r w:rsidR="00E53C72">
              <w:t>25</w:t>
            </w:r>
            <w:r w:rsidR="00E53C72" w:rsidRPr="00872E1E">
              <w:t xml:space="preserve"> </w:t>
            </w:r>
            <w:r w:rsidR="00B41008" w:rsidRPr="00872E1E">
              <w:t xml:space="preserve">final </w:t>
            </w:r>
            <w:r w:rsidR="00670D3C">
              <w:t>determinations</w:t>
            </w:r>
            <w:r w:rsidR="00670D3C" w:rsidRPr="00872E1E">
              <w:t xml:space="preserve"> </w:t>
            </w:r>
          </w:p>
          <w:p w14:paraId="124CFDDC" w14:textId="2DEF6902" w:rsidR="00B41008" w:rsidRPr="00872E1E" w:rsidRDefault="00B41008" w:rsidP="00DA436D">
            <w:pPr>
              <w:pStyle w:val="TableBody"/>
              <w:rPr>
                <w:highlight w:val="yellow"/>
              </w:rPr>
            </w:pPr>
          </w:p>
        </w:tc>
        <w:tc>
          <w:tcPr>
            <w:tcW w:w="2330" w:type="dxa"/>
          </w:tcPr>
          <w:p w14:paraId="70F7AEBB" w14:textId="5DBB2BE1" w:rsidR="00B41008" w:rsidRPr="00D57046" w:rsidRDefault="293E48E5" w:rsidP="6DDBB550">
            <w:pPr>
              <w:pStyle w:val="TableBody"/>
              <w:rPr>
                <w:highlight w:val="yellow"/>
                <w:lang w:val="en-AU"/>
              </w:rPr>
            </w:pPr>
            <w:r w:rsidRPr="00A27C61">
              <w:rPr>
                <w:lang w:val="en-AU"/>
              </w:rPr>
              <w:t>No change to last year</w:t>
            </w:r>
            <w:r w:rsidR="00BB747A">
              <w:rPr>
                <w:lang w:val="en-AU"/>
              </w:rPr>
              <w:t>’s</w:t>
            </w:r>
            <w:r w:rsidR="7E95C06B" w:rsidRPr="00A27C61">
              <w:rPr>
                <w:lang w:val="en-AU"/>
              </w:rPr>
              <w:t xml:space="preserve"> approach</w:t>
            </w:r>
            <w:r w:rsidR="3C55E93D" w:rsidRPr="00A27C61">
              <w:rPr>
                <w:lang w:val="en-AU"/>
              </w:rPr>
              <w:t>.</w:t>
            </w:r>
            <w:r w:rsidR="2E752CAA" w:rsidRPr="00A27C61">
              <w:rPr>
                <w:lang w:val="en-AU"/>
              </w:rPr>
              <w:t xml:space="preserve"> Implied retail margin was 6.</w:t>
            </w:r>
            <w:r w:rsidR="00D92C2C" w:rsidRPr="00A27C61">
              <w:rPr>
                <w:lang w:val="en-AU"/>
              </w:rPr>
              <w:t>8</w:t>
            </w:r>
            <w:r w:rsidR="2E752CAA" w:rsidRPr="00A27C61">
              <w:rPr>
                <w:lang w:val="en-AU"/>
              </w:rPr>
              <w:t>% in 2024</w:t>
            </w:r>
            <w:r w:rsidR="00BB747A">
              <w:rPr>
                <w:lang w:val="en-AU"/>
              </w:rPr>
              <w:t>–‍</w:t>
            </w:r>
            <w:r w:rsidR="2E752CAA" w:rsidRPr="00A27C61">
              <w:rPr>
                <w:lang w:val="en-AU"/>
              </w:rPr>
              <w:t>25. We</w:t>
            </w:r>
            <w:r w:rsidR="19661C44" w:rsidRPr="00A27C61">
              <w:rPr>
                <w:lang w:val="en-AU"/>
              </w:rPr>
              <w:t xml:space="preserve"> will</w:t>
            </w:r>
            <w:r w:rsidR="2E752CAA" w:rsidRPr="00A27C61">
              <w:rPr>
                <w:lang w:val="en-AU"/>
              </w:rPr>
              <w:t xml:space="preserve"> update </w:t>
            </w:r>
            <w:r w:rsidR="004A2839">
              <w:rPr>
                <w:lang w:val="en-AU"/>
              </w:rPr>
              <w:t>it</w:t>
            </w:r>
            <w:r w:rsidR="01E1291D" w:rsidRPr="00A27C61">
              <w:rPr>
                <w:lang w:val="en-AU"/>
              </w:rPr>
              <w:t xml:space="preserve"> </w:t>
            </w:r>
            <w:r w:rsidR="6741DF72" w:rsidRPr="00A27C61">
              <w:rPr>
                <w:lang w:val="en-AU"/>
              </w:rPr>
              <w:t>using DMO 2025</w:t>
            </w:r>
            <w:r w:rsidR="00BB747A">
              <w:rPr>
                <w:lang w:val="en-AU"/>
              </w:rPr>
              <w:t>–‍</w:t>
            </w:r>
            <w:r w:rsidR="6741DF72" w:rsidRPr="00A27C61">
              <w:rPr>
                <w:lang w:val="en-AU"/>
              </w:rPr>
              <w:t>26 retail cost</w:t>
            </w:r>
          </w:p>
        </w:tc>
      </w:tr>
      <w:tr w:rsidR="00B41008" w:rsidRPr="00C41F8E" w14:paraId="7408BC80" w14:textId="77777777" w:rsidTr="6DDBB550">
        <w:trPr>
          <w:cnfStyle w:val="000000100000" w:firstRow="0" w:lastRow="0" w:firstColumn="0" w:lastColumn="0" w:oddVBand="0" w:evenVBand="0" w:oddHBand="1" w:evenHBand="0" w:firstRowFirstColumn="0" w:firstRowLastColumn="0" w:lastRowFirstColumn="0" w:lastRowLastColumn="0"/>
          <w:trHeight w:val="599"/>
        </w:trPr>
        <w:tc>
          <w:tcPr>
            <w:tcW w:w="2545" w:type="dxa"/>
          </w:tcPr>
          <w:p w14:paraId="70C4F148" w14:textId="010224BA" w:rsidR="00B41008" w:rsidRPr="00872E1E" w:rsidRDefault="00B41008" w:rsidP="00DA436D">
            <w:pPr>
              <w:pStyle w:val="TableBody"/>
            </w:pPr>
            <w:r w:rsidRPr="00872E1E">
              <w:t>Essential Services Commission</w:t>
            </w:r>
          </w:p>
        </w:tc>
        <w:tc>
          <w:tcPr>
            <w:tcW w:w="2122" w:type="dxa"/>
          </w:tcPr>
          <w:p w14:paraId="3A51D5DB" w14:textId="71E3066A" w:rsidR="00B41008" w:rsidRPr="00872E1E" w:rsidRDefault="00B41008" w:rsidP="00DA436D">
            <w:pPr>
              <w:pStyle w:val="TableBody"/>
            </w:pPr>
            <w:r w:rsidRPr="00C71249">
              <w:t xml:space="preserve">Expected </w:t>
            </w:r>
            <w:r w:rsidR="00BB747A">
              <w:t>r</w:t>
            </w:r>
            <w:r w:rsidRPr="00C71249">
              <w:t xml:space="preserve">eturns </w:t>
            </w:r>
            <w:r w:rsidR="00FD327B">
              <w:t>+</w:t>
            </w:r>
            <w:r w:rsidRPr="00C71249">
              <w:t xml:space="preserve"> </w:t>
            </w:r>
            <w:r w:rsidR="00BB747A">
              <w:t>r</w:t>
            </w:r>
            <w:r w:rsidRPr="00C71249">
              <w:t xml:space="preserve">egulatory </w:t>
            </w:r>
            <w:r w:rsidR="00BB747A">
              <w:t>b</w:t>
            </w:r>
            <w:r w:rsidRPr="00C71249">
              <w:t>enchmarking</w:t>
            </w:r>
            <w:r w:rsidRPr="00384FAA" w:rsidDel="006123C3">
              <w:t xml:space="preserve"> </w:t>
            </w:r>
          </w:p>
        </w:tc>
        <w:tc>
          <w:tcPr>
            <w:tcW w:w="2074" w:type="dxa"/>
          </w:tcPr>
          <w:p w14:paraId="61C194C9" w14:textId="563C7486" w:rsidR="00B41008" w:rsidRPr="00872E1E" w:rsidRDefault="00B10B7D" w:rsidP="00DA436D">
            <w:pPr>
              <w:pStyle w:val="TableBody"/>
            </w:pPr>
            <w:r>
              <w:t>5.3</w:t>
            </w:r>
            <w:r w:rsidR="00B41008" w:rsidRPr="00872E1E">
              <w:t>% of total cost stack, or $</w:t>
            </w:r>
            <w:r>
              <w:t>80</w:t>
            </w:r>
          </w:p>
        </w:tc>
        <w:tc>
          <w:tcPr>
            <w:tcW w:w="2330" w:type="dxa"/>
          </w:tcPr>
          <w:p w14:paraId="5A75CB65" w14:textId="2D7A15E2" w:rsidR="00B41008" w:rsidRPr="00D57046" w:rsidRDefault="007743AB" w:rsidP="00DA436D">
            <w:pPr>
              <w:pStyle w:val="TableBody"/>
              <w:rPr>
                <w:highlight w:val="yellow"/>
              </w:rPr>
            </w:pPr>
            <w:r w:rsidRPr="00560B86">
              <w:t>5.0</w:t>
            </w:r>
            <w:r w:rsidR="00B41008" w:rsidRPr="00560B86">
              <w:t xml:space="preserve">% of total cost stack, </w:t>
            </w:r>
            <w:r w:rsidR="00B41008" w:rsidRPr="00452D89">
              <w:t>or $</w:t>
            </w:r>
            <w:r w:rsidR="00560B86" w:rsidRPr="00452D89">
              <w:t>76</w:t>
            </w:r>
          </w:p>
        </w:tc>
      </w:tr>
    </w:tbl>
    <w:p w14:paraId="282AFFF4" w14:textId="4DE0B235" w:rsidR="006E1F19" w:rsidRDefault="006E1F19" w:rsidP="006E1F19">
      <w:pPr>
        <w:pStyle w:val="Caption"/>
      </w:pPr>
      <w:r>
        <w:t xml:space="preserve">Source: </w:t>
      </w:r>
      <w:r w:rsidR="00B75DC7">
        <w:t>Published report</w:t>
      </w:r>
      <w:r w:rsidR="00BA209E">
        <w:t xml:space="preserve">s </w:t>
      </w:r>
      <w:r w:rsidR="00243961">
        <w:t>for</w:t>
      </w:r>
      <w:r w:rsidR="008C4322">
        <w:t xml:space="preserve"> </w:t>
      </w:r>
      <w:r w:rsidR="00790BD7">
        <w:t xml:space="preserve">each </w:t>
      </w:r>
      <w:r w:rsidR="00243961">
        <w:t>jurisdiction. See footnotes in table.</w:t>
      </w:r>
    </w:p>
    <w:p w14:paraId="16D24239" w14:textId="43CA1CF2" w:rsidR="00592377" w:rsidRPr="003D0260" w:rsidRDefault="00592377" w:rsidP="00592377">
      <w:pPr>
        <w:pStyle w:val="Heading4"/>
      </w:pPr>
      <w:r>
        <w:lastRenderedPageBreak/>
        <w:t xml:space="preserve">Five per cent is within </w:t>
      </w:r>
      <w:r w:rsidR="7C188BE6">
        <w:t xml:space="preserve">reasonable </w:t>
      </w:r>
      <w:r>
        <w:t>range from the expected returns approach</w:t>
      </w:r>
    </w:p>
    <w:p w14:paraId="1B435149" w14:textId="3FA63EDE" w:rsidR="00592377" w:rsidRPr="007F1CC6" w:rsidRDefault="00592377" w:rsidP="00592377">
      <w:r w:rsidRPr="005F6F42">
        <w:t>When we recommended our Victorian Default Offer prices in 2019, we engaged Frontier Economics to provide a report on retailers’ retail operating margins. This report included two approaches: the regulatory benchmarking approach and the expected returns approach. The reasonable range using the expected return</w:t>
      </w:r>
      <w:r w:rsidR="00007FAF">
        <w:t>s</w:t>
      </w:r>
      <w:r w:rsidRPr="005F6F42">
        <w:t xml:space="preserve"> approach </w:t>
      </w:r>
      <w:r w:rsidRPr="001A3635">
        <w:t xml:space="preserve">was </w:t>
      </w:r>
      <w:r w:rsidRPr="00A27C61">
        <w:t>between 4.8 and 6.1 per cent</w:t>
      </w:r>
      <w:r w:rsidRPr="001A3635">
        <w:t>.</w:t>
      </w:r>
      <w:r w:rsidRPr="001A3635">
        <w:rPr>
          <w:rStyle w:val="FootnoteReference"/>
        </w:rPr>
        <w:footnoteReference w:id="151"/>
      </w:r>
      <w:r w:rsidRPr="009D3A59">
        <w:t xml:space="preserve"> </w:t>
      </w:r>
    </w:p>
    <w:p w14:paraId="0092296D" w14:textId="76FEB959" w:rsidR="00592377" w:rsidRPr="00C71EC0" w:rsidRDefault="00592377" w:rsidP="00592377">
      <w:r w:rsidRPr="00C71EC0">
        <w:t>Recently, the Independent Competition and Regulatory Commission engaged Frontier Economics to undertake similar work for their draft decision on standing offer prices to apply between 2024–</w:t>
      </w:r>
      <w:r w:rsidR="00090DFF">
        <w:t>‍</w:t>
      </w:r>
      <w:r w:rsidRPr="00C71EC0">
        <w:t xml:space="preserve">25 and 2026–27. </w:t>
      </w:r>
      <w:r w:rsidRPr="001A3635">
        <w:t xml:space="preserve">Frontier </w:t>
      </w:r>
      <w:r w:rsidR="00831E7B" w:rsidRPr="00C71EC0">
        <w:t>Economics</w:t>
      </w:r>
      <w:r w:rsidRPr="001A3635">
        <w:t xml:space="preserve"> estimated range from the expected returns approach </w:t>
      </w:r>
      <w:r w:rsidRPr="00A27C61">
        <w:t>was 4.5 to 5.9 per cent</w:t>
      </w:r>
      <w:r w:rsidRPr="001A3635">
        <w:t>.</w:t>
      </w:r>
      <w:r w:rsidRPr="001A3635">
        <w:rPr>
          <w:rStyle w:val="FootnoteReference"/>
        </w:rPr>
        <w:footnoteReference w:id="152"/>
      </w:r>
    </w:p>
    <w:p w14:paraId="5FB0FD60" w14:textId="44500359" w:rsidR="006B6A93" w:rsidRPr="007F1CC6" w:rsidRDefault="00592377" w:rsidP="00592377">
      <w:r>
        <w:t xml:space="preserve">Our final decision to set the retail operating margin at five per cent is within the </w:t>
      </w:r>
      <w:r w:rsidR="264120C9">
        <w:t xml:space="preserve">reasonable </w:t>
      </w:r>
      <w:r>
        <w:t>ranges estimated by Frontier Economics both in 2019 and updated in 2024.</w:t>
      </w:r>
    </w:p>
    <w:p w14:paraId="6393A60B" w14:textId="2C6C3DE8" w:rsidR="00546615" w:rsidRDefault="00F02F99" w:rsidP="00F674B9">
      <w:pPr>
        <w:pStyle w:val="Heading4"/>
      </w:pPr>
      <w:r>
        <w:t xml:space="preserve">There continues to be many </w:t>
      </w:r>
      <w:proofErr w:type="gramStart"/>
      <w:r w:rsidR="3EBECA1E">
        <w:t>market</w:t>
      </w:r>
      <w:proofErr w:type="gramEnd"/>
      <w:r>
        <w:t xml:space="preserve"> offers priced below the Victorian Default Offer</w:t>
      </w:r>
    </w:p>
    <w:p w14:paraId="19090923" w14:textId="44D56333" w:rsidR="00594EC7" w:rsidRPr="0017368B" w:rsidRDefault="00F02F99" w:rsidP="4EB6CF14">
      <w:pPr>
        <w:tabs>
          <w:tab w:val="left" w:pos="5250"/>
        </w:tabs>
        <w:rPr>
          <w:rFonts w:ascii="Tahoma" w:eastAsiaTheme="majorEastAsia" w:hAnsi="Tahoma" w:cstheme="majorBidi"/>
          <w:b/>
          <w:bCs/>
          <w:color w:val="75787B" w:themeColor="background2"/>
        </w:rPr>
      </w:pPr>
      <w:r>
        <w:t xml:space="preserve">In the past year, </w:t>
      </w:r>
      <w:r w:rsidR="00661BB9">
        <w:t>we have</w:t>
      </w:r>
      <w:r>
        <w:t xml:space="preserve"> continued </w:t>
      </w:r>
      <w:r w:rsidR="00B95C20">
        <w:t xml:space="preserve">to </w:t>
      </w:r>
      <w:r>
        <w:t>monitor market offer prices using Victoria</w:t>
      </w:r>
      <w:r w:rsidR="00072C54">
        <w:t>n</w:t>
      </w:r>
      <w:r>
        <w:t xml:space="preserve"> Energy Compare data. </w:t>
      </w:r>
      <w:r w:rsidR="00521D3A">
        <w:t xml:space="preserve">Based on our </w:t>
      </w:r>
      <w:r w:rsidR="357971AB">
        <w:t xml:space="preserve">internal </w:t>
      </w:r>
      <w:r w:rsidR="00521D3A">
        <w:t xml:space="preserve">analysis of bills paid, the prices consumers have generally paid retailers have been below the Victorian Default Offer prices. </w:t>
      </w:r>
      <w:r>
        <w:t xml:space="preserve">From July 2024 to </w:t>
      </w:r>
      <w:r w:rsidR="00E26DEA">
        <w:t>February</w:t>
      </w:r>
      <w:r>
        <w:t xml:space="preserve"> 2025, we continued to see median market offers priced below the Victorian Default Offer. </w:t>
      </w:r>
      <w:r w:rsidR="00CC1BC1">
        <w:t xml:space="preserve">This is consistent with </w:t>
      </w:r>
      <w:r w:rsidR="00FB4355">
        <w:t>a</w:t>
      </w:r>
      <w:r w:rsidR="00CC1BC1">
        <w:t xml:space="preserve"> trend observed since 2020.</w:t>
      </w:r>
      <w:r w:rsidR="00D77E13">
        <w:t xml:space="preserve"> This </w:t>
      </w:r>
      <w:r w:rsidR="007E354D">
        <w:t xml:space="preserve">suggests </w:t>
      </w:r>
      <w:r w:rsidR="00D77E13">
        <w:t xml:space="preserve">that </w:t>
      </w:r>
      <w:r w:rsidR="00147288">
        <w:t>the</w:t>
      </w:r>
      <w:r w:rsidR="00D77E13">
        <w:t xml:space="preserve"> </w:t>
      </w:r>
      <w:r w:rsidR="00767D99">
        <w:t>Victorian</w:t>
      </w:r>
      <w:r w:rsidR="00D77E13">
        <w:t xml:space="preserve"> </w:t>
      </w:r>
      <w:r w:rsidR="00767D99">
        <w:t>Default</w:t>
      </w:r>
      <w:r w:rsidR="00D77E13">
        <w:t xml:space="preserve"> Offer</w:t>
      </w:r>
      <w:r w:rsidR="00880AD2">
        <w:t xml:space="preserve"> is not below the efficient cost</w:t>
      </w:r>
      <w:r w:rsidR="008E50FD">
        <w:t>.</w:t>
      </w:r>
    </w:p>
    <w:p w14:paraId="5A54AF56" w14:textId="724CDF90" w:rsidR="00F02F99" w:rsidRPr="002272D3" w:rsidRDefault="00F02F99" w:rsidP="00F02F99">
      <w:pPr>
        <w:pStyle w:val="Heading4"/>
      </w:pPr>
      <w:r w:rsidRPr="002272D3">
        <w:t xml:space="preserve">We have monitored retailers’ actual margins </w:t>
      </w:r>
      <w:r w:rsidR="009D35BD">
        <w:t>in Victoria and other jurisdictions</w:t>
      </w:r>
    </w:p>
    <w:p w14:paraId="7DD752ED" w14:textId="1B4DFC8F" w:rsidR="00F02F99" w:rsidRDefault="00F02F99" w:rsidP="00F02F99">
      <w:r w:rsidRPr="002272D3">
        <w:t>We have</w:t>
      </w:r>
      <w:r w:rsidRPr="002272D3" w:rsidDel="00A73688">
        <w:t xml:space="preserve"> </w:t>
      </w:r>
      <w:r w:rsidRPr="002272D3">
        <w:t>monitored retailers</w:t>
      </w:r>
      <w:r w:rsidR="00786BBC">
        <w:t>’</w:t>
      </w:r>
      <w:r w:rsidRPr="002272D3">
        <w:t xml:space="preserve"> actual operating margins to</w:t>
      </w:r>
      <w:r w:rsidRPr="0040462E">
        <w:t xml:space="preserve"> cross check our decision on the benchmark retail operating margin for </w:t>
      </w:r>
      <w:r w:rsidRPr="00226692">
        <w:t>2025</w:t>
      </w:r>
      <w:r w:rsidR="008F3A9C">
        <w:t>–</w:t>
      </w:r>
      <w:r w:rsidRPr="00226692">
        <w:t>26</w:t>
      </w:r>
      <w:r w:rsidRPr="0040462E">
        <w:t>.</w:t>
      </w:r>
      <w:r>
        <w:t xml:space="preserve"> We </w:t>
      </w:r>
      <w:r w:rsidR="0040419C">
        <w:t>calculated</w:t>
      </w:r>
      <w:r>
        <w:t xml:space="preserve"> actual retail margins as retail businesses’ earnings before interests, tax, depreciation and amortisation (EBITDA).</w:t>
      </w:r>
      <w:r w:rsidRPr="0040462E">
        <w:t xml:space="preserve"> </w:t>
      </w:r>
    </w:p>
    <w:p w14:paraId="58B2B685" w14:textId="59CF8862" w:rsidR="00362AC4" w:rsidRDefault="00362AC4" w:rsidP="00F02F99">
      <w:r w:rsidRPr="00AB4F1D">
        <w:t xml:space="preserve">EBITDA is measure of businesses' returns that reflects capital depreciation and amortisation, and which is also used by other regulators' in assessing observed retailer margins, for example the Australian Competition and Consumer Commission in its </w:t>
      </w:r>
      <w:r w:rsidR="004C238C" w:rsidRPr="00AB4F1D">
        <w:t xml:space="preserve">Retail </w:t>
      </w:r>
      <w:r w:rsidR="00012FE6" w:rsidRPr="00AB4F1D">
        <w:t>Electricity Pricing Inquiry</w:t>
      </w:r>
      <w:r w:rsidR="00205DC1" w:rsidRPr="00AB4F1D">
        <w:t>.</w:t>
      </w:r>
      <w:r w:rsidR="00B52991">
        <w:rPr>
          <w:rStyle w:val="FootnoteReference"/>
        </w:rPr>
        <w:footnoteReference w:id="153"/>
      </w:r>
    </w:p>
    <w:p w14:paraId="2120A636" w14:textId="76724004" w:rsidR="00F02F99" w:rsidRPr="00F9661A" w:rsidRDefault="00F02F99" w:rsidP="00F02F99">
      <w:r w:rsidRPr="005B3832">
        <w:t xml:space="preserve">Based on </w:t>
      </w:r>
      <w:r w:rsidR="00682372">
        <w:t>the</w:t>
      </w:r>
      <w:r w:rsidRPr="005B3832">
        <w:t xml:space="preserve"> revenue </w:t>
      </w:r>
      <w:r w:rsidRPr="00F9661A">
        <w:t xml:space="preserve">and cost data we collected from retailers, </w:t>
      </w:r>
      <w:r w:rsidR="003F7B50" w:rsidRPr="00F9661A">
        <w:t xml:space="preserve">Victorian </w:t>
      </w:r>
      <w:r w:rsidRPr="00F9661A">
        <w:t xml:space="preserve">retailers’ actual, average operating margin </w:t>
      </w:r>
      <w:r w:rsidR="00311D21" w:rsidRPr="00F9661A">
        <w:t xml:space="preserve">has reduced from </w:t>
      </w:r>
      <w:r w:rsidR="000F4F1E" w:rsidRPr="00F9661A">
        <w:t xml:space="preserve">about 4.6 </w:t>
      </w:r>
      <w:r w:rsidR="00311D21" w:rsidRPr="00F9661A">
        <w:t>per cent in</w:t>
      </w:r>
      <w:r w:rsidRPr="00F9661A">
        <w:t xml:space="preserve"> </w:t>
      </w:r>
      <w:r w:rsidR="00AE55B5" w:rsidRPr="00F9661A">
        <w:t xml:space="preserve">the </w:t>
      </w:r>
      <w:r w:rsidRPr="00F9661A">
        <w:t>2023</w:t>
      </w:r>
      <w:r w:rsidR="007A0D86" w:rsidRPr="00F9661A">
        <w:t xml:space="preserve"> </w:t>
      </w:r>
      <w:r w:rsidR="001D7F35" w:rsidRPr="00F9661A">
        <w:t>financial year</w:t>
      </w:r>
      <w:r w:rsidR="007A0D86" w:rsidRPr="00F9661A">
        <w:t xml:space="preserve"> </w:t>
      </w:r>
      <w:r w:rsidR="00311D21" w:rsidRPr="00F9661A">
        <w:t>to ab</w:t>
      </w:r>
      <w:r w:rsidR="00C401C6" w:rsidRPr="00F9661A">
        <w:t xml:space="preserve">out </w:t>
      </w:r>
      <w:r w:rsidR="000F4F1E" w:rsidRPr="00F9661A">
        <w:t>2.</w:t>
      </w:r>
      <w:r w:rsidR="008D5DDA" w:rsidRPr="00F9661A">
        <w:t>8</w:t>
      </w:r>
      <w:r w:rsidR="000F4F1E" w:rsidRPr="00F9661A">
        <w:t xml:space="preserve"> </w:t>
      </w:r>
      <w:r w:rsidR="00C401C6" w:rsidRPr="00F9661A">
        <w:t xml:space="preserve">per cent in </w:t>
      </w:r>
      <w:r w:rsidR="00814031" w:rsidRPr="00F9661A">
        <w:t xml:space="preserve">the </w:t>
      </w:r>
      <w:r w:rsidR="00D158BD" w:rsidRPr="00F9661A">
        <w:t>2024</w:t>
      </w:r>
      <w:r w:rsidR="001D7F35" w:rsidRPr="00F9661A">
        <w:t xml:space="preserve"> financial year</w:t>
      </w:r>
      <w:r w:rsidR="00311D21" w:rsidRPr="00F9661A">
        <w:t>.</w:t>
      </w:r>
      <w:r w:rsidRPr="00F9661A">
        <w:t xml:space="preserve"> </w:t>
      </w:r>
      <w:r w:rsidR="00751939" w:rsidRPr="00F9661A">
        <w:t>These are lower than our regulated margin</w:t>
      </w:r>
      <w:r w:rsidR="000F4F1E" w:rsidRPr="00F9661A">
        <w:t xml:space="preserve"> decision</w:t>
      </w:r>
      <w:r w:rsidR="00751939" w:rsidRPr="00F9661A">
        <w:t xml:space="preserve"> at </w:t>
      </w:r>
      <w:r w:rsidR="000F4F1E" w:rsidRPr="00F9661A">
        <w:t xml:space="preserve">five </w:t>
      </w:r>
      <w:r w:rsidR="00314B69" w:rsidRPr="00F9661A">
        <w:t>per cent</w:t>
      </w:r>
      <w:r w:rsidR="0088361D" w:rsidRPr="00F9661A">
        <w:t>.</w:t>
      </w:r>
    </w:p>
    <w:p w14:paraId="7C951BB6" w14:textId="484DA389" w:rsidR="00F02F99" w:rsidRDefault="00FB60AA" w:rsidP="00F02F99">
      <w:r w:rsidRPr="00F9661A">
        <w:lastRenderedPageBreak/>
        <w:t>Historical</w:t>
      </w:r>
      <w:r w:rsidR="00F02F99" w:rsidRPr="00F9661A">
        <w:t xml:space="preserve"> actual margins in Victoria based on our</w:t>
      </w:r>
      <w:r w:rsidR="00F02F99">
        <w:t xml:space="preserve"> data and calculations</w:t>
      </w:r>
      <w:r>
        <w:t xml:space="preserve"> are listed in </w:t>
      </w:r>
      <w:r w:rsidR="002B4AFE">
        <w:t xml:space="preserve">Figure </w:t>
      </w:r>
      <w:r w:rsidR="005D065B">
        <w:t>6</w:t>
      </w:r>
      <w:r w:rsidR="00881858">
        <w:t xml:space="preserve">. Comparing the </w:t>
      </w:r>
      <w:r w:rsidR="004F3949">
        <w:t xml:space="preserve">actual margin </w:t>
      </w:r>
      <w:r w:rsidR="00881858">
        <w:t xml:space="preserve">data with our </w:t>
      </w:r>
      <w:r w:rsidR="000426B0">
        <w:t>final</w:t>
      </w:r>
      <w:r w:rsidR="00AE2FBB">
        <w:t xml:space="preserve"> </w:t>
      </w:r>
      <w:r w:rsidR="00881858">
        <w:t xml:space="preserve">decision </w:t>
      </w:r>
      <w:r w:rsidR="004F3949">
        <w:t xml:space="preserve">shows that our </w:t>
      </w:r>
      <w:r w:rsidR="000426B0">
        <w:t>final</w:t>
      </w:r>
      <w:r w:rsidR="00AE2FBB">
        <w:t xml:space="preserve"> </w:t>
      </w:r>
      <w:r w:rsidR="00E66A6B">
        <w:t xml:space="preserve">decision </w:t>
      </w:r>
      <w:r w:rsidR="004F3949">
        <w:t>still provide</w:t>
      </w:r>
      <w:r w:rsidR="00E66A6B">
        <w:t>s</w:t>
      </w:r>
      <w:r w:rsidR="004F3949">
        <w:t xml:space="preserve"> </w:t>
      </w:r>
      <w:r w:rsidR="00786BBC">
        <w:t xml:space="preserve">a </w:t>
      </w:r>
      <w:r w:rsidR="004F3949">
        <w:t>sufficient margin for</w:t>
      </w:r>
      <w:r w:rsidR="000416B9">
        <w:t xml:space="preserve"> electricity</w:t>
      </w:r>
      <w:r w:rsidR="004F3949">
        <w:t xml:space="preserve"> retailers</w:t>
      </w:r>
      <w:r w:rsidR="000416B9">
        <w:t xml:space="preserve"> operating in Victoria.</w:t>
      </w:r>
    </w:p>
    <w:p w14:paraId="606F7C70" w14:textId="1EE6C456" w:rsidR="00A511C6" w:rsidRDefault="00A511C6" w:rsidP="00E416E1">
      <w:pPr>
        <w:pStyle w:val="Figure-Table-BoxHeading"/>
        <w:rPr>
          <w:lang w:val="en-AU"/>
        </w:rPr>
      </w:pPr>
      <w:r w:rsidRPr="1AE03FD3">
        <w:rPr>
          <w:lang w:val="en-AU"/>
        </w:rPr>
        <w:t xml:space="preserve">Figure </w:t>
      </w:r>
      <w:r w:rsidR="0004234D">
        <w:rPr>
          <w:lang w:val="en-AU"/>
        </w:rPr>
        <w:t>6</w:t>
      </w:r>
      <w:r w:rsidR="00007620">
        <w:rPr>
          <w:lang w:val="en-AU"/>
        </w:rPr>
        <w:t>:</w:t>
      </w:r>
      <w:r w:rsidR="009A21D9" w:rsidRPr="1AE03FD3">
        <w:rPr>
          <w:lang w:val="en-AU"/>
        </w:rPr>
        <w:t xml:space="preserve"> </w:t>
      </w:r>
      <w:r w:rsidR="00E416E1" w:rsidRPr="1AE03FD3">
        <w:rPr>
          <w:lang w:val="en-AU"/>
        </w:rPr>
        <w:t xml:space="preserve">Historical average EBITDA in Victoria, as a proportion of </w:t>
      </w:r>
      <w:r w:rsidR="005D0862">
        <w:rPr>
          <w:lang w:val="en-AU"/>
        </w:rPr>
        <w:t>domestic</w:t>
      </w:r>
      <w:r w:rsidR="005D0862" w:rsidRPr="1AE03FD3">
        <w:rPr>
          <w:lang w:val="en-AU"/>
        </w:rPr>
        <w:t xml:space="preserve"> </w:t>
      </w:r>
      <w:r w:rsidR="00E416E1" w:rsidRPr="1AE03FD3">
        <w:rPr>
          <w:lang w:val="en-AU"/>
        </w:rPr>
        <w:t>customers revenues, excluding GST</w:t>
      </w:r>
    </w:p>
    <w:p w14:paraId="53F6F22C" w14:textId="02C74AAF" w:rsidR="0055501E" w:rsidRDefault="00BF2173" w:rsidP="005E175A">
      <w:pPr>
        <w:pStyle w:val="Figure-Table-BoxHeading"/>
        <w:jc w:val="center"/>
      </w:pPr>
      <w:r>
        <w:rPr>
          <w:rFonts w:ascii="Arial" w:hAnsi="Arial" w:cs="Arial"/>
          <w:noProof/>
        </w:rPr>
        <w:drawing>
          <wp:inline distT="0" distB="0" distL="0" distR="0" wp14:anchorId="34C8D7D1" wp14:editId="7701E7F8">
            <wp:extent cx="5181600" cy="2924175"/>
            <wp:effectExtent l="0" t="0" r="0" b="9525"/>
            <wp:docPr id="77932057" name="Picture 1" descr="Two series of EBITDA margin, both fluctuates from financial year 2018 to 2024. The percentage EBITDA reads 4.6% in 2023-24 and 2.8% in 2024-25. The dollar term EBITDA reads about $63 in 2023-24 and about $45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2057" name="Picture 1" descr="Two series of EBITDA margin, both fluctuates from financial year 2018 to 2024. The percentage EBITDA reads 4.6% in 2023-24 and 2.8% in 2024-25. The dollar term EBITDA reads about $63 in 2023-24 and about $45 in 2024-2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181600" cy="2924175"/>
                    </a:xfrm>
                    <a:prstGeom prst="rect">
                      <a:avLst/>
                    </a:prstGeom>
                    <a:noFill/>
                    <a:ln>
                      <a:noFill/>
                    </a:ln>
                  </pic:spPr>
                </pic:pic>
              </a:graphicData>
            </a:graphic>
          </wp:inline>
        </w:drawing>
      </w:r>
    </w:p>
    <w:p w14:paraId="1127929D" w14:textId="0AB72948" w:rsidR="00B23699" w:rsidRPr="00A511C6" w:rsidRDefault="00B23699" w:rsidP="003D0260">
      <w:pPr>
        <w:pStyle w:val="Caption"/>
      </w:pPr>
      <w:r w:rsidRPr="00D710D3">
        <w:t xml:space="preserve">Source: </w:t>
      </w:r>
      <w:r>
        <w:t>E</w:t>
      </w:r>
      <w:r w:rsidR="00767B55">
        <w:t xml:space="preserve">ssential </w:t>
      </w:r>
      <w:r>
        <w:t>S</w:t>
      </w:r>
      <w:r w:rsidR="00767B55">
        <w:t xml:space="preserve">ervices </w:t>
      </w:r>
      <w:r>
        <w:t>C</w:t>
      </w:r>
      <w:r w:rsidR="00767B55">
        <w:t>ommission</w:t>
      </w:r>
      <w:r>
        <w:t xml:space="preserve"> analysis based on data requested </w:t>
      </w:r>
      <w:r w:rsidR="00F96D6B">
        <w:t>and received</w:t>
      </w:r>
      <w:r>
        <w:t xml:space="preserve"> from </w:t>
      </w:r>
      <w:r w:rsidR="00F96D6B">
        <w:t xml:space="preserve">a sample of </w:t>
      </w:r>
      <w:r>
        <w:t xml:space="preserve">Victorian retail </w:t>
      </w:r>
      <w:r w:rsidR="00F96D6B">
        <w:t xml:space="preserve">electricity </w:t>
      </w:r>
      <w:r>
        <w:t xml:space="preserve">businesses. </w:t>
      </w:r>
    </w:p>
    <w:p w14:paraId="03FEF7CE" w14:textId="2E99FDD2" w:rsidR="00F02F99" w:rsidRPr="00B372CB" w:rsidRDefault="00F02F99" w:rsidP="000C2D20">
      <w:pPr>
        <w:pStyle w:val="Heading5"/>
      </w:pPr>
      <w:r w:rsidRPr="00B372CB">
        <w:t xml:space="preserve">Actual margin based on </w:t>
      </w:r>
      <w:r w:rsidR="00420FE4" w:rsidRPr="00B372CB">
        <w:t xml:space="preserve">Australian Competition and Consumer Commission’s </w:t>
      </w:r>
      <w:r w:rsidRPr="00B372CB">
        <w:t>electricity market inquiry data</w:t>
      </w:r>
    </w:p>
    <w:p w14:paraId="2EF061A9" w14:textId="3778516D" w:rsidR="0005445F" w:rsidRDefault="00F02F99" w:rsidP="0005445F">
      <w:r w:rsidRPr="00B372CB">
        <w:t xml:space="preserve">We also had regard to actual retail operating margins calculated by </w:t>
      </w:r>
      <w:r w:rsidR="004226C7" w:rsidRPr="00B372CB">
        <w:t xml:space="preserve">the </w:t>
      </w:r>
      <w:r w:rsidRPr="00B372CB">
        <w:t xml:space="preserve">Australian Competition and Consumer Commission as part of </w:t>
      </w:r>
      <w:r w:rsidR="00C438FE" w:rsidRPr="00B372CB">
        <w:t xml:space="preserve">its </w:t>
      </w:r>
      <w:r w:rsidRPr="00B372CB">
        <w:t xml:space="preserve">inquiry into the electricity market. The latest publication reported actual margins by jurisdiction </w:t>
      </w:r>
      <w:r w:rsidR="00197B31" w:rsidRPr="00B372CB">
        <w:t>i</w:t>
      </w:r>
      <w:r w:rsidRPr="00B372CB">
        <w:t xml:space="preserve">n the National </w:t>
      </w:r>
      <w:r w:rsidR="00790837" w:rsidRPr="00B372CB">
        <w:t>Electricity</w:t>
      </w:r>
      <w:r w:rsidRPr="00B372CB">
        <w:t xml:space="preserve"> Market </w:t>
      </w:r>
      <w:r w:rsidR="00197B31" w:rsidRPr="00B372CB">
        <w:t>including</w:t>
      </w:r>
      <w:r w:rsidRPr="00B372CB">
        <w:t xml:space="preserve"> Victoria</w:t>
      </w:r>
      <w:r w:rsidR="00BD1C21">
        <w:t>:</w:t>
      </w:r>
      <w:r w:rsidR="0005445F">
        <w:t xml:space="preserve"> </w:t>
      </w:r>
    </w:p>
    <w:p w14:paraId="56DF69C8" w14:textId="77777777" w:rsidR="0005445F" w:rsidRPr="00FE77A8" w:rsidRDefault="0005445F" w:rsidP="00FE77A8">
      <w:pPr>
        <w:pStyle w:val="ListBullet"/>
      </w:pPr>
      <w:r w:rsidRPr="00FE77A8">
        <w:t xml:space="preserve">Victoria: 5% </w:t>
      </w:r>
    </w:p>
    <w:p w14:paraId="53EA123E" w14:textId="77777777" w:rsidR="0005445F" w:rsidRPr="00FE77A8" w:rsidRDefault="0005445F" w:rsidP="00FE77A8">
      <w:pPr>
        <w:pStyle w:val="ListBullet"/>
      </w:pPr>
      <w:r w:rsidRPr="00FE77A8">
        <w:t xml:space="preserve">New South Wales: 4% </w:t>
      </w:r>
    </w:p>
    <w:p w14:paraId="55CAC6A3" w14:textId="77777777" w:rsidR="0005445F" w:rsidRPr="00FE77A8" w:rsidRDefault="0005445F" w:rsidP="00FE77A8">
      <w:pPr>
        <w:pStyle w:val="ListBullet"/>
      </w:pPr>
      <w:r w:rsidRPr="00FE77A8">
        <w:t>South Australia: 13%</w:t>
      </w:r>
    </w:p>
    <w:p w14:paraId="5F334D8E" w14:textId="77777777" w:rsidR="0005445F" w:rsidRPr="00FE77A8" w:rsidRDefault="0005445F" w:rsidP="00FE77A8">
      <w:pPr>
        <w:pStyle w:val="ListBullet"/>
      </w:pPr>
      <w:r w:rsidRPr="00FE77A8">
        <w:t>South-East Queensland: 9%</w:t>
      </w:r>
    </w:p>
    <w:p w14:paraId="4E332178" w14:textId="57194DB5" w:rsidR="0005445F" w:rsidRPr="00FE77A8" w:rsidRDefault="0005445F" w:rsidP="00FE77A8">
      <w:pPr>
        <w:pStyle w:val="ListBullet"/>
      </w:pPr>
      <w:r w:rsidRPr="00FE77A8">
        <w:t>National Energy Market: 6%</w:t>
      </w:r>
      <w:r w:rsidR="00D64316" w:rsidRPr="00FE77A8">
        <w:t>.</w:t>
      </w:r>
      <w:r w:rsidRPr="008F5B8B">
        <w:rPr>
          <w:rStyle w:val="FootnoteReference"/>
        </w:rPr>
        <w:footnoteReference w:id="154"/>
      </w:r>
    </w:p>
    <w:p w14:paraId="581ACDA8" w14:textId="760BE06B" w:rsidR="00BC1DE6" w:rsidRPr="006A7B7A" w:rsidRDefault="00F35718" w:rsidP="00F02F99">
      <w:r w:rsidRPr="00DF6440">
        <w:lastRenderedPageBreak/>
        <w:t xml:space="preserve">The </w:t>
      </w:r>
      <w:r w:rsidR="00ED221A" w:rsidRPr="00DF6440">
        <w:t>findings from this</w:t>
      </w:r>
      <w:r w:rsidR="00990C89" w:rsidRPr="00DF6440">
        <w:t xml:space="preserve"> inquiry</w:t>
      </w:r>
      <w:r w:rsidRPr="00DF6440">
        <w:t xml:space="preserve"> suggest that </w:t>
      </w:r>
      <w:r w:rsidR="00356C36" w:rsidRPr="00DF6440">
        <w:t>the</w:t>
      </w:r>
      <w:r w:rsidRPr="00DF6440">
        <w:t xml:space="preserve"> actual retail margin in Victoria averaged </w:t>
      </w:r>
      <w:r w:rsidR="00250D62" w:rsidRPr="006A7B7A">
        <w:t>five</w:t>
      </w:r>
      <w:r w:rsidRPr="006A7B7A">
        <w:t xml:space="preserve"> per cent, </w:t>
      </w:r>
      <w:r w:rsidRPr="00DF6440">
        <w:t xml:space="preserve">which aligns with our </w:t>
      </w:r>
      <w:r w:rsidR="008054BC" w:rsidRPr="00DF6440">
        <w:t>final</w:t>
      </w:r>
      <w:r w:rsidR="006179D4" w:rsidRPr="00DF6440">
        <w:t xml:space="preserve"> de</w:t>
      </w:r>
      <w:r w:rsidR="00423466" w:rsidRPr="00DF6440">
        <w:t>cision</w:t>
      </w:r>
      <w:r w:rsidRPr="00DF6440">
        <w:t xml:space="preserve"> margin. The average operating margin across the National Electricity Market region was </w:t>
      </w:r>
      <w:r w:rsidR="00EF30F2" w:rsidRPr="006A7B7A">
        <w:t xml:space="preserve">six </w:t>
      </w:r>
      <w:r w:rsidRPr="006A7B7A">
        <w:t>per cent</w:t>
      </w:r>
      <w:r w:rsidR="008C1D4C" w:rsidRPr="006A7B7A">
        <w:t xml:space="preserve">. </w:t>
      </w:r>
    </w:p>
    <w:p w14:paraId="6306FC98" w14:textId="53C4D9C5" w:rsidR="00B15D65" w:rsidRPr="00882D98" w:rsidRDefault="00B15D65" w:rsidP="00F02F99">
      <w:r w:rsidRPr="00882D98">
        <w:t xml:space="preserve">The report also </w:t>
      </w:r>
      <w:r w:rsidR="0046495D" w:rsidRPr="00882D98">
        <w:t xml:space="preserve">showed </w:t>
      </w:r>
      <w:r w:rsidR="00152A08">
        <w:t xml:space="preserve">that </w:t>
      </w:r>
      <w:r w:rsidR="0046495D" w:rsidRPr="00882D98">
        <w:t xml:space="preserve">while </w:t>
      </w:r>
      <w:r w:rsidR="004B4BD4" w:rsidRPr="00882D98">
        <w:t xml:space="preserve">actual margins fluctuated </w:t>
      </w:r>
      <w:r w:rsidR="00154D04" w:rsidRPr="00882D98">
        <w:t>significantly</w:t>
      </w:r>
      <w:r w:rsidR="004B4BD4" w:rsidRPr="00882D98">
        <w:t xml:space="preserve"> in other jurisdictions</w:t>
      </w:r>
      <w:r w:rsidR="00896663" w:rsidRPr="00882D98">
        <w:t xml:space="preserve"> in recent years</w:t>
      </w:r>
      <w:r w:rsidR="004B4BD4" w:rsidRPr="00882D98">
        <w:t xml:space="preserve">, such as </w:t>
      </w:r>
      <w:r w:rsidR="00896663" w:rsidRPr="00882D98">
        <w:t>New South Wales and South</w:t>
      </w:r>
      <w:r w:rsidR="00B25CC7">
        <w:t>-</w:t>
      </w:r>
      <w:r w:rsidR="00896663" w:rsidRPr="00882D98">
        <w:t xml:space="preserve">East Queensland, </w:t>
      </w:r>
      <w:r w:rsidR="00A26D32" w:rsidRPr="00882D98">
        <w:t xml:space="preserve">margins </w:t>
      </w:r>
      <w:r w:rsidR="001C5A02" w:rsidRPr="00882D98">
        <w:t>in Victoria ha</w:t>
      </w:r>
      <w:r w:rsidR="00B07B7C">
        <w:t>ve</w:t>
      </w:r>
      <w:r w:rsidR="001C5A02" w:rsidRPr="00882D98">
        <w:t xml:space="preserve"> stayed </w:t>
      </w:r>
      <w:r w:rsidR="00B5342C" w:rsidRPr="00882D98">
        <w:t xml:space="preserve">very close to </w:t>
      </w:r>
      <w:r w:rsidR="00B122BC" w:rsidRPr="00882D98">
        <w:t>5 per cent.</w:t>
      </w:r>
      <w:r w:rsidR="00DA34AF" w:rsidRPr="00882D98">
        <w:rPr>
          <w:rStyle w:val="FootnoteReference"/>
        </w:rPr>
        <w:footnoteReference w:id="155"/>
      </w:r>
    </w:p>
    <w:p w14:paraId="64796853" w14:textId="708B6171" w:rsidR="00F02F99" w:rsidRPr="004356D9" w:rsidRDefault="00F02F99" w:rsidP="0011132B">
      <w:pPr>
        <w:pStyle w:val="Heading3"/>
      </w:pPr>
      <w:bookmarkStart w:id="115" w:name="_Toc191027385"/>
      <w:r w:rsidRPr="004356D9">
        <w:t>We have considered submissions on the retail margin</w:t>
      </w:r>
      <w:bookmarkEnd w:id="115"/>
      <w:r w:rsidRPr="004356D9">
        <w:t xml:space="preserve">  </w:t>
      </w:r>
    </w:p>
    <w:p w14:paraId="20A42CF8" w14:textId="053AC8FC" w:rsidR="00F02F99" w:rsidRPr="005C20E4" w:rsidRDefault="00F02F99" w:rsidP="00F02F99">
      <w:r w:rsidRPr="00570471">
        <w:t xml:space="preserve">We received </w:t>
      </w:r>
      <w:r w:rsidR="00A65D41">
        <w:t>10</w:t>
      </w:r>
      <w:r w:rsidR="009200E0" w:rsidRPr="00570471">
        <w:t xml:space="preserve"> </w:t>
      </w:r>
      <w:r w:rsidRPr="00570471">
        <w:t xml:space="preserve">submissions </w:t>
      </w:r>
      <w:r w:rsidR="001E4991" w:rsidRPr="00570471">
        <w:t xml:space="preserve">to our </w:t>
      </w:r>
      <w:r w:rsidR="00152A08">
        <w:t>D</w:t>
      </w:r>
      <w:r w:rsidR="001E4991" w:rsidRPr="00570471">
        <w:t xml:space="preserve">raft </w:t>
      </w:r>
      <w:r w:rsidR="00152A08">
        <w:t>D</w:t>
      </w:r>
      <w:r w:rsidR="001E4991" w:rsidRPr="00570471">
        <w:t xml:space="preserve">ecision </w:t>
      </w:r>
      <w:r w:rsidR="00152A08">
        <w:t>P</w:t>
      </w:r>
      <w:r w:rsidR="001E4991" w:rsidRPr="00570471">
        <w:t xml:space="preserve">aper </w:t>
      </w:r>
      <w:r w:rsidRPr="00570471">
        <w:t>on the retail operating margin</w:t>
      </w:r>
      <w:r w:rsidR="00152A08">
        <w:t>:</w:t>
      </w:r>
      <w:r w:rsidR="00A03530" w:rsidRPr="00570471">
        <w:t xml:space="preserve"> </w:t>
      </w:r>
      <w:r w:rsidR="009200E0" w:rsidRPr="00570471">
        <w:t xml:space="preserve">two </w:t>
      </w:r>
      <w:r w:rsidR="003637A9" w:rsidRPr="00570471">
        <w:t>submissions</w:t>
      </w:r>
      <w:r w:rsidRPr="00570471">
        <w:t xml:space="preserve"> from </w:t>
      </w:r>
      <w:r>
        <w:t>c</w:t>
      </w:r>
      <w:r w:rsidRPr="00570471">
        <w:t>onsumer advocates</w:t>
      </w:r>
      <w:r w:rsidR="003637A9" w:rsidRPr="00570471">
        <w:t xml:space="preserve"> and</w:t>
      </w:r>
      <w:r w:rsidRPr="00570471" w:rsidDel="333A06CF">
        <w:t xml:space="preserve"> </w:t>
      </w:r>
      <w:r w:rsidR="00A65D41">
        <w:t>eight</w:t>
      </w:r>
      <w:r w:rsidR="00ED3A45" w:rsidRPr="00570471">
        <w:t xml:space="preserve"> </w:t>
      </w:r>
      <w:r w:rsidR="003637A9" w:rsidRPr="00570471">
        <w:t xml:space="preserve">submissions </w:t>
      </w:r>
      <w:r w:rsidRPr="00570471">
        <w:t xml:space="preserve">from </w:t>
      </w:r>
      <w:r w:rsidR="00EA77BA" w:rsidRPr="00570471">
        <w:t>the retail industry including</w:t>
      </w:r>
      <w:r w:rsidRPr="00570471">
        <w:t xml:space="preserve"> the Australian Energy Council</w:t>
      </w:r>
      <w:r w:rsidRPr="005C20E4">
        <w:t>.</w:t>
      </w:r>
      <w:r w:rsidR="00282995" w:rsidRPr="00282995">
        <w:rPr>
          <w:rStyle w:val="FootnoteReference"/>
        </w:rPr>
        <w:t xml:space="preserve"> </w:t>
      </w:r>
      <w:r w:rsidR="00282995" w:rsidRPr="002D31B7">
        <w:rPr>
          <w:rStyle w:val="FootnoteReference"/>
        </w:rPr>
        <w:footnoteReference w:id="156"/>
      </w:r>
      <w:r w:rsidR="00282995" w:rsidRPr="002D31B7">
        <w:t xml:space="preserve"> </w:t>
      </w:r>
      <w:r w:rsidRPr="002D31B7">
        <w:rPr>
          <w:rStyle w:val="FootnoteReference"/>
        </w:rPr>
        <w:footnoteReference w:id="157"/>
      </w:r>
      <w:r w:rsidRPr="005C20E4">
        <w:t xml:space="preserve"> </w:t>
      </w:r>
    </w:p>
    <w:p w14:paraId="643340B3" w14:textId="717866D8" w:rsidR="00F02F99" w:rsidRDefault="00F02F99" w:rsidP="00F02F99">
      <w:r w:rsidRPr="00415815">
        <w:t xml:space="preserve">In general, consumer groups </w:t>
      </w:r>
      <w:r w:rsidR="00F4495C" w:rsidRPr="00415815">
        <w:t>supported</w:t>
      </w:r>
      <w:r w:rsidR="007F2B69" w:rsidRPr="00415815">
        <w:t xml:space="preserve"> the reduction in retail margin</w:t>
      </w:r>
      <w:r w:rsidR="002C1FD7" w:rsidRPr="00415815">
        <w:t>,</w:t>
      </w:r>
      <w:r w:rsidRPr="00415815">
        <w:t xml:space="preserve"> while retailers </w:t>
      </w:r>
      <w:r w:rsidR="007F2B69" w:rsidRPr="00415815">
        <w:t xml:space="preserve">opposed the reduction and </w:t>
      </w:r>
      <w:r w:rsidR="00F01694" w:rsidRPr="00415815">
        <w:t>commented</w:t>
      </w:r>
      <w:r w:rsidR="00DA323E" w:rsidRPr="00415815">
        <w:t xml:space="preserve"> </w:t>
      </w:r>
      <w:r w:rsidR="00C52CE6" w:rsidRPr="00415815">
        <w:t xml:space="preserve">that </w:t>
      </w:r>
      <w:r w:rsidR="00484B39" w:rsidRPr="00415815">
        <w:t>businesse</w:t>
      </w:r>
      <w:r w:rsidR="005B0AFB" w:rsidRPr="00415815">
        <w:t>s need a higher margin for cost risk compensation</w:t>
      </w:r>
      <w:r w:rsidRPr="00415815">
        <w:t>.</w:t>
      </w:r>
    </w:p>
    <w:p w14:paraId="602E1079" w14:textId="42A3FE33" w:rsidR="000F0158" w:rsidRDefault="00263FD6" w:rsidP="000F0158">
      <w:pPr>
        <w:pStyle w:val="Heading5"/>
      </w:pPr>
      <w:r>
        <w:t>Submissions</w:t>
      </w:r>
      <w:r w:rsidR="00FB4B0D">
        <w:t xml:space="preserve"> provided mix</w:t>
      </w:r>
      <w:r w:rsidR="009572FE">
        <w:t>ed</w:t>
      </w:r>
      <w:r w:rsidR="00FB4B0D">
        <w:t xml:space="preserve"> view</w:t>
      </w:r>
      <w:r w:rsidR="009572FE">
        <w:t>s</w:t>
      </w:r>
      <w:r w:rsidR="00FB4B0D">
        <w:t xml:space="preserve"> on</w:t>
      </w:r>
      <w:r w:rsidR="00496C33">
        <w:t xml:space="preserve"> our decision</w:t>
      </w:r>
      <w:r w:rsidR="00603B2B">
        <w:t xml:space="preserve"> to lower the retail margin </w:t>
      </w:r>
    </w:p>
    <w:p w14:paraId="00680BB6" w14:textId="7A4C5C90" w:rsidR="00B14537" w:rsidRDefault="002526CD" w:rsidP="00622F09">
      <w:r>
        <w:t xml:space="preserve">The </w:t>
      </w:r>
      <w:r w:rsidR="00F63E0C" w:rsidRPr="00F63E0C">
        <w:t>C</w:t>
      </w:r>
      <w:r w:rsidR="003C3460">
        <w:t>ustomer Action Law Centre</w:t>
      </w:r>
      <w:r w:rsidR="00F63E0C" w:rsidRPr="00F63E0C">
        <w:t xml:space="preserve"> strongly support</w:t>
      </w:r>
      <w:r w:rsidR="003C3460">
        <w:t>ed</w:t>
      </w:r>
      <w:r w:rsidR="00690385">
        <w:t xml:space="preserve"> our</w:t>
      </w:r>
      <w:r w:rsidR="00F63E0C" w:rsidRPr="00F63E0C">
        <w:t xml:space="preserve"> draft </w:t>
      </w:r>
      <w:r w:rsidR="00690385">
        <w:t xml:space="preserve">decision </w:t>
      </w:r>
      <w:r w:rsidR="00EA5957">
        <w:t>to reduce the margin as</w:t>
      </w:r>
      <w:r w:rsidR="00F63E0C" w:rsidRPr="00F63E0C">
        <w:t xml:space="preserve"> it balances relief for vulnerable consumers against </w:t>
      </w:r>
      <w:r w:rsidR="00D83817">
        <w:t xml:space="preserve">the </w:t>
      </w:r>
      <w:r w:rsidR="00F63E0C" w:rsidRPr="00F63E0C">
        <w:t>retailers making reasonable returns.</w:t>
      </w:r>
      <w:r w:rsidR="0033207A">
        <w:rPr>
          <w:rStyle w:val="FootnoteReference"/>
        </w:rPr>
        <w:footnoteReference w:id="158"/>
      </w:r>
      <w:r w:rsidR="00F63E0C">
        <w:t xml:space="preserve"> </w:t>
      </w:r>
      <w:r w:rsidR="009B4F55">
        <w:t xml:space="preserve">The </w:t>
      </w:r>
      <w:r w:rsidR="00761A17" w:rsidRPr="00F63E0C">
        <w:t>C</w:t>
      </w:r>
      <w:r w:rsidR="00761A17">
        <w:t>ustomer Action Law C</w:t>
      </w:r>
      <w:r w:rsidR="00B14537">
        <w:t xml:space="preserve">entre </w:t>
      </w:r>
      <w:r w:rsidR="00E51F4B">
        <w:t xml:space="preserve">reported </w:t>
      </w:r>
      <w:r w:rsidR="008F7056">
        <w:t xml:space="preserve">in the 2024 calendar </w:t>
      </w:r>
      <w:r w:rsidR="0057234F">
        <w:t xml:space="preserve">that 16 per cent </w:t>
      </w:r>
      <w:r w:rsidR="000D24FB">
        <w:t>of</w:t>
      </w:r>
      <w:r w:rsidR="00A762E8">
        <w:t xml:space="preserve"> Victoria</w:t>
      </w:r>
      <w:r w:rsidR="00744CB9">
        <w:t xml:space="preserve">n callers to </w:t>
      </w:r>
      <w:r w:rsidR="00714558">
        <w:t xml:space="preserve">their national debt helpline </w:t>
      </w:r>
      <w:r w:rsidR="00155ED0">
        <w:t xml:space="preserve">raised energy </w:t>
      </w:r>
      <w:r w:rsidR="00662EF8">
        <w:t>debt as a key financial difficulty</w:t>
      </w:r>
      <w:r w:rsidR="0057234F">
        <w:t xml:space="preserve"> (compared to 12 per cent in the previous year).</w:t>
      </w:r>
      <w:r w:rsidR="00DD18D8">
        <w:t xml:space="preserve"> </w:t>
      </w:r>
      <w:r w:rsidR="0060401A">
        <w:t xml:space="preserve">In its latest </w:t>
      </w:r>
      <w:r w:rsidR="00746DC9">
        <w:t>Energy Assistance Report</w:t>
      </w:r>
      <w:r w:rsidR="0047223F">
        <w:t xml:space="preserve">, the amount of </w:t>
      </w:r>
      <w:r w:rsidR="006F0FEA">
        <w:t>average electricity debt</w:t>
      </w:r>
      <w:r w:rsidR="00D374C7">
        <w:t xml:space="preserve"> </w:t>
      </w:r>
      <w:r w:rsidR="00E03F65">
        <w:t xml:space="preserve">in 2023 </w:t>
      </w:r>
      <w:r w:rsidR="006D2680">
        <w:t>also increase</w:t>
      </w:r>
      <w:r w:rsidR="00E03F65">
        <w:t>d 27</w:t>
      </w:r>
      <w:r w:rsidR="002C44F1">
        <w:t xml:space="preserve"> per cent</w:t>
      </w:r>
      <w:r w:rsidR="00E03F65">
        <w:t xml:space="preserve"> from </w:t>
      </w:r>
      <w:r w:rsidR="00B025BD">
        <w:t>the 2019</w:t>
      </w:r>
      <w:r w:rsidR="00691628" w:rsidRPr="00691628">
        <w:rPr>
          <w:szCs w:val="18"/>
        </w:rPr>
        <w:t>–</w:t>
      </w:r>
      <w:r w:rsidR="00B025BD">
        <w:t>2020 level.</w:t>
      </w:r>
      <w:r w:rsidR="005A6166">
        <w:rPr>
          <w:rStyle w:val="FootnoteReference"/>
        </w:rPr>
        <w:footnoteReference w:id="159"/>
      </w:r>
    </w:p>
    <w:p w14:paraId="1B2A4624" w14:textId="14C8294E" w:rsidR="00C7012A" w:rsidRDefault="00CF7235" w:rsidP="00622F09">
      <w:r>
        <w:lastRenderedPageBreak/>
        <w:t>A</w:t>
      </w:r>
      <w:r w:rsidR="009B4F55">
        <w:t xml:space="preserve"> joint </w:t>
      </w:r>
      <w:r w:rsidR="00415815">
        <w:t>submission</w:t>
      </w:r>
      <w:r w:rsidR="009B4F55">
        <w:t xml:space="preserve"> </w:t>
      </w:r>
      <w:r w:rsidR="00631514">
        <w:t xml:space="preserve">from consumer groups </w:t>
      </w:r>
      <w:r w:rsidR="009B4F55">
        <w:t xml:space="preserve">led by </w:t>
      </w:r>
      <w:r w:rsidR="005672C4" w:rsidRPr="005672C4">
        <w:t>Victorian Council of Social Service</w:t>
      </w:r>
      <w:r w:rsidR="00A64A57">
        <w:t xml:space="preserve"> </w:t>
      </w:r>
      <w:r w:rsidR="004E64AD">
        <w:t xml:space="preserve">considered the </w:t>
      </w:r>
      <w:r w:rsidR="00DF3E70">
        <w:t xml:space="preserve">reduction </w:t>
      </w:r>
      <w:r w:rsidR="00105433">
        <w:t>‘entirely appropriate’</w:t>
      </w:r>
      <w:r w:rsidR="005B05AD">
        <w:t>. It</w:t>
      </w:r>
      <w:r w:rsidR="005B05AD" w:rsidDel="00421235">
        <w:t xml:space="preserve"> </w:t>
      </w:r>
      <w:r w:rsidR="006D3760">
        <w:t>considers</w:t>
      </w:r>
      <w:r w:rsidR="00421235">
        <w:t xml:space="preserve"> </w:t>
      </w:r>
      <w:r w:rsidR="005B05AD">
        <w:t xml:space="preserve">that the Essential Services Commission Act requires us to have regard to the </w:t>
      </w:r>
      <w:r w:rsidR="00B54385">
        <w:t>benefits and costs of regulation to the consumers.</w:t>
      </w:r>
      <w:r w:rsidR="00EE132D">
        <w:rPr>
          <w:rStyle w:val="FootnoteReference"/>
        </w:rPr>
        <w:footnoteReference w:id="160"/>
      </w:r>
      <w:r w:rsidR="0094400F">
        <w:t xml:space="preserve"> </w:t>
      </w:r>
      <w:r w:rsidR="00E65ACC">
        <w:t xml:space="preserve">Energy Consumers </w:t>
      </w:r>
      <w:r w:rsidR="00E754EE">
        <w:t>Australia published</w:t>
      </w:r>
      <w:r w:rsidR="00DD4DAA">
        <w:t xml:space="preserve"> a Consumer Energy Report Card</w:t>
      </w:r>
      <w:r w:rsidR="00CE7985">
        <w:t xml:space="preserve"> based on its survey</w:t>
      </w:r>
      <w:r w:rsidR="00D71868">
        <w:t>, where 82 per cent</w:t>
      </w:r>
      <w:r w:rsidR="003C4B19">
        <w:t xml:space="preserve"> </w:t>
      </w:r>
      <w:r w:rsidR="00136658">
        <w:t>of Victorian respondents</w:t>
      </w:r>
      <w:r w:rsidR="00F16BF2">
        <w:t xml:space="preserve"> were concerned about the cost of electricity</w:t>
      </w:r>
      <w:r w:rsidR="005D129E">
        <w:t>, and 88 per cent</w:t>
      </w:r>
      <w:r w:rsidR="00ED4C1E">
        <w:t xml:space="preserve"> were concerned about cost of living generally.</w:t>
      </w:r>
      <w:r w:rsidR="00ED4C1E">
        <w:rPr>
          <w:rStyle w:val="FootnoteReference"/>
        </w:rPr>
        <w:footnoteReference w:id="161"/>
      </w:r>
    </w:p>
    <w:p w14:paraId="54F627BA" w14:textId="32D529B8" w:rsidR="006C1117" w:rsidRDefault="006C1117" w:rsidP="006C1117">
      <w:r>
        <w:t>Retailers on the other hand disagreed</w:t>
      </w:r>
      <w:r w:rsidR="00586191">
        <w:t xml:space="preserve"> with </w:t>
      </w:r>
      <w:r w:rsidR="00405DCD">
        <w:t>margin</w:t>
      </w:r>
      <w:r w:rsidR="00D8495C">
        <w:t xml:space="preserve"> reduction considering cost-of-living pressure</w:t>
      </w:r>
      <w:r>
        <w:t xml:space="preserve">. Collectively, the retailers said consumer affordability is better addressed by </w:t>
      </w:r>
      <w:r w:rsidR="00075CC6">
        <w:t>government</w:t>
      </w:r>
      <w:r>
        <w:t xml:space="preserve"> energy bill relief</w:t>
      </w:r>
      <w:r w:rsidR="00A3663A">
        <w:t xml:space="preserve"> or</w:t>
      </w:r>
      <w:r>
        <w:t xml:space="preserve"> by hardship assistance payment programs</w:t>
      </w:r>
      <w:r w:rsidR="006A7A83">
        <w:t>.</w:t>
      </w:r>
      <w:r w:rsidR="00B14727">
        <w:rPr>
          <w:rStyle w:val="FootnoteReference"/>
        </w:rPr>
        <w:footnoteReference w:id="162"/>
      </w:r>
      <w:r>
        <w:t xml:space="preserve"> </w:t>
      </w:r>
      <w:r w:rsidR="000A20DB">
        <w:t xml:space="preserve">The </w:t>
      </w:r>
      <w:r>
        <w:t>Australian Energy Council also sai</w:t>
      </w:r>
      <w:r w:rsidR="008318CF">
        <w:t>d</w:t>
      </w:r>
      <w:r>
        <w:t xml:space="preserve"> the review on the Energy Retail Code of Practice provide</w:t>
      </w:r>
      <w:r w:rsidR="0009042E">
        <w:t>s</w:t>
      </w:r>
      <w:r>
        <w:t xml:space="preserve"> </w:t>
      </w:r>
      <w:r w:rsidR="00B97A6F">
        <w:t>a</w:t>
      </w:r>
      <w:r>
        <w:t xml:space="preserve"> better avenue to address cost-of-living issue</w:t>
      </w:r>
      <w:r w:rsidR="007A25EC">
        <w:t>s</w:t>
      </w:r>
      <w:r>
        <w:t xml:space="preserve"> and protection</w:t>
      </w:r>
      <w:r w:rsidR="007A25EC">
        <w:t>s</w:t>
      </w:r>
      <w:r>
        <w:t>.</w:t>
      </w:r>
      <w:r w:rsidR="002D1223">
        <w:rPr>
          <w:rStyle w:val="FootnoteReference"/>
        </w:rPr>
        <w:footnoteReference w:id="163"/>
      </w:r>
    </w:p>
    <w:p w14:paraId="358FC29C" w14:textId="24058ED5" w:rsidR="004B2C55" w:rsidRDefault="00154687" w:rsidP="00EB23DC">
      <w:r w:rsidRPr="00AB4F1D">
        <w:t>The commission considers cost-of-living impacts through multiple regulatory levers – including both the setting of Victorian Default Offer prices and the Energy Retail Code of Practice. The Victorian Default Offer plays a critical role in protecting customers who are unwilling or unable to engage in the competitive market, as it often determines the prices these customers pay</w:t>
      </w:r>
      <w:r w:rsidR="001C0888" w:rsidRPr="00AB4F1D">
        <w:t>.</w:t>
      </w:r>
      <w:r w:rsidR="006C1117" w:rsidRPr="00AB4F1D">
        <w:t xml:space="preserve"> </w:t>
      </w:r>
      <w:r w:rsidR="00CB0209" w:rsidRPr="00AB4F1D">
        <w:t>W</w:t>
      </w:r>
      <w:r w:rsidR="00EC0FC2" w:rsidRPr="00AB4F1D">
        <w:t xml:space="preserve">e have decided to reduce the retail margin to </w:t>
      </w:r>
      <w:r w:rsidR="008A0DA6" w:rsidRPr="00AB4F1D">
        <w:t>five</w:t>
      </w:r>
      <w:r w:rsidR="00EC0FC2" w:rsidRPr="00AB4F1D">
        <w:t xml:space="preserve"> per </w:t>
      </w:r>
      <w:r w:rsidR="00AB238C" w:rsidRPr="00AB4F1D">
        <w:t>cent and</w:t>
      </w:r>
      <w:r w:rsidR="00CB0209" w:rsidRPr="00AB4F1D">
        <w:t xml:space="preserve"> note that</w:t>
      </w:r>
      <w:r w:rsidR="001828E7" w:rsidRPr="00AB4F1D">
        <w:t xml:space="preserve"> </w:t>
      </w:r>
      <w:r w:rsidR="00DC3AB3" w:rsidRPr="00AB4F1D">
        <w:t>this</w:t>
      </w:r>
      <w:r w:rsidR="00EC0FC2" w:rsidRPr="00AB4F1D">
        <w:t xml:space="preserve"> margin remains within the reasonable range estimated using the expected return approach. This is consistent with the requirements of the </w:t>
      </w:r>
      <w:r w:rsidR="008A0DA6" w:rsidRPr="00AB4F1D">
        <w:t>p</w:t>
      </w:r>
      <w:r w:rsidR="00EC0FC2" w:rsidRPr="00AB4F1D">
        <w:t xml:space="preserve">ricing </w:t>
      </w:r>
      <w:r w:rsidR="008A0DA6" w:rsidRPr="00AB4F1D">
        <w:t>o</w:t>
      </w:r>
      <w:r w:rsidR="00EC0FC2" w:rsidRPr="00AB4F1D">
        <w:t xml:space="preserve">rder, that the Victorian Default Offer </w:t>
      </w:r>
      <w:r w:rsidR="00AD2D1C" w:rsidRPr="00AB4F1D">
        <w:t xml:space="preserve">be </w:t>
      </w:r>
      <w:r w:rsidR="00071752" w:rsidRPr="00AB4F1D">
        <w:t xml:space="preserve">based on the </w:t>
      </w:r>
      <w:r w:rsidR="00EC0FC2" w:rsidRPr="00AB4F1D">
        <w:t xml:space="preserve">efficient costs of </w:t>
      </w:r>
      <w:r w:rsidR="006C4A24" w:rsidRPr="00AB4F1D">
        <w:t xml:space="preserve">the sale of </w:t>
      </w:r>
      <w:r w:rsidR="00EC0FC2" w:rsidRPr="00AB4F1D">
        <w:t xml:space="preserve">electricity </w:t>
      </w:r>
      <w:r w:rsidR="006C4A24" w:rsidRPr="00AB4F1D">
        <w:t>by</w:t>
      </w:r>
      <w:r w:rsidR="00134374" w:rsidRPr="00AB4F1D">
        <w:t xml:space="preserve"> a</w:t>
      </w:r>
      <w:r w:rsidR="006C4A24" w:rsidRPr="00AB4F1D">
        <w:t xml:space="preserve"> retailer</w:t>
      </w:r>
      <w:r w:rsidR="00EC0FC2" w:rsidRPr="00AB4F1D">
        <w:t>.</w:t>
      </w:r>
      <w:r w:rsidR="0021046F" w:rsidRPr="003D0260">
        <w:t xml:space="preserve"> </w:t>
      </w:r>
    </w:p>
    <w:p w14:paraId="1CF75AF7" w14:textId="22275294" w:rsidR="007515AC" w:rsidRPr="00333C27" w:rsidRDefault="00333C27" w:rsidP="00EB23DC">
      <w:pPr>
        <w:rPr>
          <w:rFonts w:asciiTheme="majorHAnsi" w:eastAsiaTheme="majorEastAsia" w:hAnsiTheme="majorHAnsi" w:cstheme="majorBidi"/>
          <w:i/>
          <w:color w:val="113048" w:themeColor="accent1" w:themeShade="7F"/>
        </w:rPr>
      </w:pPr>
      <w:r w:rsidRPr="00333C27">
        <w:rPr>
          <w:rFonts w:asciiTheme="majorHAnsi" w:eastAsiaTheme="majorEastAsia" w:hAnsiTheme="majorHAnsi" w:cstheme="majorBidi"/>
          <w:i/>
          <w:color w:val="113048" w:themeColor="accent1" w:themeShade="7F"/>
        </w:rPr>
        <w:t>Expected return approach produce</w:t>
      </w:r>
      <w:r>
        <w:rPr>
          <w:rFonts w:asciiTheme="majorHAnsi" w:eastAsiaTheme="majorEastAsia" w:hAnsiTheme="majorHAnsi" w:cstheme="majorBidi"/>
          <w:i/>
          <w:color w:val="113048" w:themeColor="accent1" w:themeShade="7F"/>
        </w:rPr>
        <w:t>s</w:t>
      </w:r>
      <w:r w:rsidRPr="00333C27">
        <w:rPr>
          <w:rFonts w:asciiTheme="majorHAnsi" w:eastAsiaTheme="majorEastAsia" w:hAnsiTheme="majorHAnsi" w:cstheme="majorBidi"/>
          <w:i/>
          <w:color w:val="113048" w:themeColor="accent1" w:themeShade="7F"/>
        </w:rPr>
        <w:t xml:space="preserve"> a reasonable range to inform our decision on retail margin </w:t>
      </w:r>
    </w:p>
    <w:p w14:paraId="3528FD96" w14:textId="77777777" w:rsidR="007515AC" w:rsidRDefault="007515AC" w:rsidP="007515AC">
      <w:r w:rsidRPr="000D5A3E">
        <w:t>Some retailers have raised concerns about the relevance of referencing the expected return</w:t>
      </w:r>
      <w:r>
        <w:t>s</w:t>
      </w:r>
      <w:r w:rsidRPr="000D5A3E">
        <w:t xml:space="preserve"> range estimated by Frontier Economics in 2024 for the Independent Competition and Regulatory Commission in the context of the Victorian Default Offer. However, it is important to note that the expected return</w:t>
      </w:r>
      <w:r>
        <w:t>s</w:t>
      </w:r>
      <w:r w:rsidRPr="000D5A3E">
        <w:t xml:space="preserve"> approach is based on the forecast returns of both the retailer and the broader market to derive the implied systematic risk of a</w:t>
      </w:r>
      <w:r>
        <w:t>n electricity</w:t>
      </w:r>
      <w:r w:rsidRPr="000D5A3E" w:rsidDel="00B214A9">
        <w:t xml:space="preserve"> </w:t>
      </w:r>
      <w:r w:rsidRPr="000D5A3E">
        <w:t xml:space="preserve">retailer. As such, this methodology is </w:t>
      </w:r>
      <w:r w:rsidRPr="000D5A3E">
        <w:lastRenderedPageBreak/>
        <w:t>not jurisdiction-specific and can be appropriately applied across different regulatory settings, including Victoria.</w:t>
      </w:r>
      <w:r>
        <w:rPr>
          <w:rStyle w:val="FootnoteReference"/>
        </w:rPr>
        <w:footnoteReference w:id="164"/>
      </w:r>
    </w:p>
    <w:p w14:paraId="40DA817C" w14:textId="75023A71" w:rsidR="00205F99" w:rsidRDefault="00F23150" w:rsidP="007515AC">
      <w:r>
        <w:t>A</w:t>
      </w:r>
      <w:r w:rsidR="007515AC">
        <w:t xml:space="preserve"> submission by AGL argued th</w:t>
      </w:r>
      <w:r w:rsidR="003F6A61">
        <w:t>at the</w:t>
      </w:r>
      <w:r w:rsidR="007515AC">
        <w:t xml:space="preserve"> range can be supported only if there </w:t>
      </w:r>
      <w:r w:rsidR="00F40986">
        <w:t xml:space="preserve">are </w:t>
      </w:r>
      <w:r w:rsidR="007515AC">
        <w:t xml:space="preserve">empirical factors leading to an assessment that the input parameters be between low and mid-range scenario. </w:t>
      </w:r>
    </w:p>
    <w:p w14:paraId="09245B3C" w14:textId="4558168C" w:rsidR="007515AC" w:rsidRDefault="006E7C3E" w:rsidP="00EB23DC">
      <w:r w:rsidRPr="00965435">
        <w:t>It should be noted that</w:t>
      </w:r>
      <w:r w:rsidR="003049FE" w:rsidRPr="00965435">
        <w:t xml:space="preserve"> </w:t>
      </w:r>
      <w:r w:rsidR="007515AC" w:rsidRPr="00965435">
        <w:t>Frontier</w:t>
      </w:r>
      <w:r w:rsidR="00AB6DD9" w:rsidRPr="00965435">
        <w:t xml:space="preserve"> Economics</w:t>
      </w:r>
      <w:r w:rsidR="007515AC" w:rsidRPr="00965435">
        <w:t xml:space="preserve"> performed 81 scenarios in </w:t>
      </w:r>
      <w:r w:rsidR="00420FD7" w:rsidRPr="00965435">
        <w:t>its analysis for Essential Services Commission and</w:t>
      </w:r>
      <w:r w:rsidR="007515AC" w:rsidRPr="00965435">
        <w:t xml:space="preserve"> 243 potential scenarios </w:t>
      </w:r>
      <w:r w:rsidR="005E358C" w:rsidRPr="00965435">
        <w:t xml:space="preserve">in its analysis </w:t>
      </w:r>
      <w:r w:rsidR="007515AC" w:rsidRPr="00965435">
        <w:t xml:space="preserve">for </w:t>
      </w:r>
      <w:r w:rsidR="00420FD7" w:rsidRPr="00965435">
        <w:t xml:space="preserve">the Independent Competition and Regulatory Commission </w:t>
      </w:r>
      <w:r w:rsidR="007515AC" w:rsidRPr="00965435">
        <w:t>using various combinations of input assumptions to estimate the retail margin.</w:t>
      </w:r>
      <w:r w:rsidR="00BB5D47" w:rsidRPr="00965435">
        <w:rPr>
          <w:rStyle w:val="FootnoteReference"/>
        </w:rPr>
        <w:footnoteReference w:id="165"/>
      </w:r>
      <w:r w:rsidR="00A043D3" w:rsidRPr="00965435">
        <w:t xml:space="preserve"> </w:t>
      </w:r>
      <w:r w:rsidR="00DC2821" w:rsidRPr="00DC2821">
        <w:t>Given the wide number of scenarios modelled by Frontier, we consider that overall</w:t>
      </w:r>
      <w:r w:rsidR="007515AC" w:rsidRPr="00DC2821">
        <w:t xml:space="preserve"> </w:t>
      </w:r>
      <w:r w:rsidR="004E6642" w:rsidRPr="00DC2821">
        <w:t xml:space="preserve">this </w:t>
      </w:r>
      <w:r w:rsidR="00E53112" w:rsidRPr="00DC2821">
        <w:t>model</w:t>
      </w:r>
      <w:r w:rsidR="00F94A43" w:rsidRPr="00DC2821">
        <w:t xml:space="preserve"> </w:t>
      </w:r>
      <w:r w:rsidR="007515AC" w:rsidRPr="00DC2821">
        <w:t xml:space="preserve">provides a reasonable </w:t>
      </w:r>
      <w:r w:rsidR="00E53112" w:rsidRPr="00DC2821">
        <w:t>range</w:t>
      </w:r>
      <w:r w:rsidR="007515AC" w:rsidRPr="00DC2821">
        <w:t xml:space="preserve"> to inform our decision on the appropriate retail margin</w:t>
      </w:r>
      <w:r w:rsidR="007515AC" w:rsidRPr="00965435">
        <w:t xml:space="preserve">. </w:t>
      </w:r>
      <w:r w:rsidR="00706F86" w:rsidRPr="00965435">
        <w:t>The estimated range was between 4.5 per cent and 5.9 per cent i</w:t>
      </w:r>
      <w:r w:rsidR="007515AC" w:rsidRPr="00965435">
        <w:t xml:space="preserve">n 2024. </w:t>
      </w:r>
      <w:r w:rsidR="003965F5" w:rsidRPr="00965435">
        <w:t>We have set the margin</w:t>
      </w:r>
      <w:r w:rsidR="0073145D" w:rsidRPr="00965435">
        <w:t xml:space="preserve"> </w:t>
      </w:r>
      <w:r w:rsidR="00A427BC" w:rsidRPr="00965435">
        <w:t xml:space="preserve">at 5 </w:t>
      </w:r>
      <w:r w:rsidR="0073145D" w:rsidRPr="00965435">
        <w:t>per cent which is</w:t>
      </w:r>
      <w:r w:rsidR="003965F5" w:rsidRPr="00965435">
        <w:t xml:space="preserve"> close to </w:t>
      </w:r>
      <w:r w:rsidR="007515AC" w:rsidRPr="00965435">
        <w:t>the midpoint of this range</w:t>
      </w:r>
      <w:r w:rsidR="009871C9" w:rsidRPr="00965435">
        <w:t xml:space="preserve"> at 5</w:t>
      </w:r>
      <w:r w:rsidR="00CD0595" w:rsidRPr="00965435">
        <w:t>.2</w:t>
      </w:r>
      <w:r w:rsidR="009871C9" w:rsidRPr="00965435">
        <w:t xml:space="preserve"> per cent.</w:t>
      </w:r>
      <w:r w:rsidR="003D5674" w:rsidRPr="00965435">
        <w:t xml:space="preserve"> </w:t>
      </w:r>
      <w:r w:rsidR="00FC45E1" w:rsidRPr="00965435">
        <w:t>In addition</w:t>
      </w:r>
      <w:r w:rsidR="00D003A2" w:rsidRPr="00965435">
        <w:t>,</w:t>
      </w:r>
      <w:r w:rsidR="00FC45E1" w:rsidRPr="00965435">
        <w:t xml:space="preserve"> in </w:t>
      </w:r>
      <w:r w:rsidR="00E800C6" w:rsidRPr="00965435">
        <w:t>setting</w:t>
      </w:r>
      <w:r w:rsidR="00FC45E1" w:rsidRPr="00965435">
        <w:t xml:space="preserve"> the margin </w:t>
      </w:r>
      <w:r w:rsidR="00043B9F" w:rsidRPr="00965435">
        <w:t xml:space="preserve">within this range, </w:t>
      </w:r>
      <w:r w:rsidR="00FC45E1" w:rsidRPr="00965435">
        <w:t xml:space="preserve">we have regard to other inputs such as </w:t>
      </w:r>
      <w:r w:rsidR="00615987" w:rsidRPr="00965435">
        <w:t xml:space="preserve">other </w:t>
      </w:r>
      <w:r w:rsidR="00E800C6" w:rsidRPr="00965435">
        <w:t xml:space="preserve">regulators’ </w:t>
      </w:r>
      <w:r w:rsidR="00615987" w:rsidRPr="00965435">
        <w:t>margin</w:t>
      </w:r>
      <w:r w:rsidR="00E800C6" w:rsidRPr="00965435">
        <w:t xml:space="preserve"> and </w:t>
      </w:r>
      <w:r w:rsidR="00043B9F" w:rsidRPr="00965435">
        <w:t>retailers’</w:t>
      </w:r>
      <w:r w:rsidR="00115735" w:rsidRPr="00965435">
        <w:t xml:space="preserve"> </w:t>
      </w:r>
      <w:r w:rsidR="00CD0595" w:rsidRPr="00965435">
        <w:t>observed</w:t>
      </w:r>
      <w:r w:rsidR="00E800C6" w:rsidRPr="00965435">
        <w:t xml:space="preserve"> margin.</w:t>
      </w:r>
      <w:r w:rsidR="000419C4">
        <w:rPr>
          <w:rStyle w:val="FootnoteReference"/>
        </w:rPr>
        <w:footnoteReference w:id="166"/>
      </w:r>
    </w:p>
    <w:p w14:paraId="7A75E7B9" w14:textId="5749BB1E" w:rsidR="00285231" w:rsidRPr="004B2C55" w:rsidRDefault="00530524" w:rsidP="00A60565">
      <w:pPr>
        <w:pStyle w:val="Heading5"/>
      </w:pPr>
      <w:r>
        <w:t>We consider the r</w:t>
      </w:r>
      <w:r w:rsidR="00285231" w:rsidRPr="004B2C55">
        <w:t>isk</w:t>
      </w:r>
      <w:r w:rsidR="000D1279" w:rsidRPr="004B2C55">
        <w:t>s associated with the</w:t>
      </w:r>
      <w:r w:rsidR="00285231" w:rsidRPr="004B2C55">
        <w:t xml:space="preserve"> energy transition </w:t>
      </w:r>
      <w:r>
        <w:t xml:space="preserve">are accounted </w:t>
      </w:r>
      <w:r w:rsidR="00BA53B0">
        <w:t xml:space="preserve">for </w:t>
      </w:r>
      <w:r>
        <w:t>in various cost stack</w:t>
      </w:r>
    </w:p>
    <w:p w14:paraId="2BFCFC7C" w14:textId="36AE4B64" w:rsidR="00985730" w:rsidRDefault="47C48939" w:rsidP="0042591A">
      <w:r>
        <w:t>R</w:t>
      </w:r>
      <w:r w:rsidR="00985730">
        <w:t>etailers</w:t>
      </w:r>
      <w:r w:rsidR="691A895A">
        <w:t xml:space="preserve"> also</w:t>
      </w:r>
      <w:r w:rsidR="00985730">
        <w:t xml:space="preserve"> submitted that the transition to more renewable energy sources and more </w:t>
      </w:r>
      <w:r w:rsidR="006C4A24">
        <w:t>c</w:t>
      </w:r>
      <w:r w:rsidR="00985730">
        <w:t xml:space="preserve">ustomer </w:t>
      </w:r>
      <w:r w:rsidR="006C4A24">
        <w:t>e</w:t>
      </w:r>
      <w:r w:rsidR="00985730">
        <w:t xml:space="preserve">nergy </w:t>
      </w:r>
      <w:r w:rsidR="006C4A24">
        <w:t>r</w:t>
      </w:r>
      <w:r w:rsidR="00985730">
        <w:t>esource</w:t>
      </w:r>
      <w:r w:rsidR="007A25EC">
        <w:t>s</w:t>
      </w:r>
      <w:r w:rsidR="00985730">
        <w:t xml:space="preserve"> in the fuel mix poses uncertainty or places pressure on them.</w:t>
      </w:r>
    </w:p>
    <w:p w14:paraId="616FDDF3" w14:textId="3E6908DB" w:rsidR="0042591A" w:rsidRDefault="0042591A" w:rsidP="0042591A">
      <w:r>
        <w:t xml:space="preserve">Powershop said that reasonable retail margin allowances provide sufficient incentives to improve and evolve services; this is crucial in the context of </w:t>
      </w:r>
      <w:r w:rsidR="00CA6FB1">
        <w:t xml:space="preserve">the </w:t>
      </w:r>
      <w:r>
        <w:t>energy transition which decentralises energy flows.</w:t>
      </w:r>
      <w:r>
        <w:rPr>
          <w:rStyle w:val="FootnoteReference"/>
        </w:rPr>
        <w:footnoteReference w:id="167"/>
      </w:r>
      <w:r w:rsidRPr="003D0260">
        <w:t xml:space="preserve"> </w:t>
      </w:r>
    </w:p>
    <w:p w14:paraId="0A9E523D" w14:textId="65693349" w:rsidR="009104FA" w:rsidRDefault="00F94D19" w:rsidP="009104FA">
      <w:r>
        <w:t xml:space="preserve">Alinta Energy submitted that our draft decision to lower the margin will impact retailers’ capacity to invest in product </w:t>
      </w:r>
      <w:r w:rsidR="008735ED">
        <w:t xml:space="preserve">innovation, which supports coordinating the growing penetration of consumer energy resources. </w:t>
      </w:r>
      <w:r w:rsidR="009104FA" w:rsidRPr="004A3A51">
        <w:t xml:space="preserve">The Australian Energy Council </w:t>
      </w:r>
      <w:r w:rsidR="00110F1F">
        <w:t>said a sufficient margin is vital for supporting retailers’ ability to innovate, which is</w:t>
      </w:r>
      <w:r w:rsidR="006C4A24">
        <w:t xml:space="preserve"> an</w:t>
      </w:r>
      <w:r w:rsidR="00110F1F">
        <w:t xml:space="preserve"> important factor in enabling the energy transition. </w:t>
      </w:r>
      <w:r w:rsidR="00F963E2">
        <w:t xml:space="preserve">Both submissions </w:t>
      </w:r>
      <w:r w:rsidR="001506DE">
        <w:t>recommend</w:t>
      </w:r>
      <w:r w:rsidR="00817FC9">
        <w:t>ed</w:t>
      </w:r>
      <w:r w:rsidR="001506DE">
        <w:t xml:space="preserve"> </w:t>
      </w:r>
      <w:r w:rsidR="00817FC9">
        <w:t>increasing the retail margin back to the upper end of Frontier</w:t>
      </w:r>
      <w:r w:rsidR="00C75BCC">
        <w:t xml:space="preserve"> Economics’</w:t>
      </w:r>
      <w:r w:rsidR="00817FC9">
        <w:t xml:space="preserve"> estimated range or </w:t>
      </w:r>
      <w:r w:rsidR="00CA4574">
        <w:t>setting it</w:t>
      </w:r>
      <w:r w:rsidR="00817FC9">
        <w:t xml:space="preserve"> at 5.7</w:t>
      </w:r>
      <w:r w:rsidR="00ED6E61">
        <w:t xml:space="preserve"> per cent</w:t>
      </w:r>
      <w:r w:rsidR="00817FC9">
        <w:t>.</w:t>
      </w:r>
      <w:r w:rsidR="0042591A">
        <w:rPr>
          <w:rStyle w:val="FootnoteReference"/>
        </w:rPr>
        <w:footnoteReference w:id="168"/>
      </w:r>
      <w:r w:rsidR="00817FC9">
        <w:t xml:space="preserve"> </w:t>
      </w:r>
    </w:p>
    <w:p w14:paraId="67754666" w14:textId="6F9E295E" w:rsidR="00250BD2" w:rsidRDefault="004E346B" w:rsidP="4EB6CF14">
      <w:r>
        <w:lastRenderedPageBreak/>
        <w:t>We</w:t>
      </w:r>
      <w:r w:rsidR="001352EF">
        <w:t xml:space="preserve"> note the comments from retailers on growing risks</w:t>
      </w:r>
      <w:r w:rsidR="00B11C25">
        <w:t xml:space="preserve"> associated with the energy transition</w:t>
      </w:r>
      <w:r w:rsidR="00CA4574">
        <w:t>.</w:t>
      </w:r>
      <w:r w:rsidR="001352EF">
        <w:t xml:space="preserve"> </w:t>
      </w:r>
      <w:r w:rsidR="00CA4574">
        <w:t>H</w:t>
      </w:r>
      <w:r w:rsidR="001352EF">
        <w:t xml:space="preserve">owever, </w:t>
      </w:r>
      <w:r w:rsidR="00E931A6">
        <w:t xml:space="preserve">we </w:t>
      </w:r>
      <w:r>
        <w:t>consider that</w:t>
      </w:r>
      <w:r w:rsidR="00285231">
        <w:t xml:space="preserve"> </w:t>
      </w:r>
      <w:r w:rsidR="00767763">
        <w:t>those</w:t>
      </w:r>
      <w:r w:rsidR="00B21AE6">
        <w:t xml:space="preserve"> risk</w:t>
      </w:r>
      <w:r w:rsidR="006D6F46">
        <w:t>s</w:t>
      </w:r>
      <w:r w:rsidR="00B21AE6">
        <w:t xml:space="preserve"> </w:t>
      </w:r>
      <w:r w:rsidR="00654D86">
        <w:t>are already</w:t>
      </w:r>
      <w:r w:rsidR="004435C0">
        <w:t xml:space="preserve"> reflected in the retail margin</w:t>
      </w:r>
      <w:r w:rsidR="00EA48B6">
        <w:t>, or</w:t>
      </w:r>
      <w:r w:rsidR="00654D86">
        <w:t xml:space="preserve"> </w:t>
      </w:r>
      <w:r w:rsidR="00B21AE6">
        <w:t>can be</w:t>
      </w:r>
      <w:r w:rsidR="00654D86">
        <w:t xml:space="preserve"> </w:t>
      </w:r>
      <w:r w:rsidR="00B21AE6">
        <w:t xml:space="preserve">diversified </w:t>
      </w:r>
      <w:r w:rsidR="00642E5F">
        <w:t xml:space="preserve">by retailers </w:t>
      </w:r>
      <w:r w:rsidR="00E56BCD">
        <w:t>using financial instruments</w:t>
      </w:r>
      <w:r w:rsidR="00AD7B4B">
        <w:t xml:space="preserve">, </w:t>
      </w:r>
      <w:r w:rsidR="009A6CE3">
        <w:t xml:space="preserve">hedging strategies, </w:t>
      </w:r>
      <w:r w:rsidR="00AD7B4B">
        <w:t>techn</w:t>
      </w:r>
      <w:r w:rsidR="00507063">
        <w:t>ological innovation</w:t>
      </w:r>
      <w:r w:rsidR="008D7789">
        <w:t>,</w:t>
      </w:r>
      <w:r w:rsidR="00AD7B4B">
        <w:t xml:space="preserve"> and long</w:t>
      </w:r>
      <w:r w:rsidR="00D73BA4">
        <w:t>-</w:t>
      </w:r>
      <w:r w:rsidR="00AD7B4B">
        <w:t xml:space="preserve">term </w:t>
      </w:r>
      <w:r w:rsidR="00D73BA4">
        <w:t xml:space="preserve">hedging </w:t>
      </w:r>
      <w:r w:rsidR="00AD7B4B">
        <w:t>contracts</w:t>
      </w:r>
      <w:r w:rsidR="00BC02C5">
        <w:t>.</w:t>
      </w:r>
      <w:r w:rsidR="00000072">
        <w:t xml:space="preserve"> </w:t>
      </w:r>
    </w:p>
    <w:p w14:paraId="1B861939" w14:textId="6A300B0B" w:rsidR="004A3CC9" w:rsidRDefault="004A3CC9" w:rsidP="00285231">
      <w:r>
        <w:t>Overall, we do not consider t</w:t>
      </w:r>
      <w:r w:rsidR="0006169C">
        <w:t>hat the innovation costs (investments) that retailers expect to incur in response to</w:t>
      </w:r>
      <w:r w:rsidR="004435C0">
        <w:t xml:space="preserve"> the</w:t>
      </w:r>
      <w:r w:rsidR="0006169C">
        <w:t xml:space="preserve"> energy transition </w:t>
      </w:r>
      <w:r w:rsidR="004743D4">
        <w:t xml:space="preserve">should </w:t>
      </w:r>
      <w:r w:rsidR="0006169C">
        <w:t xml:space="preserve">be </w:t>
      </w:r>
      <w:r w:rsidR="00793E11">
        <w:t>added to</w:t>
      </w:r>
      <w:r w:rsidR="00797999">
        <w:t xml:space="preserve"> the cost stack by the operating margin.</w:t>
      </w:r>
    </w:p>
    <w:p w14:paraId="549B69CE" w14:textId="7EEB7A21" w:rsidR="009E5FFF" w:rsidRDefault="009E5FFF" w:rsidP="009E5FFF">
      <w:r>
        <w:t>Powershop discussed that actual wholesale</w:t>
      </w:r>
      <w:r w:rsidR="00B25CC7">
        <w:t>,</w:t>
      </w:r>
      <w:r>
        <w:t xml:space="preserve"> and environmental costs </w:t>
      </w:r>
      <w:r w:rsidR="00A827E0">
        <w:t>‘</w:t>
      </w:r>
      <w:r>
        <w:t xml:space="preserve">are volatile and </w:t>
      </w:r>
      <w:r w:rsidR="00CB604B">
        <w:t>fluctuate</w:t>
      </w:r>
      <w:r>
        <w:t xml:space="preserve"> daily’. When risks and costs are ‘not </w:t>
      </w:r>
      <w:r w:rsidR="00CB604B">
        <w:t>accurately</w:t>
      </w:r>
      <w:r>
        <w:t xml:space="preserve"> priced’, there is insufficient buffer in the margin to compensate taking these risks</w:t>
      </w:r>
      <w:r w:rsidR="002951DE">
        <w:t xml:space="preserve">; </w:t>
      </w:r>
      <w:r w:rsidR="00793E11">
        <w:t xml:space="preserve">and </w:t>
      </w:r>
      <w:r w:rsidR="002951DE">
        <w:t>the</w:t>
      </w:r>
      <w:r>
        <w:t xml:space="preserve"> Victoria</w:t>
      </w:r>
      <w:r w:rsidR="003335CE">
        <w:t>n</w:t>
      </w:r>
      <w:r>
        <w:t xml:space="preserve"> Default Offer margin </w:t>
      </w:r>
      <w:r w:rsidR="00C16CD6">
        <w:t>should</w:t>
      </w:r>
      <w:r>
        <w:t xml:space="preserve"> be higher to address this.</w:t>
      </w:r>
      <w:r w:rsidR="00C930A3">
        <w:rPr>
          <w:rStyle w:val="FootnoteReference"/>
        </w:rPr>
        <w:footnoteReference w:id="169"/>
      </w:r>
      <w:r w:rsidR="00A94885">
        <w:t xml:space="preserve"> </w:t>
      </w:r>
      <w:r w:rsidR="00A94885" w:rsidRPr="00AB4F1D">
        <w:t xml:space="preserve">Powershop also argued that </w:t>
      </w:r>
      <w:r w:rsidR="0055526C" w:rsidRPr="00AB4F1D">
        <w:t xml:space="preserve">retailers are facing pressure to manage the rise of </w:t>
      </w:r>
      <w:r w:rsidR="00F56343" w:rsidRPr="00AB4F1D">
        <w:t>wholesale, network</w:t>
      </w:r>
      <w:r w:rsidR="0055526C" w:rsidRPr="00AB4F1D">
        <w:t xml:space="preserve"> and retail risk</w:t>
      </w:r>
      <w:r w:rsidR="00BE0B46" w:rsidRPr="00AB4F1D">
        <w:t>,</w:t>
      </w:r>
      <w:r w:rsidR="0055526C" w:rsidRPr="00AB4F1D">
        <w:t xml:space="preserve"> which requires them to invest heavily in their </w:t>
      </w:r>
      <w:r w:rsidR="00315FD7" w:rsidRPr="00AB4F1D">
        <w:t>business</w:t>
      </w:r>
      <w:r w:rsidR="0044652A" w:rsidRPr="00AB4F1D">
        <w:t xml:space="preserve"> operation</w:t>
      </w:r>
      <w:r w:rsidR="00BC0954" w:rsidRPr="00AB4F1D">
        <w:t xml:space="preserve"> and</w:t>
      </w:r>
      <w:r w:rsidR="00315FD7" w:rsidRPr="00AB4F1D">
        <w:t xml:space="preserve"> IT system</w:t>
      </w:r>
      <w:r w:rsidR="0056421A">
        <w:t>s</w:t>
      </w:r>
      <w:r w:rsidR="00DE1568" w:rsidRPr="00AB4F1D">
        <w:t>,</w:t>
      </w:r>
      <w:r w:rsidR="00F56343" w:rsidRPr="00AB4F1D">
        <w:t xml:space="preserve"> that </w:t>
      </w:r>
      <w:r w:rsidR="00BE0B46" w:rsidRPr="00AB4F1D">
        <w:t>are</w:t>
      </w:r>
      <w:r w:rsidR="00F56343" w:rsidRPr="00AB4F1D">
        <w:t xml:space="preserve"> being capitalised and need to be recovered over multiple years. </w:t>
      </w:r>
      <w:r w:rsidR="00E26E38" w:rsidRPr="00AB4F1D">
        <w:t>We</w:t>
      </w:r>
      <w:r w:rsidR="00F56343" w:rsidRPr="00AB4F1D">
        <w:t xml:space="preserve"> note that </w:t>
      </w:r>
      <w:r w:rsidR="00E26E38" w:rsidRPr="00AB4F1D">
        <w:t>electricity retailers are not asset heavy business</w:t>
      </w:r>
      <w:r w:rsidR="005067F2" w:rsidRPr="00AB4F1D">
        <w:t>es</w:t>
      </w:r>
      <w:r w:rsidR="00E26E38" w:rsidRPr="00AB4F1D">
        <w:t>, and the operating cost of those investment</w:t>
      </w:r>
      <w:r w:rsidR="00D21AC5">
        <w:t>s</w:t>
      </w:r>
      <w:r w:rsidR="00E26E38" w:rsidRPr="00AB4F1D">
        <w:t xml:space="preserve"> are </w:t>
      </w:r>
      <w:r w:rsidR="00D21AC5">
        <w:t>reflect</w:t>
      </w:r>
      <w:r w:rsidR="006F3BBD">
        <w:t>ed</w:t>
      </w:r>
      <w:r w:rsidR="00E26E38" w:rsidRPr="00AB4F1D">
        <w:t xml:space="preserve"> in </w:t>
      </w:r>
      <w:r w:rsidR="006F3BBD">
        <w:t xml:space="preserve">the </w:t>
      </w:r>
      <w:r w:rsidR="00E26E38" w:rsidRPr="00AB4F1D">
        <w:t xml:space="preserve">retail operating cost </w:t>
      </w:r>
      <w:r w:rsidR="00CC495F">
        <w:t>component of the Victorian Default Offer</w:t>
      </w:r>
      <w:r w:rsidR="00F9068C">
        <w:t>.</w:t>
      </w:r>
    </w:p>
    <w:p w14:paraId="4F66C596" w14:textId="07A086BB" w:rsidR="0013073F" w:rsidRDefault="00A804B8" w:rsidP="00A804B8">
      <w:r w:rsidRPr="00AB4F1D">
        <w:t xml:space="preserve">We </w:t>
      </w:r>
      <w:r w:rsidR="00AB4F1D" w:rsidRPr="00AB4F1D">
        <w:t>also</w:t>
      </w:r>
      <w:r w:rsidRPr="00AB4F1D">
        <w:t xml:space="preserve"> note that the retail margin is applied as a percentage rather than as a </w:t>
      </w:r>
      <w:r w:rsidR="00D230C3">
        <w:t>dollar</w:t>
      </w:r>
      <w:r w:rsidRPr="00AB4F1D">
        <w:t xml:space="preserve"> value. When wholesale and environmental costs in the cost stack increase, the retail margin also increases in dollar terms, as it is calculated as a percentage of total energy costs.</w:t>
      </w:r>
    </w:p>
    <w:p w14:paraId="1F59D104" w14:textId="0E549EC6" w:rsidR="001F7884" w:rsidRDefault="00AE5307" w:rsidP="00E56973">
      <w:pPr>
        <w:rPr>
          <w:rFonts w:asciiTheme="majorHAnsi" w:eastAsiaTheme="majorEastAsia" w:hAnsiTheme="majorHAnsi" w:cstheme="majorBidi"/>
          <w:i/>
          <w:color w:val="113049" w:themeColor="accent1" w:themeShade="80"/>
        </w:rPr>
      </w:pPr>
      <w:r>
        <w:t>I</w:t>
      </w:r>
      <w:r w:rsidR="4FB4F95D">
        <w:t>n addition</w:t>
      </w:r>
      <w:r w:rsidR="00FD7D76">
        <w:t xml:space="preserve">, </w:t>
      </w:r>
      <w:r w:rsidR="00FE13E7">
        <w:t xml:space="preserve">we have </w:t>
      </w:r>
      <w:r w:rsidR="60627C40">
        <w:t>accounted for variability in our approach to calculate</w:t>
      </w:r>
      <w:r w:rsidR="009E460B">
        <w:t xml:space="preserve"> the wholesale</w:t>
      </w:r>
      <w:r w:rsidR="00FE13E7">
        <w:t xml:space="preserve"> and enviro</w:t>
      </w:r>
      <w:r w:rsidR="009E460B">
        <w:t>nmental</w:t>
      </w:r>
      <w:r w:rsidR="00FE13E7">
        <w:t xml:space="preserve"> costs </w:t>
      </w:r>
      <w:r w:rsidR="009E460B">
        <w:t>applicable to the Victorian Default Offer</w:t>
      </w:r>
      <w:r w:rsidR="00FE13E7">
        <w:t xml:space="preserve">. </w:t>
      </w:r>
      <w:r w:rsidR="007934BB">
        <w:t>We consider that o</w:t>
      </w:r>
      <w:r w:rsidR="004B27FA">
        <w:t>ur cost stack</w:t>
      </w:r>
      <w:r w:rsidR="00FE13E7">
        <w:t xml:space="preserve"> </w:t>
      </w:r>
      <w:r w:rsidR="007934BB">
        <w:t xml:space="preserve">provides </w:t>
      </w:r>
      <w:r w:rsidR="00FE13E7">
        <w:t xml:space="preserve">an </w:t>
      </w:r>
      <w:r w:rsidR="008A3511">
        <w:t>appropriate</w:t>
      </w:r>
      <w:r w:rsidR="00FE13E7">
        <w:t xml:space="preserve"> compensation </w:t>
      </w:r>
      <w:r w:rsidR="007934BB">
        <w:t>for</w:t>
      </w:r>
      <w:r w:rsidR="00FE13E7">
        <w:t xml:space="preserve"> the costs that an efficient retailer </w:t>
      </w:r>
      <w:r w:rsidR="008A3511">
        <w:t>incurs</w:t>
      </w:r>
      <w:r w:rsidR="00FE13E7">
        <w:t xml:space="preserve">. </w:t>
      </w:r>
      <w:r w:rsidR="004B27FA">
        <w:t>Considering</w:t>
      </w:r>
      <w:r w:rsidR="001D6051">
        <w:t xml:space="preserve"> a higher margin to further compensate </w:t>
      </w:r>
      <w:r w:rsidR="007934BB">
        <w:t xml:space="preserve">for </w:t>
      </w:r>
      <w:r w:rsidR="005B2F25">
        <w:t xml:space="preserve">those risks would be double-counting </w:t>
      </w:r>
      <w:r w:rsidR="00191071">
        <w:t>and goes against the requirement of the pricing order.</w:t>
      </w:r>
      <w:r w:rsidR="00191071" w:rsidRPr="00F319EE">
        <w:rPr>
          <w:rStyle w:val="FootnoteReference"/>
        </w:rPr>
        <w:footnoteReference w:id="170"/>
      </w:r>
    </w:p>
    <w:p w14:paraId="30C2AD3E" w14:textId="7D99A392" w:rsidR="00874975" w:rsidRPr="00E56973" w:rsidRDefault="00874975" w:rsidP="00874975">
      <w:pPr>
        <w:pStyle w:val="Heading5"/>
        <w:rPr>
          <w:i w:val="0"/>
          <w:color w:val="113049" w:themeColor="accent1" w:themeShade="80"/>
        </w:rPr>
      </w:pPr>
      <w:r w:rsidRPr="00E56973">
        <w:t xml:space="preserve">We have </w:t>
      </w:r>
      <w:r>
        <w:t xml:space="preserve">sufficiently </w:t>
      </w:r>
      <w:r w:rsidRPr="00E56973">
        <w:t xml:space="preserve">set the retail margin </w:t>
      </w:r>
      <w:r w:rsidRPr="00E56973">
        <w:rPr>
          <w:color w:val="113049" w:themeColor="accent1" w:themeShade="80"/>
        </w:rPr>
        <w:t>to enable competition</w:t>
      </w:r>
      <w:r w:rsidR="00417EE8">
        <w:rPr>
          <w:color w:val="113049" w:themeColor="accent1" w:themeShade="80"/>
        </w:rPr>
        <w:t xml:space="preserve"> </w:t>
      </w:r>
    </w:p>
    <w:p w14:paraId="345682B0" w14:textId="76EA1599" w:rsidR="00EB0FFD" w:rsidRDefault="00663365" w:rsidP="007D6EB7">
      <w:r>
        <w:t xml:space="preserve">Alinta Energy and </w:t>
      </w:r>
      <w:r w:rsidR="008F4627">
        <w:t xml:space="preserve">the </w:t>
      </w:r>
      <w:r>
        <w:t xml:space="preserve">Australian Energy Council said the reduced retail margin will </w:t>
      </w:r>
      <w:r w:rsidR="00DD6C3F">
        <w:t>impact</w:t>
      </w:r>
      <w:r>
        <w:t xml:space="preserve"> </w:t>
      </w:r>
      <w:r w:rsidR="000E6744">
        <w:t xml:space="preserve">market competition, </w:t>
      </w:r>
      <w:r w:rsidR="0020642A">
        <w:t xml:space="preserve">and a </w:t>
      </w:r>
      <w:r w:rsidR="00B74371">
        <w:t>sufficient margin should be restored.</w:t>
      </w:r>
      <w:r w:rsidR="0067660E">
        <w:rPr>
          <w:rStyle w:val="FootnoteReference"/>
        </w:rPr>
        <w:footnoteReference w:id="171"/>
      </w:r>
      <w:r w:rsidR="00B74371">
        <w:t xml:space="preserve"> </w:t>
      </w:r>
      <w:r>
        <w:t xml:space="preserve"> </w:t>
      </w:r>
    </w:p>
    <w:p w14:paraId="7C061BE2" w14:textId="1B78F73E" w:rsidR="00014449" w:rsidRDefault="00445750" w:rsidP="00575F42">
      <w:r w:rsidRPr="00575F42">
        <w:t>1st Energy</w:t>
      </w:r>
      <w:r w:rsidR="00151BE5" w:rsidDel="00AE5307">
        <w:t xml:space="preserve"> </w:t>
      </w:r>
      <w:r w:rsidR="00AE5307">
        <w:t xml:space="preserve">noted </w:t>
      </w:r>
      <w:r w:rsidR="00151BE5">
        <w:t xml:space="preserve">that </w:t>
      </w:r>
      <w:r w:rsidR="00A27A1E">
        <w:t>a</w:t>
      </w:r>
      <w:r w:rsidR="00AF1FE3">
        <w:t xml:space="preserve"> sustained reduction in retail margins could discourage competition by making it harder for smaller or new entrants to operate sustainably.</w:t>
      </w:r>
      <w:r w:rsidR="00D44CC3" w:rsidRPr="00575F42">
        <w:rPr>
          <w:rStyle w:val="FootnoteReference"/>
        </w:rPr>
        <w:footnoteReference w:id="172"/>
      </w:r>
    </w:p>
    <w:p w14:paraId="5C32E7B9" w14:textId="2241401F" w:rsidR="00AC570C" w:rsidRDefault="00AC570C" w:rsidP="00AC570C">
      <w:r>
        <w:lastRenderedPageBreak/>
        <w:t xml:space="preserve">Having </w:t>
      </w:r>
      <w:proofErr w:type="gramStart"/>
      <w:r>
        <w:t>particular regard</w:t>
      </w:r>
      <w:proofErr w:type="gramEnd"/>
      <w:r>
        <w:t xml:space="preserve"> to the observed actual retail margin, we remain of the view that five per cent is an appropriate benchmark allowance</w:t>
      </w:r>
      <w:r w:rsidR="007934BB">
        <w:t xml:space="preserve"> for the </w:t>
      </w:r>
      <w:r w:rsidR="005A6CA7">
        <w:t>Victorian De</w:t>
      </w:r>
      <w:r w:rsidR="007934BB">
        <w:t xml:space="preserve">fault </w:t>
      </w:r>
      <w:r w:rsidR="005A6CA7">
        <w:t>O</w:t>
      </w:r>
      <w:r w:rsidR="007934BB">
        <w:t>ffer</w:t>
      </w:r>
      <w:r>
        <w:t>. In addition</w:t>
      </w:r>
      <w:r w:rsidRPr="002410A1">
        <w:t>, retailers that outperform on other elements of the cost stack will be able to earn returns above this benchmark</w:t>
      </w:r>
      <w:r>
        <w:t>.</w:t>
      </w:r>
    </w:p>
    <w:p w14:paraId="2FE477BB" w14:textId="32FACD34" w:rsidR="001F7696" w:rsidRDefault="00AC570C" w:rsidP="00AC570C">
      <w:r>
        <w:t xml:space="preserve">We are cognisant of the financial pressures currently faced by many electricity consumers, and the importance of setting a Victorian Default Offer that promotes the long-term interests of Victorian consumers. We consider there is </w:t>
      </w:r>
      <w:r w:rsidR="005A6CA7">
        <w:t xml:space="preserve">sufficient </w:t>
      </w:r>
      <w:r>
        <w:t>evidence that our 202</w:t>
      </w:r>
      <w:r w:rsidR="003B748B">
        <w:t>5</w:t>
      </w:r>
      <w:r w:rsidR="008E23F5" w:rsidRPr="008E23F5">
        <w:rPr>
          <w:szCs w:val="18"/>
        </w:rPr>
        <w:t>–</w:t>
      </w:r>
      <w:r>
        <w:t>2</w:t>
      </w:r>
      <w:r w:rsidR="003B748B">
        <w:t>6</w:t>
      </w:r>
      <w:r>
        <w:t xml:space="preserve"> margin </w:t>
      </w:r>
      <w:r w:rsidR="005A6CA7">
        <w:t xml:space="preserve">for the </w:t>
      </w:r>
      <w:r w:rsidR="00C5026F">
        <w:t xml:space="preserve">Victorian Default Offer </w:t>
      </w:r>
      <w:r>
        <w:t xml:space="preserve">would still </w:t>
      </w:r>
      <w:r w:rsidR="00EA2B72">
        <w:t>provide</w:t>
      </w:r>
      <w:r>
        <w:t xml:space="preserve"> a reasonable return for retailers.</w:t>
      </w:r>
    </w:p>
    <w:p w14:paraId="392E43EE" w14:textId="1638400C" w:rsidR="00A43A64" w:rsidRDefault="00A43A64" w:rsidP="00AC570C">
      <w:pPr>
        <w:sectPr w:rsidR="00A43A64" w:rsidSect="00D54877">
          <w:headerReference w:type="even" r:id="rId37"/>
          <w:footerReference w:type="default" r:id="rId38"/>
          <w:headerReference w:type="first" r:id="rId39"/>
          <w:type w:val="continuous"/>
          <w:pgSz w:w="11906" w:h="16838" w:code="9"/>
          <w:pgMar w:top="1134" w:right="1134" w:bottom="1134" w:left="1134" w:header="709" w:footer="692" w:gutter="0"/>
          <w:cols w:space="708"/>
          <w:docGrid w:linePitch="360"/>
        </w:sectPr>
      </w:pPr>
    </w:p>
    <w:p w14:paraId="27F07F19" w14:textId="77777777" w:rsidR="00AC570C" w:rsidRDefault="00AC570C" w:rsidP="00AC570C"/>
    <w:p w14:paraId="1146BF12" w14:textId="16C53352" w:rsidR="00563AD8" w:rsidRDefault="002E6A69" w:rsidP="00563AD8">
      <w:pPr>
        <w:pStyle w:val="Heading1"/>
      </w:pPr>
      <w:bookmarkStart w:id="116" w:name="_Ref188876764"/>
      <w:bookmarkStart w:id="117" w:name="_Toc191027386"/>
      <w:bookmarkStart w:id="118" w:name="_Toc198808335"/>
      <w:r>
        <w:lastRenderedPageBreak/>
        <w:t>Calculating tariffs and the maximum annual bill</w:t>
      </w:r>
      <w:bookmarkEnd w:id="116"/>
      <w:bookmarkEnd w:id="117"/>
      <w:bookmarkEnd w:id="118"/>
    </w:p>
    <w:p w14:paraId="13708FC9" w14:textId="20768744" w:rsidR="006A2440" w:rsidRPr="008553F7" w:rsidRDefault="003E6A99" w:rsidP="006A2440">
      <w:r>
        <w:t>We</w:t>
      </w:r>
      <w:r w:rsidR="00C3249B">
        <w:t xml:space="preserve"> </w:t>
      </w:r>
      <w:r w:rsidR="0081379D">
        <w:t>determine</w:t>
      </w:r>
      <w:r w:rsidR="0081379D" w:rsidRPr="008553F7">
        <w:t xml:space="preserve"> </w:t>
      </w:r>
      <w:r w:rsidR="006A2440" w:rsidRPr="008553F7">
        <w:t xml:space="preserve">prices for the Victorian Default Offer </w:t>
      </w:r>
      <w:r w:rsidR="0073081E">
        <w:t xml:space="preserve">based on the </w:t>
      </w:r>
      <w:r>
        <w:t xml:space="preserve">cost </w:t>
      </w:r>
      <w:r w:rsidR="004B19C0">
        <w:t xml:space="preserve">components and </w:t>
      </w:r>
      <w:r>
        <w:t>inputs</w:t>
      </w:r>
      <w:r w:rsidR="004B19C0">
        <w:t xml:space="preserve"> set out in Appendix A</w:t>
      </w:r>
      <w:r w:rsidR="006A2440" w:rsidRPr="008553F7">
        <w:t xml:space="preserve">:  </w:t>
      </w:r>
    </w:p>
    <w:p w14:paraId="6048CBF0" w14:textId="29BB1024" w:rsidR="006A2440" w:rsidRPr="008553F7" w:rsidRDefault="006A2440" w:rsidP="00AE259C">
      <w:pPr>
        <w:pStyle w:val="ListBullet"/>
      </w:pPr>
      <w:r w:rsidRPr="00AE259C">
        <w:t>flat tariffs</w:t>
      </w:r>
      <w:r w:rsidRPr="008553F7">
        <w:t xml:space="preserve"> </w:t>
      </w:r>
      <w:r w:rsidRPr="00AF166D">
        <w:t>–</w:t>
      </w:r>
      <w:r w:rsidRPr="008553F7">
        <w:t xml:space="preserve"> for standing offers with flat tariffs</w:t>
      </w:r>
      <w:r w:rsidR="007E2F98">
        <w:rPr>
          <w:rStyle w:val="FootnoteReference"/>
        </w:rPr>
        <w:footnoteReference w:id="173"/>
      </w:r>
    </w:p>
    <w:p w14:paraId="63C49FAF" w14:textId="4F011C15" w:rsidR="006A2440" w:rsidRPr="008553F7" w:rsidRDefault="006A2440" w:rsidP="4EB6CF14">
      <w:pPr>
        <w:pStyle w:val="ListBullet"/>
      </w:pPr>
      <w:r w:rsidRPr="00AE259C">
        <w:t xml:space="preserve">two-period time of use tariffs </w:t>
      </w:r>
      <w:r w:rsidRPr="005C1CC8">
        <w:t>–</w:t>
      </w:r>
      <w:r w:rsidRPr="008553F7">
        <w:t xml:space="preserve"> for standing offers with two-period time of use tariffs</w:t>
      </w:r>
      <w:r w:rsidR="004923ED">
        <w:rPr>
          <w:rStyle w:val="FootnoteReference"/>
        </w:rPr>
        <w:footnoteReference w:id="174"/>
      </w:r>
      <w:r w:rsidRPr="0091314D">
        <w:rPr>
          <w:vertAlign w:val="superscript"/>
        </w:rPr>
        <w:t xml:space="preserve"> </w:t>
      </w:r>
    </w:p>
    <w:p w14:paraId="092EF330" w14:textId="13BE18BF" w:rsidR="006A2440" w:rsidRPr="008553F7" w:rsidRDefault="006A2440" w:rsidP="4EB6CF14">
      <w:pPr>
        <w:pStyle w:val="ListBullet"/>
      </w:pPr>
      <w:r w:rsidRPr="00AE259C">
        <w:t xml:space="preserve">the </w:t>
      </w:r>
      <w:r w:rsidR="0013522F">
        <w:t xml:space="preserve">Victorian Default Offer </w:t>
      </w:r>
      <w:r w:rsidRPr="00AE259C">
        <w:t xml:space="preserve">compliant maximum </w:t>
      </w:r>
      <w:r w:rsidR="00AE5C8B" w:rsidRPr="00AE259C">
        <w:t xml:space="preserve">annual </w:t>
      </w:r>
      <w:r w:rsidRPr="00AE259C">
        <w:t xml:space="preserve">bill </w:t>
      </w:r>
      <w:r w:rsidR="00DB061C">
        <w:t xml:space="preserve">(compliant maximum annual bill) </w:t>
      </w:r>
      <w:r w:rsidRPr="00AF166D">
        <w:t>–</w:t>
      </w:r>
      <w:r w:rsidRPr="008553F7">
        <w:t xml:space="preserve"> for standing offers with non-flat tariffs, other than two-period time of use tariffs</w:t>
      </w:r>
      <w:r>
        <w:t xml:space="preserve"> (</w:t>
      </w:r>
      <w:r w:rsidR="001A4F7A">
        <w:t xml:space="preserve">calculated </w:t>
      </w:r>
      <w:r w:rsidR="00F555D8">
        <w:t>based on</w:t>
      </w:r>
      <w:r w:rsidDel="000E6074">
        <w:t xml:space="preserve"> </w:t>
      </w:r>
      <w:r w:rsidR="00C17CB0">
        <w:t>the flat tariff)</w:t>
      </w:r>
      <w:r w:rsidR="004A0CD4">
        <w:t>, or any combination of a flat tariff and non-flat tariff</w:t>
      </w:r>
      <w:r w:rsidR="006D502E">
        <w:t>.</w:t>
      </w:r>
      <w:r w:rsidR="00C17CB0">
        <w:rPr>
          <w:rStyle w:val="FootnoteReference"/>
        </w:rPr>
        <w:footnoteReference w:id="175"/>
      </w:r>
    </w:p>
    <w:p w14:paraId="69344084" w14:textId="77777777" w:rsidR="006A2440" w:rsidRPr="008B671C" w:rsidRDefault="006A2440" w:rsidP="006A2440">
      <w:pPr>
        <w:pStyle w:val="Heading3"/>
      </w:pPr>
      <w:r w:rsidRPr="008B671C">
        <w:t>Tariff structure</w:t>
      </w:r>
    </w:p>
    <w:p w14:paraId="149BFE1E" w14:textId="37C77842" w:rsidR="006A2440" w:rsidRPr="00C1450B" w:rsidRDefault="00FF5BCA" w:rsidP="006A2440">
      <w:r w:rsidRPr="00C1450B">
        <w:t>A</w:t>
      </w:r>
      <w:r w:rsidR="006A2440" w:rsidRPr="00C1450B">
        <w:t xml:space="preserve">ll tariffs </w:t>
      </w:r>
      <w:r w:rsidRPr="00C1450B">
        <w:t>comprise</w:t>
      </w:r>
      <w:r w:rsidR="006A2440" w:rsidRPr="00C1450B">
        <w:t xml:space="preserve"> fixed </w:t>
      </w:r>
      <w:r w:rsidR="0084781F" w:rsidRPr="00C1450B">
        <w:t>cost</w:t>
      </w:r>
      <w:r w:rsidRPr="00A70469">
        <w:t>s</w:t>
      </w:r>
      <w:r w:rsidR="0084781F" w:rsidRPr="00C1450B">
        <w:t xml:space="preserve"> </w:t>
      </w:r>
      <w:r w:rsidR="006A2440" w:rsidRPr="00C1450B">
        <w:t>(</w:t>
      </w:r>
      <w:r w:rsidR="0005707E" w:rsidRPr="00A70469">
        <w:t xml:space="preserve">reflected in </w:t>
      </w:r>
      <w:r w:rsidR="00480AAB" w:rsidRPr="00A70469">
        <w:t xml:space="preserve">a </w:t>
      </w:r>
      <w:r w:rsidR="006A2440" w:rsidRPr="00C1450B">
        <w:t>daily supply charge</w:t>
      </w:r>
      <w:r w:rsidR="0084781F" w:rsidRPr="00C1450B">
        <w:t>)</w:t>
      </w:r>
      <w:r w:rsidR="006A2440" w:rsidRPr="00C1450B">
        <w:t xml:space="preserve"> and variable </w:t>
      </w:r>
      <w:r w:rsidR="0084781F" w:rsidRPr="00C1450B">
        <w:t>cost</w:t>
      </w:r>
      <w:r w:rsidR="00DE59E4" w:rsidRPr="00A70469">
        <w:t>s</w:t>
      </w:r>
      <w:r w:rsidR="0084781F" w:rsidRPr="00C1450B">
        <w:t xml:space="preserve"> </w:t>
      </w:r>
      <w:r w:rsidR="006A2440" w:rsidRPr="00C1450B">
        <w:t>(</w:t>
      </w:r>
      <w:r w:rsidR="0005707E" w:rsidRPr="00A70469">
        <w:t xml:space="preserve">reflected in </w:t>
      </w:r>
      <w:r w:rsidR="00480AAB" w:rsidRPr="00A70469">
        <w:t xml:space="preserve">a </w:t>
      </w:r>
      <w:r w:rsidR="00901B73" w:rsidRPr="00C1450B">
        <w:t xml:space="preserve">usage charge, </w:t>
      </w:r>
      <w:r w:rsidR="006A2440" w:rsidRPr="00C1450B">
        <w:t>per kilowatt hour</w:t>
      </w:r>
      <w:r w:rsidR="00ED6467" w:rsidRPr="00C1450B">
        <w:t>)</w:t>
      </w:r>
      <w:r w:rsidR="006A2440" w:rsidRPr="00C1450B">
        <w:t xml:space="preserve">. </w:t>
      </w:r>
    </w:p>
    <w:p w14:paraId="2570EB0C" w14:textId="0E196019" w:rsidR="00E12B22" w:rsidRPr="00C1450B" w:rsidRDefault="00E12B22" w:rsidP="006A2440">
      <w:r w:rsidRPr="00C1450B">
        <w:t>For</w:t>
      </w:r>
      <w:r w:rsidR="006A2440" w:rsidRPr="00C1450B">
        <w:t xml:space="preserve"> flat tariff</w:t>
      </w:r>
      <w:r w:rsidR="00AF084F" w:rsidRPr="00C1450B">
        <w:t>s</w:t>
      </w:r>
      <w:r w:rsidR="006A2440" w:rsidRPr="00C1450B">
        <w:t xml:space="preserve">, the </w:t>
      </w:r>
      <w:r w:rsidR="0052060D" w:rsidRPr="00A70469">
        <w:t>usag</w:t>
      </w:r>
      <w:r w:rsidR="00BA38F0" w:rsidRPr="00A70469">
        <w:t>e</w:t>
      </w:r>
      <w:r w:rsidR="0052060D" w:rsidRPr="00C1450B">
        <w:t xml:space="preserve"> </w:t>
      </w:r>
      <w:r w:rsidR="006A2440" w:rsidRPr="00C1450B">
        <w:t>charge is</w:t>
      </w:r>
      <w:r w:rsidR="00E75CD5" w:rsidRPr="00C1450B">
        <w:t xml:space="preserve"> </w:t>
      </w:r>
      <w:r w:rsidR="00FE0C17" w:rsidRPr="00C1450B">
        <w:t xml:space="preserve">calculated </w:t>
      </w:r>
      <w:r w:rsidR="00D95FAC" w:rsidRPr="00A70469">
        <w:t xml:space="preserve">using a single </w:t>
      </w:r>
      <w:r w:rsidR="00126735" w:rsidRPr="00A70469">
        <w:t>methodology</w:t>
      </w:r>
      <w:r w:rsidR="006A2440" w:rsidRPr="00C1450B">
        <w:t>.</w:t>
      </w:r>
      <w:r w:rsidR="00AF084F" w:rsidRPr="00C1450B">
        <w:t xml:space="preserve"> </w:t>
      </w:r>
    </w:p>
    <w:p w14:paraId="3F708988" w14:textId="2EE3BDEC" w:rsidR="006A2440" w:rsidRPr="00FB339A" w:rsidRDefault="00AF084F" w:rsidP="006A2440">
      <w:r w:rsidRPr="00C1450B">
        <w:t>F</w:t>
      </w:r>
      <w:r w:rsidR="006A2440" w:rsidRPr="00C1450B">
        <w:t xml:space="preserve">or </w:t>
      </w:r>
      <w:r w:rsidR="007273BF" w:rsidRPr="00C1450B">
        <w:t xml:space="preserve">two-period </w:t>
      </w:r>
      <w:r w:rsidR="006A2440" w:rsidRPr="00C1450B">
        <w:t xml:space="preserve">time of use tariffs, the </w:t>
      </w:r>
      <w:r w:rsidR="00FE0C17" w:rsidRPr="00A70469">
        <w:t>usage</w:t>
      </w:r>
      <w:r w:rsidR="00FE0C17" w:rsidRPr="00C1450B">
        <w:t xml:space="preserve"> </w:t>
      </w:r>
      <w:r w:rsidR="006A2440" w:rsidRPr="00C1450B">
        <w:t xml:space="preserve">charge </w:t>
      </w:r>
      <w:r w:rsidR="00307E0B" w:rsidRPr="00C1450B">
        <w:t>is calculated differently</w:t>
      </w:r>
      <w:r w:rsidR="006A2440" w:rsidRPr="00C1450B">
        <w:t xml:space="preserve"> depending on whe</w:t>
      </w:r>
      <w:r w:rsidR="00E64414" w:rsidRPr="00C1450B">
        <w:t>ther</w:t>
      </w:r>
      <w:r w:rsidR="006A2440" w:rsidRPr="00C1450B">
        <w:t xml:space="preserve"> electricity is used</w:t>
      </w:r>
      <w:r w:rsidR="00E64414" w:rsidRPr="00C1450B">
        <w:t xml:space="preserve"> </w:t>
      </w:r>
      <w:r w:rsidR="003F4D8A" w:rsidRPr="00C1450B">
        <w:t>during</w:t>
      </w:r>
      <w:r w:rsidR="00E64414" w:rsidRPr="00C1450B">
        <w:t xml:space="preserve"> peak or </w:t>
      </w:r>
      <w:r w:rsidR="003921E9">
        <w:t>off</w:t>
      </w:r>
      <w:r w:rsidR="00E64414" w:rsidRPr="00C1450B">
        <w:t>-pe</w:t>
      </w:r>
      <w:r w:rsidR="008968D5" w:rsidRPr="00C1450B">
        <w:t xml:space="preserve">ak </w:t>
      </w:r>
      <w:r w:rsidR="00337D5A" w:rsidRPr="00C1450B">
        <w:t>periods</w:t>
      </w:r>
      <w:r w:rsidR="006A2440" w:rsidRPr="00C1450B">
        <w:t xml:space="preserve">. </w:t>
      </w:r>
      <w:r w:rsidR="00A102E4" w:rsidRPr="004A77D3">
        <w:t>The u</w:t>
      </w:r>
      <w:r w:rsidR="005604B2" w:rsidRPr="004A77D3">
        <w:t>sage</w:t>
      </w:r>
      <w:r w:rsidR="006A2440" w:rsidRPr="004A77D3">
        <w:t xml:space="preserve"> charge</w:t>
      </w:r>
      <w:r w:rsidR="00883276" w:rsidRPr="004A77D3">
        <w:t xml:space="preserve"> is</w:t>
      </w:r>
      <w:r w:rsidR="006A2440" w:rsidRPr="004A77D3">
        <w:t xml:space="preserve"> usually more expensive </w:t>
      </w:r>
      <w:r w:rsidR="00883276" w:rsidRPr="004A77D3">
        <w:t>during</w:t>
      </w:r>
      <w:r w:rsidR="006A2440" w:rsidRPr="004A77D3">
        <w:t xml:space="preserve"> peak </w:t>
      </w:r>
      <w:r w:rsidR="00883276" w:rsidRPr="004A77D3">
        <w:t>period</w:t>
      </w:r>
      <w:r w:rsidR="006457BD" w:rsidRPr="004A77D3">
        <w:t>s</w:t>
      </w:r>
      <w:r w:rsidR="006A2440" w:rsidRPr="004A77D3">
        <w:t>.</w:t>
      </w:r>
    </w:p>
    <w:p w14:paraId="5B590EEE" w14:textId="4E777A33" w:rsidR="006A2440" w:rsidRPr="00FB339A" w:rsidRDefault="006A2440" w:rsidP="006A2440">
      <w:pPr>
        <w:pStyle w:val="Heading2"/>
      </w:pPr>
      <w:bookmarkStart w:id="119" w:name="_Toc198808336"/>
      <w:r w:rsidRPr="00FB339A">
        <w:t>Flat tariffs</w:t>
      </w:r>
      <w:bookmarkEnd w:id="119"/>
      <w:r w:rsidRPr="00FB339A">
        <w:t xml:space="preserve"> </w:t>
      </w:r>
    </w:p>
    <w:p w14:paraId="029EA937" w14:textId="6E606D0A" w:rsidR="006A2440" w:rsidRPr="00CE43FE" w:rsidRDefault="006A2440" w:rsidP="006A2440">
      <w:r w:rsidRPr="00FB339A">
        <w:t xml:space="preserve">Our </w:t>
      </w:r>
      <w:r w:rsidR="007B562B">
        <w:t>final</w:t>
      </w:r>
      <w:r w:rsidRPr="00FB339A">
        <w:t xml:space="preserve"> decision is to </w:t>
      </w:r>
      <w:r w:rsidRPr="007F29D0">
        <w:t>use the same approach</w:t>
      </w:r>
      <w:r w:rsidRPr="00FB339A">
        <w:t xml:space="preserve"> to setting standing offer rates for flat tariffs as we have in </w:t>
      </w:r>
      <w:r w:rsidR="00205B00" w:rsidRPr="005246CC">
        <w:t xml:space="preserve">our </w:t>
      </w:r>
      <w:r w:rsidR="00205B00">
        <w:t>past</w:t>
      </w:r>
      <w:r w:rsidR="00205B00" w:rsidRPr="005246CC">
        <w:t xml:space="preserve"> Victorian Default Offer price determination</w:t>
      </w:r>
      <w:r w:rsidR="00205B00">
        <w:t>s</w:t>
      </w:r>
      <w:r w:rsidRPr="00365826">
        <w:t>.</w:t>
      </w:r>
    </w:p>
    <w:p w14:paraId="5575DC93" w14:textId="37F8101B" w:rsidR="006A2440" w:rsidRPr="00AD50B6" w:rsidRDefault="006A2440" w:rsidP="00610F02">
      <w:pPr>
        <w:pStyle w:val="Heading3"/>
      </w:pPr>
      <w:r w:rsidRPr="0D6D5749">
        <w:t xml:space="preserve">Flat tariff </w:t>
      </w:r>
      <w:r w:rsidR="00C1450B" w:rsidRPr="0D6D5749">
        <w:t>methodology</w:t>
      </w:r>
    </w:p>
    <w:p w14:paraId="259BD676" w14:textId="77777777" w:rsidR="006A2440" w:rsidRPr="00AD50B6" w:rsidRDefault="006A2440" w:rsidP="00A60565">
      <w:pPr>
        <w:pStyle w:val="Pull-outHeading"/>
        <w:rPr>
          <w:b w:val="0"/>
          <w:bCs w:val="0"/>
        </w:rPr>
      </w:pPr>
      <w:r w:rsidRPr="00AD50B6">
        <w:t xml:space="preserve">Daily supply charge (fixed costs) = </w:t>
      </w:r>
    </w:p>
    <w:p w14:paraId="57D46832" w14:textId="77777777" w:rsidR="006A2440" w:rsidRPr="00AD50B6" w:rsidRDefault="006A2440" w:rsidP="006A2440">
      <w:pPr>
        <w:pStyle w:val="Pull-out"/>
      </w:pPr>
      <w:r w:rsidRPr="00AD50B6">
        <w:t xml:space="preserve">(retail operating costs including customer acquisition and retention + fixed network costs + per customer ‘other’ costs) x (1 + retail operating margin) x (1 + GST rate) </w:t>
      </w:r>
      <w:r w:rsidRPr="00AD50B6">
        <w:rPr>
          <w:rFonts w:cstheme="minorHAnsi"/>
        </w:rPr>
        <w:t>÷</w:t>
      </w:r>
      <w:r w:rsidRPr="00AD50B6">
        <w:t xml:space="preserve"> days in the year</w:t>
      </w:r>
    </w:p>
    <w:p w14:paraId="36C6591B" w14:textId="77777777" w:rsidR="006A2440" w:rsidRPr="00AD50B6" w:rsidRDefault="006A2440" w:rsidP="00A60565">
      <w:pPr>
        <w:pStyle w:val="Pull-outHeading"/>
        <w:rPr>
          <w:b w:val="0"/>
          <w:bCs w:val="0"/>
        </w:rPr>
      </w:pPr>
      <w:r w:rsidRPr="00AD50B6">
        <w:t xml:space="preserve">Usage charge (variable costs) = </w:t>
      </w:r>
    </w:p>
    <w:p w14:paraId="550038AE" w14:textId="366CB158" w:rsidR="006A2440" w:rsidRPr="00AD50B6" w:rsidRDefault="00307CFE" w:rsidP="006A2440">
      <w:pPr>
        <w:pStyle w:val="Pull-out"/>
      </w:pPr>
      <w:r>
        <w:t>(</w:t>
      </w:r>
      <w:r w:rsidR="00C01C11" w:rsidRPr="00AD50B6">
        <w:t xml:space="preserve">variable network costs </w:t>
      </w:r>
      <w:r w:rsidR="00CE7591">
        <w:t>+</w:t>
      </w:r>
      <w:r w:rsidR="002E5498" w:rsidRPr="00AD50B6">
        <w:t xml:space="preserve"> </w:t>
      </w:r>
      <w:r w:rsidR="00CB1E2C">
        <w:t>(</w:t>
      </w:r>
      <w:r w:rsidR="006A2440" w:rsidRPr="00AD50B6">
        <w:t xml:space="preserve">wholesale electricity costs + environmental costs + variable ‘other’ </w:t>
      </w:r>
      <w:r w:rsidR="006A2440" w:rsidRPr="003E615D">
        <w:t>costs</w:t>
      </w:r>
      <w:r w:rsidR="007E0AC7">
        <w:t>)</w:t>
      </w:r>
      <w:r w:rsidR="00EE229D" w:rsidRPr="003E615D">
        <w:t xml:space="preserve"> x (</w:t>
      </w:r>
      <w:r w:rsidR="00123F51">
        <w:t xml:space="preserve">1 + </w:t>
      </w:r>
      <w:r w:rsidR="00EE229D" w:rsidRPr="00A70469">
        <w:t>network loss</w:t>
      </w:r>
      <w:r w:rsidR="00EE229D" w:rsidRPr="003E615D">
        <w:t xml:space="preserve"> factor</w:t>
      </w:r>
      <w:r w:rsidR="0037492D">
        <w:t>)</w:t>
      </w:r>
      <w:r w:rsidR="00CB1E2C">
        <w:t>)</w:t>
      </w:r>
      <w:r w:rsidR="00451929" w:rsidRPr="00AD50B6" w:rsidDel="00451929">
        <w:t xml:space="preserve"> </w:t>
      </w:r>
      <w:r w:rsidR="006A2440" w:rsidRPr="00AD50B6">
        <w:t>x (1 + retail operating margin) x (1 + GST rate)</w:t>
      </w:r>
    </w:p>
    <w:p w14:paraId="4A224AB4" w14:textId="5897D803" w:rsidR="006A2440" w:rsidRPr="00AD50B6" w:rsidRDefault="006A2440" w:rsidP="006A2440">
      <w:pPr>
        <w:pStyle w:val="Heading2"/>
      </w:pPr>
      <w:bookmarkStart w:id="120" w:name="_Toc198808337"/>
      <w:r w:rsidRPr="00AD50B6">
        <w:lastRenderedPageBreak/>
        <w:t>Two-period time of use tariffs</w:t>
      </w:r>
      <w:bookmarkEnd w:id="120"/>
      <w:r w:rsidRPr="00AD50B6">
        <w:t xml:space="preserve"> </w:t>
      </w:r>
    </w:p>
    <w:p w14:paraId="2098A50C" w14:textId="60B366BF" w:rsidR="006A2440" w:rsidRPr="00B13825" w:rsidRDefault="006A2440" w:rsidP="006A2440">
      <w:r w:rsidRPr="00AD50B6">
        <w:t xml:space="preserve">Our </w:t>
      </w:r>
      <w:r w:rsidR="007B562B">
        <w:t>final</w:t>
      </w:r>
      <w:r w:rsidRPr="00AD50B6">
        <w:t xml:space="preserve"> </w:t>
      </w:r>
      <w:r w:rsidRPr="007F29D0">
        <w:t xml:space="preserve">decision is to use the same approach to setting standing offer rates for two-period time of use tariffs as we have in our past Victorian Default Offer price determinations. Under this approach, we align </w:t>
      </w:r>
      <w:r w:rsidR="009E20A2" w:rsidRPr="007F29D0">
        <w:t>our</w:t>
      </w:r>
      <w:r w:rsidRPr="007F29D0">
        <w:t xml:space="preserve"> </w:t>
      </w:r>
      <w:r w:rsidR="00694A50" w:rsidRPr="007F29D0">
        <w:t>two-period time of use</w:t>
      </w:r>
      <w:r w:rsidR="00573686" w:rsidRPr="007F29D0">
        <w:t xml:space="preserve"> </w:t>
      </w:r>
      <w:r w:rsidRPr="007F29D0">
        <w:t xml:space="preserve">tariff structure with the </w:t>
      </w:r>
      <w:r w:rsidR="003B76C4" w:rsidRPr="007F29D0">
        <w:t>A</w:t>
      </w:r>
      <w:r w:rsidR="005D68C2" w:rsidRPr="007F29D0">
        <w:t xml:space="preserve">ustralian </w:t>
      </w:r>
      <w:r w:rsidR="003B76C4" w:rsidRPr="007F29D0">
        <w:t>E</w:t>
      </w:r>
      <w:r w:rsidR="005D68C2" w:rsidRPr="007F29D0">
        <w:t xml:space="preserve">nergy </w:t>
      </w:r>
      <w:r w:rsidR="003B76C4" w:rsidRPr="007F29D0">
        <w:t>R</w:t>
      </w:r>
      <w:r w:rsidR="005D68C2" w:rsidRPr="007F29D0">
        <w:t>egulator</w:t>
      </w:r>
      <w:r w:rsidR="003B76C4" w:rsidRPr="007F29D0">
        <w:t xml:space="preserve">’s </w:t>
      </w:r>
      <w:r w:rsidRPr="007F29D0">
        <w:t>underlying network tariff</w:t>
      </w:r>
      <w:r w:rsidR="005368C4" w:rsidRPr="007F29D0">
        <w:t xml:space="preserve"> structure</w:t>
      </w:r>
      <w:r w:rsidRPr="007F29D0">
        <w:t xml:space="preserve"> for each</w:t>
      </w:r>
      <w:r w:rsidRPr="006F44EC">
        <w:t xml:space="preserve"> distribution network.</w:t>
      </w:r>
    </w:p>
    <w:p w14:paraId="49DA1CE3" w14:textId="61527ECF" w:rsidR="00545876" w:rsidRDefault="00BA6584" w:rsidP="00545876">
      <w:r w:rsidRPr="00C1450B">
        <w:t xml:space="preserve">For two-period time of use tariffs, </w:t>
      </w:r>
      <w:r w:rsidR="00EC6ECC">
        <w:t>t</w:t>
      </w:r>
      <w:r w:rsidR="00545876" w:rsidRPr="00B13825">
        <w:t xml:space="preserve">he </w:t>
      </w:r>
      <w:r w:rsidR="00301812">
        <w:t xml:space="preserve">fixed and </w:t>
      </w:r>
      <w:r w:rsidR="00545876" w:rsidRPr="00B13825">
        <w:t>variable cost components are the same</w:t>
      </w:r>
      <w:r w:rsidR="00720488">
        <w:t>,</w:t>
      </w:r>
      <w:r w:rsidR="00545876" w:rsidRPr="00B13825">
        <w:t xml:space="preserve"> except for </w:t>
      </w:r>
      <w:r w:rsidR="005F406A">
        <w:t xml:space="preserve">variable </w:t>
      </w:r>
      <w:r w:rsidR="00545876" w:rsidRPr="00B13825">
        <w:t>network cost</w:t>
      </w:r>
      <w:r w:rsidR="00A56167">
        <w:t>s</w:t>
      </w:r>
      <w:r w:rsidR="00334BBC">
        <w:t xml:space="preserve">, which </w:t>
      </w:r>
      <w:r w:rsidR="002810DE">
        <w:t>are</w:t>
      </w:r>
      <w:r w:rsidR="00334BBC">
        <w:t xml:space="preserve"> different</w:t>
      </w:r>
      <w:r w:rsidR="002810DE">
        <w:t xml:space="preserve"> for peak and off-peak usage</w:t>
      </w:r>
      <w:r w:rsidR="00301812" w:rsidRPr="00B13825">
        <w:t xml:space="preserve"> </w:t>
      </w:r>
      <w:r w:rsidR="00545876" w:rsidRPr="00B13825">
        <w:t>(we</w:t>
      </w:r>
      <w:r w:rsidR="004F4ED1">
        <w:t xml:space="preserve"> </w:t>
      </w:r>
      <w:r w:rsidR="00545876" w:rsidRPr="00B13825">
        <w:t xml:space="preserve">use the Australian Energy Regulator’s approved peak and off-peak </w:t>
      </w:r>
      <w:r w:rsidR="00545876" w:rsidRPr="00AD50B6">
        <w:t>network rates).</w:t>
      </w:r>
    </w:p>
    <w:p w14:paraId="1E21F6BD" w14:textId="2BA4BE47" w:rsidR="00BA6584" w:rsidRDefault="00E61E14" w:rsidP="00610F02">
      <w:pPr>
        <w:pStyle w:val="Heading3"/>
      </w:pPr>
      <w:r>
        <w:t>T</w:t>
      </w:r>
      <w:r w:rsidR="00BA6584" w:rsidRPr="0D6D5749">
        <w:t>wo-period time of use tariffs</w:t>
      </w:r>
      <w:r>
        <w:t xml:space="preserve"> methodology</w:t>
      </w:r>
    </w:p>
    <w:p w14:paraId="42A49CD6" w14:textId="77777777" w:rsidR="006A2440" w:rsidRPr="00AD50B6" w:rsidRDefault="006A2440" w:rsidP="006A2440">
      <w:pPr>
        <w:pStyle w:val="Pull-outHeading"/>
      </w:pPr>
      <w:r w:rsidRPr="00AD50B6">
        <w:t xml:space="preserve">Daily supply charge (fixed costs) = </w:t>
      </w:r>
    </w:p>
    <w:p w14:paraId="3BE63D87" w14:textId="77777777" w:rsidR="006A2440" w:rsidRPr="00AD50B6" w:rsidRDefault="006A2440" w:rsidP="006A2440">
      <w:pPr>
        <w:pStyle w:val="Pull-out"/>
      </w:pPr>
      <w:r w:rsidRPr="00AD50B6">
        <w:t xml:space="preserve">(retail operating costs including customer acquisition and retention + fixed network costs + per customer ‘other’ costs) x (1 + retail operating margin) x (1 + GST rate) </w:t>
      </w:r>
      <w:r w:rsidRPr="00AD50B6">
        <w:rPr>
          <w:rFonts w:cstheme="minorHAnsi"/>
        </w:rPr>
        <w:t>÷</w:t>
      </w:r>
      <w:r w:rsidRPr="00AD50B6">
        <w:t xml:space="preserve"> days in the year</w:t>
      </w:r>
    </w:p>
    <w:p w14:paraId="61AA58DB" w14:textId="77777777" w:rsidR="006A2440" w:rsidRPr="00AD50B6" w:rsidRDefault="006A2440" w:rsidP="006A2440">
      <w:pPr>
        <w:pStyle w:val="Pull-outHeading"/>
      </w:pPr>
      <w:r w:rsidRPr="00AD50B6">
        <w:t xml:space="preserve">Peak usage charge (variable costs) = </w:t>
      </w:r>
    </w:p>
    <w:p w14:paraId="34BDE06D" w14:textId="7F68C54C" w:rsidR="00A3458F" w:rsidRPr="00AD50B6" w:rsidRDefault="005A51AA" w:rsidP="00A3458F">
      <w:pPr>
        <w:pStyle w:val="Pull-out"/>
      </w:pPr>
      <w:r>
        <w:t>(</w:t>
      </w:r>
      <w:r w:rsidR="00A3458F" w:rsidRPr="00AD50B6">
        <w:t>variable network costs</w:t>
      </w:r>
      <w:r w:rsidR="005A5849">
        <w:t xml:space="preserve"> for peak period</w:t>
      </w:r>
      <w:r w:rsidR="00A3458F" w:rsidRPr="00AD50B6">
        <w:t xml:space="preserve"> </w:t>
      </w:r>
      <w:r w:rsidR="00A3458F">
        <w:t>+</w:t>
      </w:r>
      <w:r w:rsidR="00A3458F" w:rsidRPr="00AD50B6">
        <w:t xml:space="preserve"> </w:t>
      </w:r>
      <w:r w:rsidR="00A3458F">
        <w:t>(</w:t>
      </w:r>
      <w:r w:rsidR="00A3458F" w:rsidRPr="00AD50B6">
        <w:t>wholesale electricity costs + environmental costs + variable ‘other’ costs</w:t>
      </w:r>
      <w:r w:rsidR="00F9680D">
        <w:t>)</w:t>
      </w:r>
      <w:r w:rsidR="00A3458F">
        <w:t xml:space="preserve"> x (</w:t>
      </w:r>
      <w:r w:rsidR="0080732C">
        <w:t xml:space="preserve">1 + </w:t>
      </w:r>
      <w:r w:rsidR="00A3458F" w:rsidRPr="00A70469">
        <w:t>network loss</w:t>
      </w:r>
      <w:r w:rsidR="00A3458F">
        <w:t xml:space="preserve"> factor))</w:t>
      </w:r>
      <w:r w:rsidR="00A3458F" w:rsidRPr="00AD50B6" w:rsidDel="00451929">
        <w:t xml:space="preserve"> </w:t>
      </w:r>
      <w:r w:rsidR="00A3458F" w:rsidRPr="00AD50B6">
        <w:t>x (1 + retail operating margin) x (1 + GST rate)</w:t>
      </w:r>
    </w:p>
    <w:p w14:paraId="7E19D4AA" w14:textId="77777777" w:rsidR="006A2440" w:rsidRPr="00AD50B6" w:rsidRDefault="006A2440" w:rsidP="006A2440">
      <w:pPr>
        <w:pStyle w:val="Pull-outHeading"/>
      </w:pPr>
      <w:r w:rsidRPr="00AD50B6">
        <w:t xml:space="preserve">Off-peak usage charge (variable costs) = </w:t>
      </w:r>
    </w:p>
    <w:p w14:paraId="480CD38B" w14:textId="1D2BB699" w:rsidR="001F25EA" w:rsidRPr="00AD50B6" w:rsidRDefault="00F9680D" w:rsidP="001F25EA">
      <w:pPr>
        <w:pStyle w:val="Pull-out"/>
      </w:pPr>
      <w:r>
        <w:t>(</w:t>
      </w:r>
      <w:r w:rsidR="001F25EA" w:rsidRPr="00AD50B6">
        <w:t>variable network costs</w:t>
      </w:r>
      <w:r w:rsidR="001F25EA">
        <w:t xml:space="preserve"> for off-peak period</w:t>
      </w:r>
      <w:r w:rsidR="001F25EA" w:rsidRPr="00AD50B6">
        <w:t xml:space="preserve"> </w:t>
      </w:r>
      <w:r w:rsidR="001F25EA">
        <w:t>+</w:t>
      </w:r>
      <w:r w:rsidR="001F25EA" w:rsidRPr="00AD50B6">
        <w:t xml:space="preserve"> </w:t>
      </w:r>
      <w:r w:rsidR="001F25EA">
        <w:t>(</w:t>
      </w:r>
      <w:r w:rsidR="001F25EA" w:rsidRPr="00AD50B6">
        <w:t>wholesale electricity costs + environmental costs + variable ‘other’ costs</w:t>
      </w:r>
      <w:r w:rsidR="00BA2C99">
        <w:t>)</w:t>
      </w:r>
      <w:r w:rsidR="001F25EA">
        <w:t xml:space="preserve"> x (</w:t>
      </w:r>
      <w:r w:rsidR="00BD4155">
        <w:t xml:space="preserve">1 + </w:t>
      </w:r>
      <w:r w:rsidR="001F25EA" w:rsidRPr="00B45608">
        <w:t>network loss</w:t>
      </w:r>
      <w:r w:rsidR="001F25EA">
        <w:t xml:space="preserve"> factor))</w:t>
      </w:r>
      <w:r w:rsidR="001F25EA" w:rsidRPr="00AD50B6" w:rsidDel="00451929">
        <w:t xml:space="preserve"> </w:t>
      </w:r>
      <w:r w:rsidR="001F25EA" w:rsidRPr="00AD50B6">
        <w:t>x (1 + retail operating margin) x (1 + GST rate)</w:t>
      </w:r>
    </w:p>
    <w:p w14:paraId="6C4F2ABC" w14:textId="6CFDC48F" w:rsidR="006A2440" w:rsidRPr="004B050A" w:rsidRDefault="00FB3DEA" w:rsidP="006A2440">
      <w:pPr>
        <w:pStyle w:val="Heading2"/>
      </w:pPr>
      <w:bookmarkStart w:id="121" w:name="_Toc161394240"/>
      <w:bookmarkStart w:id="122" w:name="_Toc167198136"/>
      <w:bookmarkStart w:id="123" w:name="_Toc198808338"/>
      <w:r>
        <w:t>C</w:t>
      </w:r>
      <w:r w:rsidR="006A2440" w:rsidRPr="00AD50B6">
        <w:t xml:space="preserve">ompliant maximum </w:t>
      </w:r>
      <w:r w:rsidR="00A22000">
        <w:t xml:space="preserve">annual </w:t>
      </w:r>
      <w:r w:rsidR="006A2440" w:rsidRPr="00AD50B6">
        <w:t>bill</w:t>
      </w:r>
      <w:bookmarkEnd w:id="121"/>
      <w:bookmarkEnd w:id="122"/>
      <w:bookmarkEnd w:id="123"/>
    </w:p>
    <w:p w14:paraId="1496B8BA" w14:textId="43960678" w:rsidR="005153F4" w:rsidRDefault="00A0188D" w:rsidP="006A2440">
      <w:r w:rsidRPr="00A70469">
        <w:t>For</w:t>
      </w:r>
      <w:r w:rsidR="006A2440" w:rsidRPr="00777277">
        <w:t xml:space="preserve"> all other standing offers (for example, non-standard time of use and demand tariffs) </w:t>
      </w:r>
      <w:r w:rsidR="00A403BE" w:rsidRPr="00A70469">
        <w:t>we determine</w:t>
      </w:r>
      <w:r w:rsidR="00001C0E">
        <w:t>d</w:t>
      </w:r>
      <w:r w:rsidR="00A403BE" w:rsidRPr="00A70469">
        <w:t xml:space="preserve"> </w:t>
      </w:r>
      <w:r w:rsidR="006A2440" w:rsidRPr="00777277">
        <w:t>a compliant maximum annual bill</w:t>
      </w:r>
      <w:r w:rsidR="004748E4">
        <w:t xml:space="preserve"> </w:t>
      </w:r>
      <w:r w:rsidR="007F5848">
        <w:t>amount</w:t>
      </w:r>
      <w:r w:rsidR="00512C2E" w:rsidRPr="00A70469">
        <w:t xml:space="preserve">, which is the </w:t>
      </w:r>
      <w:r w:rsidR="006F7FFA" w:rsidRPr="00A70469">
        <w:t>maximum annual electr</w:t>
      </w:r>
      <w:r w:rsidR="000D4D37">
        <w:t>i</w:t>
      </w:r>
      <w:r w:rsidR="006F7FFA" w:rsidRPr="00A70469">
        <w:t xml:space="preserve">city amount that </w:t>
      </w:r>
      <w:r w:rsidR="00FF7B92">
        <w:t xml:space="preserve">a </w:t>
      </w:r>
      <w:r w:rsidR="006F7FFA" w:rsidRPr="00A70469">
        <w:t xml:space="preserve">customer </w:t>
      </w:r>
      <w:r w:rsidR="00FF7B92">
        <w:t>is</w:t>
      </w:r>
      <w:r w:rsidR="006F7FFA" w:rsidRPr="00A70469">
        <w:t xml:space="preserve"> to pay under th</w:t>
      </w:r>
      <w:r w:rsidR="00851983" w:rsidRPr="00A70469">
        <w:t>ese</w:t>
      </w:r>
      <w:r w:rsidR="006F7FFA" w:rsidRPr="00A70469">
        <w:t xml:space="preserve"> standing offer</w:t>
      </w:r>
      <w:r w:rsidR="00851983" w:rsidRPr="00A70469">
        <w:t>s</w:t>
      </w:r>
      <w:r w:rsidR="006A2440" w:rsidRPr="00777277">
        <w:t>.</w:t>
      </w:r>
      <w:r w:rsidR="006A2440" w:rsidRPr="00F74CFE">
        <w:t xml:space="preserve"> </w:t>
      </w:r>
    </w:p>
    <w:p w14:paraId="62F5E1D3" w14:textId="19C26CCB" w:rsidR="005153F4" w:rsidRDefault="006E595B" w:rsidP="00A70469">
      <w:pPr>
        <w:pStyle w:val="Heading3"/>
      </w:pPr>
      <w:r>
        <w:t>A</w:t>
      </w:r>
      <w:r w:rsidR="00B84589">
        <w:t xml:space="preserve">mount based on </w:t>
      </w:r>
      <w:r>
        <w:t>flat tariffs</w:t>
      </w:r>
    </w:p>
    <w:p w14:paraId="234B1BBA" w14:textId="1C1DB950" w:rsidR="00524BA0" w:rsidRDefault="00291C3C" w:rsidP="006A2440">
      <w:r>
        <w:t>The pricing order requires that we</w:t>
      </w:r>
      <w:r w:rsidR="007F5848" w:rsidRPr="007850F4">
        <w:t xml:space="preserve"> base the</w:t>
      </w:r>
      <w:r w:rsidR="006A2440" w:rsidRPr="007850F4">
        <w:t xml:space="preserve"> compliant maximum annual bill </w:t>
      </w:r>
      <w:r w:rsidR="005D1925" w:rsidRPr="007850F4">
        <w:t xml:space="preserve">amount </w:t>
      </w:r>
      <w:r w:rsidR="00424F96" w:rsidRPr="007850F4">
        <w:t xml:space="preserve">on the standing </w:t>
      </w:r>
      <w:r w:rsidR="00B84589" w:rsidRPr="007850F4">
        <w:t xml:space="preserve">offer </w:t>
      </w:r>
      <w:r w:rsidR="00424F96" w:rsidRPr="007850F4">
        <w:t>tariff</w:t>
      </w:r>
      <w:r w:rsidR="006E595B" w:rsidRPr="007850F4">
        <w:t>s</w:t>
      </w:r>
      <w:r w:rsidR="00152BD4" w:rsidRPr="007850F4">
        <w:t xml:space="preserve"> </w:t>
      </w:r>
      <w:r w:rsidR="002C05EE">
        <w:t>d</w:t>
      </w:r>
      <w:r w:rsidR="00152BD4" w:rsidRPr="007850F4">
        <w:t>etermined to apply for</w:t>
      </w:r>
      <w:r w:rsidR="006A2440" w:rsidRPr="007850F4">
        <w:t xml:space="preserve"> </w:t>
      </w:r>
      <w:r w:rsidR="00CF0A7C">
        <w:t>V</w:t>
      </w:r>
      <w:r w:rsidR="002C05EE">
        <w:t xml:space="preserve">ictorian </w:t>
      </w:r>
      <w:r w:rsidR="00CF0A7C">
        <w:t>D</w:t>
      </w:r>
      <w:r w:rsidR="002C05EE">
        <w:t xml:space="preserve">efault </w:t>
      </w:r>
      <w:r w:rsidR="00CF0A7C">
        <w:t>O</w:t>
      </w:r>
      <w:r w:rsidR="002C05EE">
        <w:t>ffer</w:t>
      </w:r>
      <w:r w:rsidR="00CF0A7C">
        <w:t xml:space="preserve"> </w:t>
      </w:r>
      <w:r w:rsidR="00BF0C0E" w:rsidRPr="007850F4">
        <w:t>flat</w:t>
      </w:r>
      <w:r w:rsidR="006A2440" w:rsidRPr="007850F4">
        <w:t xml:space="preserve"> tariffs</w:t>
      </w:r>
      <w:r w:rsidR="00414FF5">
        <w:t xml:space="preserve"> in 2025</w:t>
      </w:r>
      <w:r w:rsidR="00783F32">
        <w:t>–</w:t>
      </w:r>
      <w:r w:rsidR="00414FF5">
        <w:t>26</w:t>
      </w:r>
      <w:r w:rsidR="006A2440" w:rsidRPr="007850F4">
        <w:t>.</w:t>
      </w:r>
      <w:r w:rsidR="00783F32">
        <w:rPr>
          <w:rStyle w:val="FootnoteReference"/>
        </w:rPr>
        <w:footnoteReference w:id="176"/>
      </w:r>
      <w:r w:rsidR="00414FF5">
        <w:t xml:space="preserve"> </w:t>
      </w:r>
      <w:r w:rsidR="008B1CAB" w:rsidRPr="00A70469">
        <w:t>I</w:t>
      </w:r>
      <w:r w:rsidR="00152BD4" w:rsidRPr="007850F4">
        <w:t xml:space="preserve">n </w:t>
      </w:r>
      <w:r w:rsidR="00214CE3">
        <w:t xml:space="preserve">our past </w:t>
      </w:r>
      <w:r w:rsidR="001D4EE5">
        <w:t>three</w:t>
      </w:r>
      <w:r w:rsidR="00214CE3">
        <w:t xml:space="preserve"> </w:t>
      </w:r>
      <w:r w:rsidR="00A672FF" w:rsidRPr="007850F4">
        <w:t xml:space="preserve">Victorian Default Offer price </w:t>
      </w:r>
      <w:r w:rsidR="00152BD4" w:rsidRPr="007850F4">
        <w:t>determination</w:t>
      </w:r>
      <w:r w:rsidR="00A672FF" w:rsidRPr="007850F4">
        <w:t>s</w:t>
      </w:r>
      <w:r w:rsidR="00152BD4" w:rsidRPr="007850F4">
        <w:t xml:space="preserve">, we </w:t>
      </w:r>
      <w:r w:rsidR="000F4AE4" w:rsidRPr="00A70469">
        <w:t xml:space="preserve">based </w:t>
      </w:r>
      <w:r w:rsidR="007850F4" w:rsidRPr="007850F4">
        <w:t xml:space="preserve">the compliant maximum annual bill amount </w:t>
      </w:r>
      <w:r w:rsidR="007850F4" w:rsidRPr="007850F4">
        <w:lastRenderedPageBreak/>
        <w:t xml:space="preserve">on the standing offer tariffs that we determined to </w:t>
      </w:r>
      <w:r w:rsidR="007850F4" w:rsidRPr="00A70469">
        <w:t>apply for</w:t>
      </w:r>
      <w:r w:rsidR="006A2440" w:rsidRPr="007850F4">
        <w:t xml:space="preserve"> two-period time of use tariff</w:t>
      </w:r>
      <w:r w:rsidR="00A672FF" w:rsidRPr="007850F4">
        <w:t>s</w:t>
      </w:r>
      <w:r w:rsidR="006A2440" w:rsidRPr="007850F4">
        <w:t>.</w:t>
      </w:r>
      <w:r w:rsidR="006A2440" w:rsidRPr="00F74CFE">
        <w:t xml:space="preserve"> </w:t>
      </w:r>
      <w:r w:rsidR="00293BD1">
        <w:t>T</w:t>
      </w:r>
      <w:r w:rsidR="007850F4">
        <w:t xml:space="preserve">his approach </w:t>
      </w:r>
      <w:r w:rsidR="00293BD1">
        <w:t>did not comply</w:t>
      </w:r>
      <w:r w:rsidR="007850F4">
        <w:t xml:space="preserve"> with the requirements of the pricing order. </w:t>
      </w:r>
    </w:p>
    <w:p w14:paraId="49994911" w14:textId="4935C810" w:rsidR="006A2440" w:rsidRPr="00F74CFE" w:rsidRDefault="008035E7" w:rsidP="006A2440">
      <w:r w:rsidRPr="00450A94">
        <w:t>For c</w:t>
      </w:r>
      <w:r w:rsidR="00524BA0" w:rsidRPr="00450A94">
        <w:t xml:space="preserve">ustomers on these </w:t>
      </w:r>
      <w:r w:rsidR="00462AD8" w:rsidRPr="00450A94">
        <w:t>standing offers</w:t>
      </w:r>
      <w:r w:rsidRPr="00450A94">
        <w:t>, ou</w:t>
      </w:r>
      <w:r w:rsidR="00B5705B" w:rsidRPr="00450A94">
        <w:t xml:space="preserve">r </w:t>
      </w:r>
      <w:r w:rsidR="008B33B4" w:rsidRPr="00450A94">
        <w:t>previous approach resulted in compliant maximum annual bill</w:t>
      </w:r>
      <w:r w:rsidR="00B446F1">
        <w:t>s</w:t>
      </w:r>
      <w:r w:rsidR="008B33B4" w:rsidRPr="00450A94">
        <w:t xml:space="preserve"> being</w:t>
      </w:r>
      <w:r w:rsidR="00EC3A1C" w:rsidRPr="00A70469">
        <w:t xml:space="preserve"> about</w:t>
      </w:r>
      <w:r w:rsidR="008B33B4" w:rsidRPr="00450A94">
        <w:t xml:space="preserve"> </w:t>
      </w:r>
      <w:r w:rsidR="00925F6E" w:rsidRPr="00450A94">
        <w:t>$</w:t>
      </w:r>
      <w:r w:rsidR="00E53FA3">
        <w:t>30</w:t>
      </w:r>
      <w:r w:rsidR="00F241AA" w:rsidRPr="00A70469">
        <w:t xml:space="preserve"> lower</w:t>
      </w:r>
      <w:r w:rsidR="004A1A78" w:rsidRPr="00A70469">
        <w:t xml:space="preserve"> </w:t>
      </w:r>
      <w:r w:rsidR="009478C2" w:rsidRPr="00A70469">
        <w:t xml:space="preserve">than if </w:t>
      </w:r>
      <w:r w:rsidR="008F0104">
        <w:t>the bill</w:t>
      </w:r>
      <w:r w:rsidR="001F3302">
        <w:t>s</w:t>
      </w:r>
      <w:r w:rsidR="009478C2" w:rsidRPr="00A70469">
        <w:t xml:space="preserve"> had been </w:t>
      </w:r>
      <w:r w:rsidR="00E41151" w:rsidRPr="00A70469">
        <w:t xml:space="preserve">calculated by reference to the </w:t>
      </w:r>
      <w:r w:rsidR="001D4EE5">
        <w:t>correct</w:t>
      </w:r>
      <w:r w:rsidR="00E41151" w:rsidRPr="00A70469">
        <w:t xml:space="preserve"> flat tariff</w:t>
      </w:r>
      <w:r w:rsidR="007571B4" w:rsidRPr="00A70469">
        <w:t xml:space="preserve"> </w:t>
      </w:r>
      <w:r w:rsidR="004A1A78" w:rsidRPr="00A70469">
        <w:t>(</w:t>
      </w:r>
      <w:r w:rsidR="008F0104">
        <w:t xml:space="preserve">on </w:t>
      </w:r>
      <w:r w:rsidR="004A1A78" w:rsidRPr="00A70469">
        <w:t>averag</w:t>
      </w:r>
      <w:r w:rsidR="008F0104">
        <w:t>e</w:t>
      </w:r>
      <w:r w:rsidR="004A1A78" w:rsidRPr="00A70469">
        <w:t xml:space="preserve"> over </w:t>
      </w:r>
      <w:r w:rsidR="009478C2" w:rsidRPr="00A70469">
        <w:t>three pricing determination periods)</w:t>
      </w:r>
      <w:r w:rsidRPr="00450A94">
        <w:t xml:space="preserve">. </w:t>
      </w:r>
      <w:r w:rsidR="00DC7E68">
        <w:t>W</w:t>
      </w:r>
      <w:r w:rsidR="0080056F" w:rsidRPr="00A70469">
        <w:t xml:space="preserve">e </w:t>
      </w:r>
      <w:r w:rsidR="007850F4" w:rsidRPr="00450A94">
        <w:t xml:space="preserve">estimate that </w:t>
      </w:r>
      <w:r w:rsidR="00524BA0" w:rsidRPr="00450A94">
        <w:t xml:space="preserve">there are </w:t>
      </w:r>
      <w:r w:rsidR="00680FB7" w:rsidRPr="00A70469">
        <w:t xml:space="preserve">less than </w:t>
      </w:r>
      <w:r w:rsidR="007C0C56">
        <w:t>200</w:t>
      </w:r>
      <w:r w:rsidR="00680FB7" w:rsidRPr="00A70469">
        <w:t xml:space="preserve"> </w:t>
      </w:r>
      <w:r w:rsidR="0080056F" w:rsidRPr="00A70469">
        <w:t xml:space="preserve">domestic </w:t>
      </w:r>
      <w:r w:rsidR="00524BA0" w:rsidRPr="00450A94">
        <w:t xml:space="preserve">customers on these </w:t>
      </w:r>
      <w:r w:rsidR="006F5A2B" w:rsidRPr="00A70469">
        <w:t xml:space="preserve">non-standard </w:t>
      </w:r>
      <w:r w:rsidR="00524BA0" w:rsidRPr="00450A94">
        <w:t>standing offers</w:t>
      </w:r>
      <w:r w:rsidR="005C2576">
        <w:t xml:space="preserve">, which means the impact </w:t>
      </w:r>
      <w:r w:rsidR="001A720E">
        <w:t xml:space="preserve">to retailers </w:t>
      </w:r>
      <w:r w:rsidR="005C2576">
        <w:t>of this</w:t>
      </w:r>
      <w:r w:rsidR="001F3302">
        <w:t xml:space="preserve"> </w:t>
      </w:r>
      <w:r w:rsidR="00DC7E68">
        <w:t xml:space="preserve">error is </w:t>
      </w:r>
      <w:r w:rsidR="00C1554F">
        <w:t>likely to be</w:t>
      </w:r>
      <w:r w:rsidR="00DC7E68">
        <w:t xml:space="preserve"> </w:t>
      </w:r>
      <w:r w:rsidR="00FA186A">
        <w:t>very</w:t>
      </w:r>
      <w:r w:rsidR="00DC7E68">
        <w:t xml:space="preserve"> low.</w:t>
      </w:r>
      <w:r w:rsidR="00524BA0">
        <w:t xml:space="preserve"> </w:t>
      </w:r>
    </w:p>
    <w:p w14:paraId="255EDABD" w14:textId="77777777" w:rsidR="006A2440" w:rsidRPr="00D86FE5" w:rsidRDefault="006A2440" w:rsidP="006A2440">
      <w:pPr>
        <w:pStyle w:val="Heading3"/>
      </w:pPr>
      <w:r w:rsidRPr="00D86FE5">
        <w:t>Annual reference consumption amount</w:t>
      </w:r>
    </w:p>
    <w:p w14:paraId="42FA4001" w14:textId="59D49410" w:rsidR="006A2440" w:rsidRPr="00D86FE5" w:rsidRDefault="009A1B36" w:rsidP="006A2440">
      <w:r>
        <w:t>T</w:t>
      </w:r>
      <w:r w:rsidR="006A2440" w:rsidRPr="00D86FE5">
        <w:t>he annual reference consumption amount used to determine the compliant maximum annual bill amount is as follows:</w:t>
      </w:r>
    </w:p>
    <w:p w14:paraId="15763ACF" w14:textId="7A897190" w:rsidR="006A2440" w:rsidRPr="00D86FE5" w:rsidRDefault="006A2440" w:rsidP="4EB6CF14">
      <w:pPr>
        <w:pStyle w:val="ListBullet"/>
      </w:pPr>
      <w:r w:rsidRPr="00D86FE5">
        <w:t>For domestic customers, there will be five maximum annual bills (one for each distribution zone), calculated for a representative customer consumption of 4,000 kWh per year.</w:t>
      </w:r>
      <w:r w:rsidR="0085425F">
        <w:rPr>
          <w:rStyle w:val="FootnoteReference"/>
        </w:rPr>
        <w:footnoteReference w:id="177"/>
      </w:r>
    </w:p>
    <w:p w14:paraId="73BAE5DF" w14:textId="1F04A103" w:rsidR="006A2440" w:rsidRPr="00D86FE5" w:rsidRDefault="006A2440" w:rsidP="4EB6CF14">
      <w:pPr>
        <w:pStyle w:val="ListBullet"/>
      </w:pPr>
      <w:r w:rsidRPr="00D86FE5">
        <w:t>For small business customers, there will be five maximum annual bills (one for each distribution zone), calculated for a representative customer consumption of 20,000 kWh per year.</w:t>
      </w:r>
      <w:r w:rsidR="008618BA">
        <w:rPr>
          <w:rStyle w:val="FootnoteReference"/>
        </w:rPr>
        <w:footnoteReference w:id="178"/>
      </w:r>
    </w:p>
    <w:p w14:paraId="64119193" w14:textId="77777777" w:rsidR="006A2440" w:rsidRPr="00D86FE5" w:rsidRDefault="006A2440" w:rsidP="006A2440">
      <w:r w:rsidRPr="00D86FE5">
        <w:t>For the purposes of calculating the compliant maximum annual bill amount, we assume customers use the same amount of electricity on each day of the year.</w:t>
      </w:r>
    </w:p>
    <w:p w14:paraId="3320DC10" w14:textId="77777777" w:rsidR="006A2440" w:rsidRPr="00587F60" w:rsidRDefault="006A2440" w:rsidP="006A2440">
      <w:pPr>
        <w:pStyle w:val="Heading3"/>
      </w:pPr>
      <w:r w:rsidRPr="00587F60">
        <w:t>Calculating the compliant maximum annual bill amount</w:t>
      </w:r>
    </w:p>
    <w:p w14:paraId="0EA72237" w14:textId="2E767CE6" w:rsidR="006A2440" w:rsidRPr="00587F60" w:rsidRDefault="006A2440" w:rsidP="006A2440">
      <w:r w:rsidRPr="00587F60">
        <w:t>The compliant maximum annual bill amount is calculated using the relevant:</w:t>
      </w:r>
    </w:p>
    <w:p w14:paraId="3CD847A3" w14:textId="3B76F07B" w:rsidR="006A2440" w:rsidRPr="00FB5837" w:rsidRDefault="006A2440" w:rsidP="4EB6CF14">
      <w:pPr>
        <w:pStyle w:val="ListBullet"/>
      </w:pPr>
      <w:r w:rsidRPr="00FB5837">
        <w:t>annual reference consumption amount</w:t>
      </w:r>
      <w:r w:rsidR="005C7112">
        <w:rPr>
          <w:rStyle w:val="FootnoteReference"/>
        </w:rPr>
        <w:footnoteReference w:id="179"/>
      </w:r>
      <w:r w:rsidRPr="0091314D">
        <w:rPr>
          <w:vertAlign w:val="superscript"/>
        </w:rPr>
        <w:t xml:space="preserve"> </w:t>
      </w:r>
    </w:p>
    <w:p w14:paraId="68A11450" w14:textId="78EE887B" w:rsidR="006A2440" w:rsidRPr="00587F60" w:rsidRDefault="00155409" w:rsidP="0091314D">
      <w:pPr>
        <w:pStyle w:val="ListBullet"/>
      </w:pPr>
      <w:r w:rsidRPr="00A70469">
        <w:t>flat</w:t>
      </w:r>
      <w:r w:rsidR="006A2440" w:rsidRPr="00587F60">
        <w:t xml:space="preserve"> tariff determined by the commission for each distribution zone. </w:t>
      </w:r>
    </w:p>
    <w:p w14:paraId="0695228C" w14:textId="77777777" w:rsidR="006A2440" w:rsidRPr="00B554B8" w:rsidRDefault="006A2440" w:rsidP="006A2440">
      <w:pPr>
        <w:pStyle w:val="Heading3"/>
      </w:pPr>
      <w:r w:rsidRPr="00B554B8">
        <w:t xml:space="preserve">Retailers must show they comply with the maximum annual bill amount </w:t>
      </w:r>
    </w:p>
    <w:p w14:paraId="39904D93" w14:textId="25ED5285" w:rsidR="006A2440" w:rsidRPr="00B554B8" w:rsidRDefault="006A2440" w:rsidP="006A2440">
      <w:r w:rsidRPr="00B554B8">
        <w:t xml:space="preserve">If offering non-standard standing </w:t>
      </w:r>
      <w:r w:rsidR="00E54C20">
        <w:t>offer</w:t>
      </w:r>
      <w:r w:rsidR="00A14006">
        <w:t>s</w:t>
      </w:r>
      <w:r w:rsidR="009229B1">
        <w:t>,</w:t>
      </w:r>
      <w:r w:rsidRPr="00B554B8">
        <w:t xml:space="preserve"> a retailer must show the tariffs </w:t>
      </w:r>
      <w:r w:rsidR="00AC3D89">
        <w:t>charged under these offers</w:t>
      </w:r>
      <w:r w:rsidRPr="00B554B8">
        <w:t xml:space="preserve"> do not result in a total annual electricity bill that exceeds the relevant compliant maximum annual bill amount determined by the commission. </w:t>
      </w:r>
    </w:p>
    <w:p w14:paraId="28FDA408" w14:textId="631FCB64" w:rsidR="006A2440" w:rsidRPr="00B554B8" w:rsidRDefault="006A2440" w:rsidP="006A2440">
      <w:r w:rsidRPr="00B554B8">
        <w:t xml:space="preserve">In determining </w:t>
      </w:r>
      <w:r w:rsidR="002132C9">
        <w:t xml:space="preserve">the tariff for </w:t>
      </w:r>
      <w:r w:rsidRPr="00B554B8">
        <w:t xml:space="preserve">non-standard </w:t>
      </w:r>
      <w:r w:rsidR="00482585">
        <w:t>standing offer</w:t>
      </w:r>
      <w:r w:rsidRPr="00B554B8">
        <w:t>s, the retailer must use its representative usage profile, or relevant usage allocations, which reflects a reasonably representative estimate of consumption for the applicable group of customers over a 365-day period.</w:t>
      </w:r>
    </w:p>
    <w:p w14:paraId="1B2A6818" w14:textId="0D9227CF" w:rsidR="009F3DCF" w:rsidRPr="00B554B8" w:rsidRDefault="006A2440" w:rsidP="009F3DCF">
      <w:r w:rsidRPr="00B554B8">
        <w:lastRenderedPageBreak/>
        <w:t xml:space="preserve">A retailer’s estimated annual electricity bill for a non-standard </w:t>
      </w:r>
      <w:r w:rsidR="00637F37">
        <w:t>standing offer</w:t>
      </w:r>
      <w:r w:rsidRPr="00B554B8">
        <w:t xml:space="preserve"> must be calculated using the </w:t>
      </w:r>
      <w:r w:rsidRPr="00FB5837">
        <w:t>relevant annual reference consumption amount for total annual usage as determined by the</w:t>
      </w:r>
      <w:r w:rsidRPr="00B554B8">
        <w:t xml:space="preserve"> commission. This total usage amount must then be allocated according to the retailer’s representative usage profile and multiplied by the retailer’s relevant non-standard </w:t>
      </w:r>
      <w:r w:rsidR="00AD2098">
        <w:t xml:space="preserve">standing offer </w:t>
      </w:r>
      <w:r w:rsidRPr="00B554B8">
        <w:t>tariff rates.</w:t>
      </w:r>
    </w:p>
    <w:p w14:paraId="6A0C151D" w14:textId="565A0266" w:rsidR="008771ED" w:rsidRDefault="00FF74E4" w:rsidP="003079DB">
      <w:r w:rsidRPr="00B554B8">
        <w:t>The compliant maximum annual bill helps to ensure that all standing offer customers are covered by the Victorian Default Offer</w:t>
      </w:r>
      <w:r w:rsidR="00B85C3B">
        <w:t>.</w:t>
      </w:r>
    </w:p>
    <w:p w14:paraId="7ADB1CB4" w14:textId="77777777" w:rsidR="00352AE2" w:rsidRDefault="00352AE2" w:rsidP="00352AE2">
      <w:pPr>
        <w:jc w:val="right"/>
      </w:pPr>
    </w:p>
    <w:p w14:paraId="16791F51" w14:textId="1525817C" w:rsidR="008771ED" w:rsidRDefault="008771ED" w:rsidP="003079DB">
      <w:pPr>
        <w:sectPr w:rsidR="008771ED" w:rsidSect="00D54877">
          <w:headerReference w:type="even" r:id="rId40"/>
          <w:footerReference w:type="default" r:id="rId41"/>
          <w:headerReference w:type="first" r:id="rId42"/>
          <w:type w:val="continuous"/>
          <w:pgSz w:w="11906" w:h="16838" w:code="9"/>
          <w:pgMar w:top="1134" w:right="1134" w:bottom="1134" w:left="1134" w:header="709" w:footer="692" w:gutter="0"/>
          <w:cols w:space="708"/>
          <w:docGrid w:linePitch="360"/>
        </w:sectPr>
      </w:pPr>
    </w:p>
    <w:p w14:paraId="2F44B840" w14:textId="00E0E301" w:rsidR="00A672AE" w:rsidRDefault="007C6DBF" w:rsidP="00C47364">
      <w:pPr>
        <w:pStyle w:val="Heading1"/>
      </w:pPr>
      <w:bookmarkStart w:id="124" w:name="_Ref188877801"/>
      <w:bookmarkStart w:id="125" w:name="_Toc191027396"/>
      <w:bookmarkStart w:id="126" w:name="_Toc198808339"/>
      <w:bookmarkEnd w:id="45"/>
      <w:bookmarkEnd w:id="46"/>
      <w:bookmarkEnd w:id="47"/>
      <w:r>
        <w:lastRenderedPageBreak/>
        <w:t>Appendix A: Calculating the cost stack</w:t>
      </w:r>
      <w:bookmarkEnd w:id="124"/>
      <w:bookmarkEnd w:id="125"/>
      <w:bookmarkEnd w:id="126"/>
    </w:p>
    <w:p w14:paraId="6A89BCCC" w14:textId="60889134" w:rsidR="005865D8" w:rsidRDefault="005865D8" w:rsidP="005865D8">
      <w:bookmarkStart w:id="127" w:name="_Toc48315279"/>
      <w:bookmarkStart w:id="128" w:name="_Toc50655587"/>
      <w:bookmarkStart w:id="129" w:name="_Toc88656427"/>
      <w:bookmarkStart w:id="130" w:name="_Toc95924857"/>
      <w:bookmarkStart w:id="131" w:name="_Toc103191776"/>
      <w:bookmarkStart w:id="132" w:name="_Toc103884126"/>
      <w:bookmarkStart w:id="133" w:name="_Toc160817053"/>
      <w:bookmarkStart w:id="134" w:name="_Toc191027397"/>
      <w:r w:rsidRPr="00B52ED0">
        <w:t xml:space="preserve">This appendix provides a summary of </w:t>
      </w:r>
      <w:r>
        <w:t xml:space="preserve">the cost components and inputs used </w:t>
      </w:r>
      <w:r w:rsidRPr="00B52ED0">
        <w:t xml:space="preserve">to determine the </w:t>
      </w:r>
      <w:r w:rsidRPr="00FC1478">
        <w:t>2025</w:t>
      </w:r>
      <w:r w:rsidRPr="00FC1478">
        <w:rPr>
          <w:rFonts w:ascii="Arial" w:eastAsia="Arial" w:hAnsi="Arial" w:cs="Arial"/>
        </w:rPr>
        <w:t>–</w:t>
      </w:r>
      <w:r w:rsidRPr="00FC1478">
        <w:t>26</w:t>
      </w:r>
      <w:r w:rsidRPr="00C724CD">
        <w:t xml:space="preserve"> </w:t>
      </w:r>
      <w:r w:rsidRPr="00B52ED0">
        <w:t xml:space="preserve">Victorian Default Offer </w:t>
      </w:r>
      <w:r w:rsidRPr="00B554B8">
        <w:t xml:space="preserve">tariffs and </w:t>
      </w:r>
      <w:r>
        <w:t xml:space="preserve">the compliant </w:t>
      </w:r>
      <w:r w:rsidRPr="00B554B8">
        <w:t xml:space="preserve">maximum </w:t>
      </w:r>
      <w:r>
        <w:t xml:space="preserve">annual </w:t>
      </w:r>
      <w:r w:rsidRPr="00B554B8">
        <w:t>bill</w:t>
      </w:r>
      <w:r>
        <w:t xml:space="preserve"> set out in the commission’s final decision</w:t>
      </w:r>
      <w:r w:rsidRPr="00B554B8">
        <w:t>.</w:t>
      </w:r>
    </w:p>
    <w:p w14:paraId="15AC4FBD" w14:textId="7069ACA5" w:rsidR="00275412" w:rsidRPr="006136B6" w:rsidRDefault="00275412" w:rsidP="00275412">
      <w:pPr>
        <w:pStyle w:val="Heading2"/>
      </w:pPr>
      <w:bookmarkStart w:id="135" w:name="_Toc198808340"/>
      <w:r w:rsidRPr="006136B6">
        <w:t>Wholesale electricity costs</w:t>
      </w:r>
      <w:bookmarkEnd w:id="127"/>
      <w:bookmarkEnd w:id="128"/>
      <w:bookmarkEnd w:id="129"/>
      <w:bookmarkEnd w:id="130"/>
      <w:bookmarkEnd w:id="131"/>
      <w:bookmarkEnd w:id="132"/>
      <w:bookmarkEnd w:id="133"/>
      <w:bookmarkEnd w:id="134"/>
      <w:bookmarkEnd w:id="135"/>
      <w:r w:rsidR="00EB2961">
        <w:t xml:space="preserve"> </w:t>
      </w:r>
    </w:p>
    <w:p w14:paraId="3CEA34D5" w14:textId="17A12668" w:rsidR="00275412" w:rsidRPr="005A1437" w:rsidRDefault="001A75AB" w:rsidP="00275412">
      <w:r>
        <w:t>W</w:t>
      </w:r>
      <w:r w:rsidR="00275412" w:rsidRPr="00C724CD">
        <w:t xml:space="preserve">holesale </w:t>
      </w:r>
      <w:r w:rsidR="00251DE2">
        <w:t xml:space="preserve">electricity </w:t>
      </w:r>
      <w:r w:rsidR="00275412" w:rsidRPr="00C724CD">
        <w:t>cost</w:t>
      </w:r>
      <w:r w:rsidR="0087702D">
        <w:t xml:space="preserve"> inputs</w:t>
      </w:r>
      <w:r w:rsidR="00387382">
        <w:t xml:space="preserve"> and volati</w:t>
      </w:r>
      <w:r w:rsidR="008C295C">
        <w:t>lity adjustment</w:t>
      </w:r>
      <w:r w:rsidR="00275412" w:rsidRPr="00C724CD">
        <w:t xml:space="preserve"> for </w:t>
      </w:r>
      <w:r w:rsidR="00165AD4">
        <w:t xml:space="preserve">the </w:t>
      </w:r>
      <w:r w:rsidR="00275412" w:rsidRPr="00FC1478">
        <w:t>2025</w:t>
      </w:r>
      <w:r w:rsidR="00275412" w:rsidRPr="00FC1478">
        <w:rPr>
          <w:rFonts w:ascii="Arial" w:eastAsia="Arial" w:hAnsi="Arial" w:cs="Arial"/>
        </w:rPr>
        <w:t>–</w:t>
      </w:r>
      <w:r w:rsidR="00275412" w:rsidRPr="00FC1478">
        <w:t>26</w:t>
      </w:r>
      <w:r w:rsidR="00275412" w:rsidRPr="00C724CD">
        <w:t xml:space="preserve"> </w:t>
      </w:r>
      <w:r w:rsidR="00165AD4">
        <w:t xml:space="preserve">Victorian Default Offer </w:t>
      </w:r>
      <w:r w:rsidR="00275412" w:rsidRPr="00C724CD">
        <w:t>are presented in Table A.1.</w:t>
      </w:r>
    </w:p>
    <w:p w14:paraId="7FF9B25B" w14:textId="77777777" w:rsidR="00275412" w:rsidRPr="0079420B" w:rsidRDefault="00275412" w:rsidP="00F72CBD">
      <w:pPr>
        <w:pStyle w:val="Figure-Table-BoxHeading"/>
        <w:keepNext/>
        <w:ind w:left="851" w:hanging="851"/>
      </w:pPr>
      <w:bookmarkStart w:id="136" w:name="_Hlk49172641"/>
      <w:r w:rsidRPr="0015108A">
        <w:t xml:space="preserve">Table </w:t>
      </w:r>
      <w:r>
        <w:t>A</w:t>
      </w:r>
      <w:r w:rsidRPr="0015108A">
        <w:t>.</w:t>
      </w:r>
      <w:r w:rsidRPr="0079420B">
        <w:t>1: Wholesale electricity forecasts for 2025</w:t>
      </w:r>
      <w:r w:rsidRPr="0079420B">
        <w:rPr>
          <w:rFonts w:ascii="Arial" w:eastAsia="Arial" w:hAnsi="Arial" w:cs="Arial"/>
        </w:rPr>
        <w:t>–</w:t>
      </w:r>
      <w:r w:rsidRPr="0079420B">
        <w:t>26 ($/MWh, nominal, GST exclusive)</w:t>
      </w:r>
      <w:bookmarkEnd w:id="136"/>
    </w:p>
    <w:tbl>
      <w:tblPr>
        <w:tblStyle w:val="TableGrid"/>
        <w:tblW w:w="0" w:type="auto"/>
        <w:tblLook w:val="04A0" w:firstRow="1" w:lastRow="0" w:firstColumn="1" w:lastColumn="0" w:noHBand="0" w:noVBand="1"/>
      </w:tblPr>
      <w:tblGrid>
        <w:gridCol w:w="2006"/>
        <w:gridCol w:w="1436"/>
        <w:gridCol w:w="1417"/>
        <w:gridCol w:w="1436"/>
        <w:gridCol w:w="1417"/>
        <w:gridCol w:w="1926"/>
      </w:tblGrid>
      <w:tr w:rsidR="00275412" w:rsidRPr="0079420B" w14:paraId="39E3A06F" w14:textId="042C1A47" w:rsidTr="002E5BAC">
        <w:trPr>
          <w:cnfStyle w:val="100000000000" w:firstRow="1" w:lastRow="0" w:firstColumn="0" w:lastColumn="0" w:oddVBand="0" w:evenVBand="0" w:oddHBand="0" w:evenHBand="0" w:firstRowFirstColumn="0" w:firstRowLastColumn="0" w:lastRowFirstColumn="0" w:lastRowLastColumn="0"/>
        </w:trPr>
        <w:tc>
          <w:tcPr>
            <w:tcW w:w="2409" w:type="dxa"/>
          </w:tcPr>
          <w:p w14:paraId="293C4B3D" w14:textId="77777777" w:rsidR="00275412" w:rsidRPr="0079420B" w:rsidRDefault="00275412" w:rsidP="00F72CBD">
            <w:pPr>
              <w:pStyle w:val="TableHeading"/>
              <w:keepNext/>
            </w:pPr>
            <w:r w:rsidRPr="0079420B">
              <w:t>Distribution zone</w:t>
            </w:r>
          </w:p>
        </w:tc>
        <w:tc>
          <w:tcPr>
            <w:tcW w:w="2410" w:type="dxa"/>
            <w:gridSpan w:val="2"/>
          </w:tcPr>
          <w:p w14:paraId="091F3882" w14:textId="77777777" w:rsidR="00275412" w:rsidRPr="0079420B" w:rsidRDefault="00275412" w:rsidP="00F72CBD">
            <w:pPr>
              <w:pStyle w:val="TableHeading"/>
              <w:keepNext/>
            </w:pPr>
            <w:r w:rsidRPr="0079420B">
              <w:t>Domestic</w:t>
            </w:r>
          </w:p>
        </w:tc>
        <w:tc>
          <w:tcPr>
            <w:tcW w:w="2409" w:type="dxa"/>
            <w:gridSpan w:val="2"/>
          </w:tcPr>
          <w:p w14:paraId="0DC7826F" w14:textId="77777777" w:rsidR="00275412" w:rsidRPr="0079420B" w:rsidRDefault="00275412" w:rsidP="00F72CBD">
            <w:pPr>
              <w:pStyle w:val="TableHeading"/>
              <w:keepNext/>
            </w:pPr>
            <w:r w:rsidRPr="0079420B">
              <w:t>Small business</w:t>
            </w:r>
          </w:p>
        </w:tc>
        <w:tc>
          <w:tcPr>
            <w:tcW w:w="2410" w:type="dxa"/>
          </w:tcPr>
          <w:p w14:paraId="156A4269" w14:textId="08B3EBF9" w:rsidR="006B069E" w:rsidRDefault="006B069E" w:rsidP="00F72CBD">
            <w:pPr>
              <w:pStyle w:val="TableHeading"/>
              <w:keepNext/>
            </w:pPr>
            <w:r>
              <w:t>Both</w:t>
            </w:r>
          </w:p>
        </w:tc>
      </w:tr>
      <w:tr w:rsidR="00275412" w:rsidRPr="0079420B" w14:paraId="08AE95C3" w14:textId="52349422" w:rsidTr="002E5BAC">
        <w:trPr>
          <w:cnfStyle w:val="000000100000" w:firstRow="0" w:lastRow="0" w:firstColumn="0" w:lastColumn="0" w:oddVBand="0" w:evenVBand="0" w:oddHBand="1" w:evenHBand="0" w:firstRowFirstColumn="0" w:firstRowLastColumn="0" w:lastRowFirstColumn="0" w:lastRowLastColumn="0"/>
        </w:trPr>
        <w:tc>
          <w:tcPr>
            <w:tcW w:w="1606" w:type="dxa"/>
          </w:tcPr>
          <w:p w14:paraId="6C8EA06F" w14:textId="77777777" w:rsidR="00275412" w:rsidRPr="0079420B" w:rsidRDefault="00275412" w:rsidP="00F72CBD">
            <w:pPr>
              <w:keepNext/>
              <w:spacing w:before="0"/>
            </w:pPr>
          </w:p>
        </w:tc>
        <w:tc>
          <w:tcPr>
            <w:tcW w:w="1606" w:type="dxa"/>
          </w:tcPr>
          <w:p w14:paraId="36ADA18F" w14:textId="77777777" w:rsidR="00275412" w:rsidRPr="0079420B" w:rsidRDefault="00275412" w:rsidP="00F72CBD">
            <w:pPr>
              <w:keepNext/>
              <w:spacing w:before="0"/>
              <w:rPr>
                <w:color w:val="4986A0" w:themeColor="text2"/>
              </w:rPr>
            </w:pPr>
            <w:r w:rsidRPr="0079420B">
              <w:rPr>
                <w:color w:val="4986A0" w:themeColor="text2"/>
              </w:rPr>
              <w:t>Wholesale price</w:t>
            </w:r>
          </w:p>
        </w:tc>
        <w:tc>
          <w:tcPr>
            <w:tcW w:w="1607" w:type="dxa"/>
          </w:tcPr>
          <w:p w14:paraId="3E1BBFB2" w14:textId="6D96C676" w:rsidR="00275412" w:rsidRPr="0079420B" w:rsidRDefault="00275412" w:rsidP="00F72CBD">
            <w:pPr>
              <w:keepNext/>
              <w:spacing w:before="0"/>
            </w:pPr>
            <w:r w:rsidRPr="0079420B">
              <w:rPr>
                <w:color w:val="4986A0" w:themeColor="text2"/>
              </w:rPr>
              <w:t xml:space="preserve">Volatility </w:t>
            </w:r>
            <w:r w:rsidR="008C295C">
              <w:rPr>
                <w:color w:val="4986A0" w:themeColor="text2"/>
              </w:rPr>
              <w:t>allowance</w:t>
            </w:r>
          </w:p>
        </w:tc>
        <w:tc>
          <w:tcPr>
            <w:tcW w:w="1606" w:type="dxa"/>
          </w:tcPr>
          <w:p w14:paraId="4995D3D9" w14:textId="77777777" w:rsidR="00275412" w:rsidRPr="0079420B" w:rsidRDefault="00275412" w:rsidP="00F72CBD">
            <w:pPr>
              <w:keepNext/>
              <w:spacing w:before="0"/>
            </w:pPr>
            <w:r w:rsidRPr="0079420B">
              <w:rPr>
                <w:color w:val="4986A0" w:themeColor="text2"/>
              </w:rPr>
              <w:t>Wholesale price</w:t>
            </w:r>
          </w:p>
        </w:tc>
        <w:tc>
          <w:tcPr>
            <w:tcW w:w="1606" w:type="dxa"/>
          </w:tcPr>
          <w:p w14:paraId="13ED10EA" w14:textId="4C489B1F" w:rsidR="00275412" w:rsidRPr="0079420B" w:rsidRDefault="00275412" w:rsidP="00F72CBD">
            <w:pPr>
              <w:keepNext/>
              <w:spacing w:before="0"/>
            </w:pPr>
            <w:r w:rsidRPr="0079420B">
              <w:rPr>
                <w:color w:val="4986A0" w:themeColor="text2"/>
              </w:rPr>
              <w:t>Volatility a</w:t>
            </w:r>
            <w:r w:rsidR="008C295C">
              <w:rPr>
                <w:color w:val="4986A0" w:themeColor="text2"/>
              </w:rPr>
              <w:t>llowance</w:t>
            </w:r>
          </w:p>
        </w:tc>
        <w:tc>
          <w:tcPr>
            <w:tcW w:w="1607" w:type="dxa"/>
          </w:tcPr>
          <w:p w14:paraId="6D68E1B6" w14:textId="3510A5D7" w:rsidR="006B069E" w:rsidRDefault="006B069E" w:rsidP="00F72CBD">
            <w:pPr>
              <w:keepNext/>
              <w:spacing w:before="0"/>
              <w:rPr>
                <w:color w:val="4986A0" w:themeColor="text2"/>
              </w:rPr>
            </w:pPr>
            <w:r>
              <w:rPr>
                <w:color w:val="4986A0" w:themeColor="text2"/>
              </w:rPr>
              <w:t>Wholesale electricity cost of exports</w:t>
            </w:r>
          </w:p>
        </w:tc>
      </w:tr>
      <w:tr w:rsidR="001D76E7" w:rsidRPr="0079420B" w14:paraId="7E510AFA" w14:textId="030C95DB" w:rsidTr="002E5BAC">
        <w:trPr>
          <w:cnfStyle w:val="000000010000" w:firstRow="0" w:lastRow="0" w:firstColumn="0" w:lastColumn="0" w:oddVBand="0" w:evenVBand="0" w:oddHBand="0" w:evenHBand="1" w:firstRowFirstColumn="0" w:firstRowLastColumn="0" w:lastRowFirstColumn="0" w:lastRowLastColumn="0"/>
        </w:trPr>
        <w:tc>
          <w:tcPr>
            <w:tcW w:w="1606" w:type="dxa"/>
          </w:tcPr>
          <w:p w14:paraId="2CB40886" w14:textId="4706F5DA" w:rsidR="001D76E7" w:rsidRPr="0079420B" w:rsidRDefault="001D76E7" w:rsidP="001D76E7">
            <w:pPr>
              <w:pStyle w:val="TableBody"/>
              <w:keepNext/>
            </w:pPr>
            <w:r>
              <w:t>AusNet</w:t>
            </w:r>
            <w:r w:rsidRPr="0079420B">
              <w:t xml:space="preserve"> Services</w:t>
            </w:r>
          </w:p>
        </w:tc>
        <w:tc>
          <w:tcPr>
            <w:tcW w:w="1606" w:type="dxa"/>
            <w:tcBorders>
              <w:top w:val="nil"/>
              <w:left w:val="nil"/>
              <w:bottom w:val="single" w:sz="8" w:space="0" w:color="FFFFFF" w:themeColor="background1"/>
              <w:right w:val="nil"/>
            </w:tcBorders>
          </w:tcPr>
          <w:p w14:paraId="11B7B661" w14:textId="5B9B7179" w:rsidR="001D76E7" w:rsidRPr="0079420B" w:rsidRDefault="001D76E7" w:rsidP="001D76E7">
            <w:pPr>
              <w:pStyle w:val="TableBody"/>
              <w:keepNext/>
            </w:pPr>
            <w:r w:rsidRPr="00A20791">
              <w:t>$</w:t>
            </w:r>
            <w:r w:rsidR="007071FA">
              <w:t>116.17</w:t>
            </w:r>
          </w:p>
        </w:tc>
        <w:tc>
          <w:tcPr>
            <w:tcW w:w="1607" w:type="dxa"/>
            <w:tcBorders>
              <w:top w:val="nil"/>
              <w:left w:val="nil"/>
              <w:bottom w:val="single" w:sz="8" w:space="0" w:color="FFFFFF" w:themeColor="background1"/>
              <w:right w:val="nil"/>
            </w:tcBorders>
          </w:tcPr>
          <w:p w14:paraId="4FDC5578" w14:textId="17E2E873" w:rsidR="001D76E7" w:rsidRPr="0079420B" w:rsidRDefault="001D76E7" w:rsidP="001D76E7">
            <w:pPr>
              <w:pStyle w:val="TableBody"/>
              <w:keepNext/>
            </w:pPr>
            <w:r w:rsidRPr="00A20791">
              <w:t>$</w:t>
            </w:r>
            <w:r w:rsidR="00CE1168">
              <w:t>0.42</w:t>
            </w:r>
          </w:p>
        </w:tc>
        <w:tc>
          <w:tcPr>
            <w:tcW w:w="1606" w:type="dxa"/>
            <w:tcBorders>
              <w:top w:val="nil"/>
              <w:left w:val="nil"/>
              <w:bottom w:val="single" w:sz="8" w:space="0" w:color="FFFFFF" w:themeColor="background1"/>
              <w:right w:val="nil"/>
            </w:tcBorders>
          </w:tcPr>
          <w:p w14:paraId="52C7B934" w14:textId="59F531E6" w:rsidR="001D76E7" w:rsidRPr="0079420B" w:rsidRDefault="001D76E7" w:rsidP="001D76E7">
            <w:pPr>
              <w:pStyle w:val="TableBody"/>
              <w:keepNext/>
            </w:pPr>
            <w:r w:rsidRPr="00A20791">
              <w:t>$</w:t>
            </w:r>
            <w:r w:rsidR="00CE1168">
              <w:t>100.16</w:t>
            </w:r>
          </w:p>
        </w:tc>
        <w:tc>
          <w:tcPr>
            <w:tcW w:w="1606" w:type="dxa"/>
            <w:tcBorders>
              <w:top w:val="nil"/>
              <w:left w:val="nil"/>
              <w:bottom w:val="single" w:sz="8" w:space="0" w:color="FFFFFF" w:themeColor="background1"/>
              <w:right w:val="nil"/>
            </w:tcBorders>
          </w:tcPr>
          <w:p w14:paraId="5318ED36" w14:textId="1C39A4A2" w:rsidR="001D76E7" w:rsidRPr="0079420B" w:rsidRDefault="001D76E7" w:rsidP="001D76E7">
            <w:pPr>
              <w:pStyle w:val="TableBody"/>
              <w:keepNext/>
            </w:pPr>
            <w:r w:rsidRPr="00A20791">
              <w:t>$</w:t>
            </w:r>
            <w:r w:rsidR="00CE1168">
              <w:t>0.41</w:t>
            </w:r>
          </w:p>
        </w:tc>
        <w:tc>
          <w:tcPr>
            <w:tcW w:w="1607" w:type="dxa"/>
            <w:tcBorders>
              <w:top w:val="nil"/>
              <w:left w:val="nil"/>
              <w:bottom w:val="single" w:sz="8" w:space="0" w:color="FFFFFF" w:themeColor="background1"/>
              <w:right w:val="nil"/>
            </w:tcBorders>
          </w:tcPr>
          <w:p w14:paraId="05142AD5" w14:textId="31B575FF" w:rsidR="006B069E" w:rsidRDefault="006B069E" w:rsidP="001D76E7">
            <w:pPr>
              <w:pStyle w:val="TableBody"/>
              <w:keepNext/>
            </w:pPr>
            <w:r>
              <w:t>$1.8</w:t>
            </w:r>
            <w:r w:rsidR="00681258">
              <w:t>5</w:t>
            </w:r>
          </w:p>
        </w:tc>
      </w:tr>
      <w:tr w:rsidR="001D76E7" w:rsidRPr="0079420B" w14:paraId="69373645" w14:textId="27C3D16C" w:rsidTr="002E5BAC">
        <w:trPr>
          <w:cnfStyle w:val="000000100000" w:firstRow="0" w:lastRow="0" w:firstColumn="0" w:lastColumn="0" w:oddVBand="0" w:evenVBand="0" w:oddHBand="1" w:evenHBand="0" w:firstRowFirstColumn="0" w:firstRowLastColumn="0" w:lastRowFirstColumn="0" w:lastRowLastColumn="0"/>
        </w:trPr>
        <w:tc>
          <w:tcPr>
            <w:tcW w:w="1606" w:type="dxa"/>
          </w:tcPr>
          <w:p w14:paraId="061F1B46" w14:textId="6A3FDB6A" w:rsidR="001D76E7" w:rsidRPr="0079420B" w:rsidRDefault="001D76E7" w:rsidP="001D76E7">
            <w:pPr>
              <w:pStyle w:val="TableBody"/>
              <w:keepNext/>
            </w:pPr>
            <w:r>
              <w:t>CitiPower</w:t>
            </w:r>
          </w:p>
        </w:tc>
        <w:tc>
          <w:tcPr>
            <w:tcW w:w="1606" w:type="dxa"/>
            <w:tcBorders>
              <w:top w:val="single" w:sz="8" w:space="0" w:color="FFFFFF" w:themeColor="background1"/>
              <w:left w:val="nil"/>
              <w:bottom w:val="single" w:sz="8" w:space="0" w:color="FFFFFF" w:themeColor="background1"/>
              <w:right w:val="nil"/>
            </w:tcBorders>
          </w:tcPr>
          <w:p w14:paraId="7266090B" w14:textId="19A574E8" w:rsidR="001D76E7" w:rsidRPr="0079420B" w:rsidRDefault="001D76E7" w:rsidP="001D76E7">
            <w:pPr>
              <w:pStyle w:val="TableBody"/>
              <w:keepNext/>
            </w:pPr>
            <w:r w:rsidRPr="00A20791">
              <w:t>$</w:t>
            </w:r>
            <w:r w:rsidR="00741CD3">
              <w:t>113.00</w:t>
            </w:r>
          </w:p>
        </w:tc>
        <w:tc>
          <w:tcPr>
            <w:tcW w:w="1607" w:type="dxa"/>
            <w:tcBorders>
              <w:top w:val="single" w:sz="8" w:space="0" w:color="FFFFFF" w:themeColor="background1"/>
              <w:left w:val="nil"/>
              <w:bottom w:val="single" w:sz="8" w:space="0" w:color="FFFFFF" w:themeColor="background1"/>
              <w:right w:val="nil"/>
            </w:tcBorders>
          </w:tcPr>
          <w:p w14:paraId="4F75E92D" w14:textId="48AA4DD6" w:rsidR="001D76E7" w:rsidRPr="0079420B" w:rsidRDefault="001D76E7" w:rsidP="001D76E7">
            <w:pPr>
              <w:pStyle w:val="TableBody"/>
              <w:keepNext/>
            </w:pPr>
            <w:r w:rsidRPr="00A20791">
              <w:t>$</w:t>
            </w:r>
            <w:r w:rsidR="00D372C5">
              <w:t>0.38</w:t>
            </w:r>
          </w:p>
        </w:tc>
        <w:tc>
          <w:tcPr>
            <w:tcW w:w="1606" w:type="dxa"/>
            <w:tcBorders>
              <w:top w:val="single" w:sz="8" w:space="0" w:color="FFFFFF" w:themeColor="background1"/>
              <w:left w:val="nil"/>
              <w:bottom w:val="single" w:sz="8" w:space="0" w:color="FFFFFF" w:themeColor="background1"/>
              <w:right w:val="nil"/>
            </w:tcBorders>
          </w:tcPr>
          <w:p w14:paraId="797F38B0" w14:textId="0AB0AF11" w:rsidR="001D76E7" w:rsidRPr="0079420B" w:rsidRDefault="001D76E7" w:rsidP="001D76E7">
            <w:pPr>
              <w:pStyle w:val="TableBody"/>
              <w:keepNext/>
            </w:pPr>
            <w:r w:rsidRPr="00A20791">
              <w:t>$</w:t>
            </w:r>
            <w:r w:rsidR="00CE1168">
              <w:t>98.</w:t>
            </w:r>
            <w:r w:rsidR="00F75EE9">
              <w:t>75</w:t>
            </w:r>
          </w:p>
        </w:tc>
        <w:tc>
          <w:tcPr>
            <w:tcW w:w="1606" w:type="dxa"/>
            <w:tcBorders>
              <w:top w:val="single" w:sz="8" w:space="0" w:color="FFFFFF" w:themeColor="background1"/>
              <w:left w:val="nil"/>
              <w:bottom w:val="single" w:sz="8" w:space="0" w:color="FFFFFF" w:themeColor="background1"/>
              <w:right w:val="nil"/>
            </w:tcBorders>
          </w:tcPr>
          <w:p w14:paraId="20AEB3DF" w14:textId="5D351859" w:rsidR="001D76E7" w:rsidRPr="0079420B" w:rsidRDefault="001D76E7" w:rsidP="001D76E7">
            <w:pPr>
              <w:pStyle w:val="TableBody"/>
              <w:keepNext/>
            </w:pPr>
            <w:r w:rsidRPr="00A20791">
              <w:t>$</w:t>
            </w:r>
            <w:r w:rsidR="00CE1168">
              <w:t>0.50</w:t>
            </w:r>
          </w:p>
        </w:tc>
        <w:tc>
          <w:tcPr>
            <w:tcW w:w="1607" w:type="dxa"/>
            <w:tcBorders>
              <w:top w:val="single" w:sz="8" w:space="0" w:color="FFFFFF" w:themeColor="background1"/>
              <w:left w:val="nil"/>
              <w:bottom w:val="single" w:sz="8" w:space="0" w:color="FFFFFF" w:themeColor="background1"/>
              <w:right w:val="nil"/>
            </w:tcBorders>
          </w:tcPr>
          <w:p w14:paraId="1FB1FA5A" w14:textId="66257AC2" w:rsidR="006B069E" w:rsidRDefault="006B069E" w:rsidP="001D76E7">
            <w:pPr>
              <w:pStyle w:val="TableBody"/>
              <w:keepNext/>
            </w:pPr>
            <w:r>
              <w:t>$1.8</w:t>
            </w:r>
            <w:r w:rsidR="00681258">
              <w:t>5</w:t>
            </w:r>
          </w:p>
        </w:tc>
      </w:tr>
      <w:tr w:rsidR="001D76E7" w:rsidRPr="0079420B" w14:paraId="08C4640E" w14:textId="4D5F9EDE" w:rsidTr="002E5BAC">
        <w:trPr>
          <w:cnfStyle w:val="000000010000" w:firstRow="0" w:lastRow="0" w:firstColumn="0" w:lastColumn="0" w:oddVBand="0" w:evenVBand="0" w:oddHBand="0" w:evenHBand="1" w:firstRowFirstColumn="0" w:firstRowLastColumn="0" w:lastRowFirstColumn="0" w:lastRowLastColumn="0"/>
        </w:trPr>
        <w:tc>
          <w:tcPr>
            <w:tcW w:w="1606" w:type="dxa"/>
          </w:tcPr>
          <w:p w14:paraId="0629E11E" w14:textId="77777777" w:rsidR="001D76E7" w:rsidRPr="0079420B" w:rsidRDefault="001D76E7" w:rsidP="001D76E7">
            <w:pPr>
              <w:pStyle w:val="TableBody"/>
              <w:keepNext/>
            </w:pPr>
            <w:r w:rsidRPr="0079420B">
              <w:t>Jemena</w:t>
            </w:r>
          </w:p>
        </w:tc>
        <w:tc>
          <w:tcPr>
            <w:tcW w:w="1606" w:type="dxa"/>
            <w:tcBorders>
              <w:top w:val="single" w:sz="8" w:space="0" w:color="FFFFFF" w:themeColor="background1"/>
              <w:left w:val="nil"/>
              <w:bottom w:val="single" w:sz="8" w:space="0" w:color="FFFFFF" w:themeColor="background1"/>
              <w:right w:val="nil"/>
            </w:tcBorders>
          </w:tcPr>
          <w:p w14:paraId="0FADEC88" w14:textId="44A5654F" w:rsidR="001D76E7" w:rsidRPr="0079420B" w:rsidRDefault="001D76E7" w:rsidP="001D76E7">
            <w:pPr>
              <w:pStyle w:val="TableBody"/>
              <w:keepNext/>
            </w:pPr>
            <w:r w:rsidRPr="00A20791">
              <w:t>$</w:t>
            </w:r>
            <w:r w:rsidR="00741CD3">
              <w:t>119</w:t>
            </w:r>
            <w:r w:rsidR="00567F34">
              <w:t>.87</w:t>
            </w:r>
          </w:p>
        </w:tc>
        <w:tc>
          <w:tcPr>
            <w:tcW w:w="1607" w:type="dxa"/>
            <w:tcBorders>
              <w:top w:val="single" w:sz="8" w:space="0" w:color="FFFFFF" w:themeColor="background1"/>
              <w:left w:val="nil"/>
              <w:bottom w:val="single" w:sz="8" w:space="0" w:color="FFFFFF" w:themeColor="background1"/>
              <w:right w:val="nil"/>
            </w:tcBorders>
          </w:tcPr>
          <w:p w14:paraId="1E57CC77" w14:textId="6F987DE6" w:rsidR="001D76E7" w:rsidRPr="0079420B" w:rsidRDefault="001D76E7" w:rsidP="001D76E7">
            <w:pPr>
              <w:pStyle w:val="TableBody"/>
              <w:keepNext/>
            </w:pPr>
            <w:r w:rsidRPr="00A20791">
              <w:t>$</w:t>
            </w:r>
            <w:r w:rsidR="002C0B32">
              <w:t>0.40</w:t>
            </w:r>
          </w:p>
        </w:tc>
        <w:tc>
          <w:tcPr>
            <w:tcW w:w="1606" w:type="dxa"/>
            <w:tcBorders>
              <w:top w:val="single" w:sz="8" w:space="0" w:color="FFFFFF" w:themeColor="background1"/>
              <w:left w:val="nil"/>
              <w:bottom w:val="single" w:sz="8" w:space="0" w:color="FFFFFF" w:themeColor="background1"/>
              <w:right w:val="nil"/>
            </w:tcBorders>
          </w:tcPr>
          <w:p w14:paraId="294BA768" w14:textId="36E21887" w:rsidR="001D76E7" w:rsidRPr="0079420B" w:rsidRDefault="001D76E7" w:rsidP="001D76E7">
            <w:pPr>
              <w:pStyle w:val="TableBody"/>
              <w:keepNext/>
            </w:pPr>
            <w:r w:rsidRPr="00A20791">
              <w:t>$</w:t>
            </w:r>
            <w:r w:rsidR="00BC17D9">
              <w:t>101.28</w:t>
            </w:r>
          </w:p>
        </w:tc>
        <w:tc>
          <w:tcPr>
            <w:tcW w:w="1606" w:type="dxa"/>
            <w:tcBorders>
              <w:top w:val="single" w:sz="8" w:space="0" w:color="FFFFFF" w:themeColor="background1"/>
              <w:left w:val="nil"/>
              <w:bottom w:val="single" w:sz="8" w:space="0" w:color="FFFFFF" w:themeColor="background1"/>
              <w:right w:val="nil"/>
            </w:tcBorders>
          </w:tcPr>
          <w:p w14:paraId="566200C5" w14:textId="5192F040" w:rsidR="001D76E7" w:rsidRPr="0079420B" w:rsidRDefault="001D76E7" w:rsidP="001D76E7">
            <w:pPr>
              <w:pStyle w:val="TableBody"/>
              <w:keepNext/>
            </w:pPr>
            <w:r w:rsidRPr="00A20791">
              <w:t>$</w:t>
            </w:r>
            <w:r w:rsidR="00D67CFC">
              <w:t>0.53</w:t>
            </w:r>
          </w:p>
        </w:tc>
        <w:tc>
          <w:tcPr>
            <w:tcW w:w="1607" w:type="dxa"/>
            <w:tcBorders>
              <w:top w:val="single" w:sz="8" w:space="0" w:color="FFFFFF" w:themeColor="background1"/>
              <w:left w:val="nil"/>
              <w:bottom w:val="single" w:sz="8" w:space="0" w:color="FFFFFF" w:themeColor="background1"/>
              <w:right w:val="nil"/>
            </w:tcBorders>
          </w:tcPr>
          <w:p w14:paraId="01A6094D" w14:textId="176A34A2" w:rsidR="006B069E" w:rsidRDefault="006B069E" w:rsidP="001D76E7">
            <w:pPr>
              <w:pStyle w:val="TableBody"/>
              <w:keepNext/>
            </w:pPr>
            <w:r>
              <w:t>$1.8</w:t>
            </w:r>
            <w:r w:rsidR="00681258">
              <w:t>5</w:t>
            </w:r>
          </w:p>
        </w:tc>
      </w:tr>
      <w:tr w:rsidR="001D76E7" w:rsidRPr="0079420B" w14:paraId="57DFB32E" w14:textId="6BDF3432" w:rsidTr="002E5BAC">
        <w:trPr>
          <w:cnfStyle w:val="000000100000" w:firstRow="0" w:lastRow="0" w:firstColumn="0" w:lastColumn="0" w:oddVBand="0" w:evenVBand="0" w:oddHBand="1" w:evenHBand="0" w:firstRowFirstColumn="0" w:firstRowLastColumn="0" w:lastRowFirstColumn="0" w:lastRowLastColumn="0"/>
        </w:trPr>
        <w:tc>
          <w:tcPr>
            <w:tcW w:w="1606" w:type="dxa"/>
          </w:tcPr>
          <w:p w14:paraId="713F226F" w14:textId="77777777" w:rsidR="001D76E7" w:rsidRPr="0079420B" w:rsidRDefault="001D76E7" w:rsidP="001D76E7">
            <w:pPr>
              <w:pStyle w:val="TableBody"/>
              <w:keepNext/>
            </w:pPr>
            <w:r w:rsidRPr="0079420B">
              <w:t>Powercor</w:t>
            </w:r>
          </w:p>
        </w:tc>
        <w:tc>
          <w:tcPr>
            <w:tcW w:w="1606" w:type="dxa"/>
            <w:tcBorders>
              <w:top w:val="single" w:sz="8" w:space="0" w:color="FFFFFF" w:themeColor="background1"/>
              <w:left w:val="nil"/>
              <w:bottom w:val="single" w:sz="8" w:space="0" w:color="FFFFFF" w:themeColor="background1"/>
              <w:right w:val="nil"/>
            </w:tcBorders>
          </w:tcPr>
          <w:p w14:paraId="1E18E2C1" w14:textId="377E71DA" w:rsidR="001D76E7" w:rsidRPr="0079420B" w:rsidRDefault="001D76E7" w:rsidP="001D76E7">
            <w:pPr>
              <w:pStyle w:val="TableBody"/>
              <w:keepNext/>
            </w:pPr>
            <w:r w:rsidRPr="00A20791">
              <w:t>$</w:t>
            </w:r>
            <w:r w:rsidR="00567F34">
              <w:t>114.60</w:t>
            </w:r>
          </w:p>
        </w:tc>
        <w:tc>
          <w:tcPr>
            <w:tcW w:w="1607" w:type="dxa"/>
            <w:tcBorders>
              <w:top w:val="single" w:sz="8" w:space="0" w:color="FFFFFF" w:themeColor="background1"/>
              <w:left w:val="nil"/>
              <w:bottom w:val="single" w:sz="8" w:space="0" w:color="FFFFFF" w:themeColor="background1"/>
              <w:right w:val="nil"/>
            </w:tcBorders>
          </w:tcPr>
          <w:p w14:paraId="3BBFC547" w14:textId="1FF628DD" w:rsidR="001D76E7" w:rsidRPr="0079420B" w:rsidRDefault="001D76E7" w:rsidP="001D76E7">
            <w:pPr>
              <w:pStyle w:val="TableBody"/>
              <w:keepNext/>
            </w:pPr>
            <w:r w:rsidRPr="00A20791">
              <w:t>$</w:t>
            </w:r>
            <w:r w:rsidR="002C0B32">
              <w:t>0.41</w:t>
            </w:r>
          </w:p>
        </w:tc>
        <w:tc>
          <w:tcPr>
            <w:tcW w:w="1606" w:type="dxa"/>
            <w:tcBorders>
              <w:top w:val="single" w:sz="8" w:space="0" w:color="FFFFFF" w:themeColor="background1"/>
              <w:left w:val="nil"/>
              <w:bottom w:val="single" w:sz="8" w:space="0" w:color="FFFFFF" w:themeColor="background1"/>
              <w:right w:val="nil"/>
            </w:tcBorders>
          </w:tcPr>
          <w:p w14:paraId="4700135A" w14:textId="33750D13" w:rsidR="001D76E7" w:rsidRPr="0079420B" w:rsidRDefault="001D76E7" w:rsidP="001D76E7">
            <w:pPr>
              <w:pStyle w:val="TableBody"/>
              <w:keepNext/>
            </w:pPr>
            <w:r w:rsidRPr="00A20791">
              <w:t>$</w:t>
            </w:r>
            <w:r w:rsidR="00C83589">
              <w:t>98</w:t>
            </w:r>
            <w:r w:rsidR="00BC17D9">
              <w:t>.22</w:t>
            </w:r>
          </w:p>
        </w:tc>
        <w:tc>
          <w:tcPr>
            <w:tcW w:w="1606" w:type="dxa"/>
            <w:tcBorders>
              <w:top w:val="single" w:sz="8" w:space="0" w:color="FFFFFF" w:themeColor="background1"/>
              <w:left w:val="nil"/>
              <w:bottom w:val="single" w:sz="8" w:space="0" w:color="FFFFFF" w:themeColor="background1"/>
              <w:right w:val="nil"/>
            </w:tcBorders>
          </w:tcPr>
          <w:p w14:paraId="68F34660" w14:textId="6010B5FF" w:rsidR="001D76E7" w:rsidRPr="0079420B" w:rsidRDefault="001D76E7" w:rsidP="001D76E7">
            <w:pPr>
              <w:pStyle w:val="TableBody"/>
              <w:keepNext/>
            </w:pPr>
            <w:r w:rsidRPr="00A20791">
              <w:t>$</w:t>
            </w:r>
            <w:r w:rsidR="00D67CFC">
              <w:t>0.</w:t>
            </w:r>
            <w:r w:rsidR="00AA6F50">
              <w:t>39</w:t>
            </w:r>
          </w:p>
        </w:tc>
        <w:tc>
          <w:tcPr>
            <w:tcW w:w="1607" w:type="dxa"/>
            <w:tcBorders>
              <w:top w:val="single" w:sz="8" w:space="0" w:color="FFFFFF" w:themeColor="background1"/>
              <w:left w:val="nil"/>
              <w:bottom w:val="single" w:sz="8" w:space="0" w:color="FFFFFF" w:themeColor="background1"/>
              <w:right w:val="nil"/>
            </w:tcBorders>
          </w:tcPr>
          <w:p w14:paraId="70FDD08E" w14:textId="0EF76553" w:rsidR="006B069E" w:rsidRDefault="006B069E" w:rsidP="001D76E7">
            <w:pPr>
              <w:pStyle w:val="TableBody"/>
              <w:keepNext/>
            </w:pPr>
            <w:r>
              <w:t>$1.8</w:t>
            </w:r>
            <w:r w:rsidR="00681258">
              <w:t>5</w:t>
            </w:r>
          </w:p>
        </w:tc>
      </w:tr>
      <w:tr w:rsidR="001D76E7" w:rsidRPr="0079420B" w14:paraId="549B3592" w14:textId="57283C52" w:rsidTr="002E5BAC">
        <w:trPr>
          <w:cnfStyle w:val="000000010000" w:firstRow="0" w:lastRow="0" w:firstColumn="0" w:lastColumn="0" w:oddVBand="0" w:evenVBand="0" w:oddHBand="0" w:evenHBand="1" w:firstRowFirstColumn="0" w:firstRowLastColumn="0" w:lastRowFirstColumn="0" w:lastRowLastColumn="0"/>
        </w:trPr>
        <w:tc>
          <w:tcPr>
            <w:tcW w:w="1606" w:type="dxa"/>
          </w:tcPr>
          <w:p w14:paraId="3BE9D18A" w14:textId="77777777" w:rsidR="001D76E7" w:rsidRPr="0079420B" w:rsidRDefault="001D76E7" w:rsidP="001D76E7">
            <w:pPr>
              <w:pStyle w:val="TableBody"/>
              <w:keepNext/>
            </w:pPr>
            <w:r w:rsidRPr="0079420B">
              <w:t>United Energy</w:t>
            </w:r>
          </w:p>
        </w:tc>
        <w:tc>
          <w:tcPr>
            <w:tcW w:w="1606" w:type="dxa"/>
            <w:tcBorders>
              <w:top w:val="single" w:sz="8" w:space="0" w:color="FFFFFF" w:themeColor="background1"/>
              <w:left w:val="nil"/>
              <w:bottom w:val="nil"/>
              <w:right w:val="nil"/>
            </w:tcBorders>
          </w:tcPr>
          <w:p w14:paraId="14186F35" w14:textId="7BC9A4B8" w:rsidR="001D76E7" w:rsidRPr="0079420B" w:rsidRDefault="001D76E7" w:rsidP="001D76E7">
            <w:pPr>
              <w:pStyle w:val="TableBody"/>
              <w:keepNext/>
            </w:pPr>
            <w:r w:rsidRPr="00A20791">
              <w:t>$</w:t>
            </w:r>
            <w:r w:rsidR="0082666D">
              <w:t>117.58</w:t>
            </w:r>
          </w:p>
        </w:tc>
        <w:tc>
          <w:tcPr>
            <w:tcW w:w="1607" w:type="dxa"/>
            <w:tcBorders>
              <w:top w:val="single" w:sz="8" w:space="0" w:color="FFFFFF" w:themeColor="background1"/>
              <w:left w:val="nil"/>
              <w:bottom w:val="nil"/>
              <w:right w:val="nil"/>
            </w:tcBorders>
          </w:tcPr>
          <w:p w14:paraId="086EF017" w14:textId="13F23B39" w:rsidR="001D76E7" w:rsidRPr="0079420B" w:rsidRDefault="001D76E7" w:rsidP="001D76E7">
            <w:pPr>
              <w:pStyle w:val="TableBody"/>
              <w:keepNext/>
            </w:pPr>
            <w:r w:rsidRPr="00A20791">
              <w:t>$</w:t>
            </w:r>
            <w:r w:rsidR="002C0B32">
              <w:t>0.39</w:t>
            </w:r>
          </w:p>
        </w:tc>
        <w:tc>
          <w:tcPr>
            <w:tcW w:w="1606" w:type="dxa"/>
            <w:tcBorders>
              <w:top w:val="single" w:sz="8" w:space="0" w:color="FFFFFF" w:themeColor="background1"/>
              <w:left w:val="nil"/>
              <w:bottom w:val="nil"/>
              <w:right w:val="nil"/>
            </w:tcBorders>
          </w:tcPr>
          <w:p w14:paraId="22FD5FCC" w14:textId="1DB44BDC" w:rsidR="001D76E7" w:rsidRPr="0079420B" w:rsidRDefault="001D76E7" w:rsidP="001D76E7">
            <w:pPr>
              <w:pStyle w:val="TableBody"/>
              <w:keepNext/>
            </w:pPr>
            <w:r w:rsidRPr="00A20791">
              <w:t>$</w:t>
            </w:r>
            <w:r w:rsidR="00C83589">
              <w:t>102.49</w:t>
            </w:r>
          </w:p>
        </w:tc>
        <w:tc>
          <w:tcPr>
            <w:tcW w:w="1606" w:type="dxa"/>
            <w:tcBorders>
              <w:top w:val="single" w:sz="8" w:space="0" w:color="FFFFFF" w:themeColor="background1"/>
              <w:left w:val="nil"/>
              <w:bottom w:val="nil"/>
              <w:right w:val="nil"/>
            </w:tcBorders>
          </w:tcPr>
          <w:p w14:paraId="6D50ECD9" w14:textId="34E5AFD0" w:rsidR="001D76E7" w:rsidRPr="0079420B" w:rsidRDefault="001D76E7" w:rsidP="001D76E7">
            <w:pPr>
              <w:pStyle w:val="TableBody"/>
              <w:keepNext/>
            </w:pPr>
            <w:r w:rsidRPr="00A20791">
              <w:t>$</w:t>
            </w:r>
            <w:r w:rsidR="00AA6F50">
              <w:t>0.50</w:t>
            </w:r>
          </w:p>
        </w:tc>
        <w:tc>
          <w:tcPr>
            <w:tcW w:w="1607" w:type="dxa"/>
            <w:tcBorders>
              <w:top w:val="single" w:sz="8" w:space="0" w:color="FFFFFF" w:themeColor="background1"/>
              <w:left w:val="nil"/>
              <w:bottom w:val="nil"/>
              <w:right w:val="nil"/>
            </w:tcBorders>
          </w:tcPr>
          <w:p w14:paraId="008AF0B0" w14:textId="6F873350" w:rsidR="006B069E" w:rsidRDefault="006B069E" w:rsidP="001D76E7">
            <w:pPr>
              <w:pStyle w:val="TableBody"/>
              <w:keepNext/>
            </w:pPr>
            <w:r>
              <w:t>$1.8</w:t>
            </w:r>
            <w:r w:rsidR="00681258">
              <w:t>5</w:t>
            </w:r>
          </w:p>
        </w:tc>
      </w:tr>
    </w:tbl>
    <w:p w14:paraId="6162FBE0" w14:textId="11809CB3" w:rsidR="00275412" w:rsidRPr="006136B6" w:rsidRDefault="00275412" w:rsidP="00F72CBD">
      <w:pPr>
        <w:pStyle w:val="Source"/>
        <w:keepNext/>
        <w:jc w:val="left"/>
      </w:pPr>
      <w:r w:rsidRPr="0079420B">
        <w:t xml:space="preserve">Source: </w:t>
      </w:r>
      <w:r>
        <w:t xml:space="preserve">Frontier Economics, </w:t>
      </w:r>
      <w:r w:rsidRPr="3D191225">
        <w:rPr>
          <w:i/>
        </w:rPr>
        <w:t xml:space="preserve">Wholesale electricity costs for 2025–26: A </w:t>
      </w:r>
      <w:r w:rsidR="00025993">
        <w:rPr>
          <w:i/>
        </w:rPr>
        <w:t>final</w:t>
      </w:r>
      <w:r w:rsidRPr="3D191225">
        <w:rPr>
          <w:i/>
        </w:rPr>
        <w:t xml:space="preserve"> report for the Essential Services Commission</w:t>
      </w:r>
      <w:r>
        <w:t xml:space="preserve">, </w:t>
      </w:r>
      <w:r w:rsidR="006344C8" w:rsidRPr="008B2DAE">
        <w:t>2</w:t>
      </w:r>
      <w:r w:rsidR="00025993" w:rsidRPr="008B2DAE">
        <w:t xml:space="preserve"> May</w:t>
      </w:r>
      <w:r w:rsidRPr="008B2DAE">
        <w:t xml:space="preserve"> 202</w:t>
      </w:r>
      <w:r w:rsidR="0061110F" w:rsidRPr="008B2DAE">
        <w:t>5</w:t>
      </w:r>
      <w:r>
        <w:t>.</w:t>
      </w:r>
      <w:r w:rsidR="008B2DAE" w:rsidRPr="008B2DAE">
        <w:t xml:space="preserve"> Essential</w:t>
      </w:r>
      <w:r w:rsidR="008B2DAE" w:rsidRPr="001F59A8">
        <w:t xml:space="preserve"> Services Commission 2025, </w:t>
      </w:r>
      <w:r w:rsidR="008B2DAE" w:rsidRPr="001F59A8">
        <w:rPr>
          <w:i/>
        </w:rPr>
        <w:t>Minimum Electricity Feed-in Tariffs from 1 July 2025: Final Decision</w:t>
      </w:r>
      <w:r w:rsidR="008B2DAE" w:rsidRPr="001F59A8">
        <w:t>, 27 February, p. 13.</w:t>
      </w:r>
    </w:p>
    <w:p w14:paraId="2489FBC1" w14:textId="77777777" w:rsidR="00E96BE3" w:rsidRDefault="00E96BE3">
      <w:pPr>
        <w:spacing w:before="0" w:line="259" w:lineRule="auto"/>
        <w:rPr>
          <w:rFonts w:ascii="Tahoma" w:eastAsiaTheme="majorEastAsia" w:hAnsi="Tahoma" w:cstheme="majorBidi"/>
          <w:b/>
          <w:sz w:val="26"/>
          <w:szCs w:val="26"/>
        </w:rPr>
      </w:pPr>
      <w:bookmarkStart w:id="137" w:name="_Toc48315280"/>
      <w:bookmarkStart w:id="138" w:name="_Toc50655588"/>
      <w:bookmarkStart w:id="139" w:name="_Toc88656428"/>
      <w:bookmarkStart w:id="140" w:name="_Toc95924858"/>
      <w:bookmarkStart w:id="141" w:name="_Toc103191777"/>
      <w:bookmarkStart w:id="142" w:name="_Toc103884127"/>
      <w:bookmarkStart w:id="143" w:name="_Toc160817054"/>
      <w:bookmarkStart w:id="144" w:name="_Toc191027398"/>
      <w:r>
        <w:br w:type="page"/>
      </w:r>
    </w:p>
    <w:p w14:paraId="2D65B869" w14:textId="01947CEC" w:rsidR="00275412" w:rsidRPr="00170632" w:rsidRDefault="00275412" w:rsidP="00275412">
      <w:pPr>
        <w:pStyle w:val="Heading2"/>
      </w:pPr>
      <w:bookmarkStart w:id="145" w:name="_Toc198808341"/>
      <w:r w:rsidRPr="00170632">
        <w:lastRenderedPageBreak/>
        <w:t>Network loss</w:t>
      </w:r>
      <w:r w:rsidR="002869BC">
        <w:t xml:space="preserve"> </w:t>
      </w:r>
      <w:bookmarkEnd w:id="137"/>
      <w:bookmarkEnd w:id="138"/>
      <w:bookmarkEnd w:id="139"/>
      <w:bookmarkEnd w:id="140"/>
      <w:bookmarkEnd w:id="141"/>
      <w:bookmarkEnd w:id="142"/>
      <w:bookmarkEnd w:id="143"/>
      <w:bookmarkEnd w:id="144"/>
      <w:r w:rsidR="00645BE1">
        <w:t xml:space="preserve">adjustment </w:t>
      </w:r>
      <w:r w:rsidR="002869BC">
        <w:t>factor</w:t>
      </w:r>
      <w:bookmarkEnd w:id="145"/>
      <w:r>
        <w:t xml:space="preserve"> </w:t>
      </w:r>
    </w:p>
    <w:p w14:paraId="3856EEFF" w14:textId="77BBAE02" w:rsidR="00275412" w:rsidRPr="002E5DDE" w:rsidRDefault="006F5EB1" w:rsidP="00275412">
      <w:r>
        <w:t>Network</w:t>
      </w:r>
      <w:r w:rsidR="00F47A71">
        <w:t xml:space="preserve"> </w:t>
      </w:r>
      <w:r w:rsidR="002869BC">
        <w:t>l</w:t>
      </w:r>
      <w:r w:rsidR="00275412" w:rsidRPr="002E5DDE">
        <w:t xml:space="preserve">oss </w:t>
      </w:r>
      <w:r w:rsidR="002869BC">
        <w:t>f</w:t>
      </w:r>
      <w:r w:rsidR="00275412" w:rsidRPr="002E5DDE">
        <w:t>actor</w:t>
      </w:r>
      <w:r w:rsidR="0082296F">
        <w:t>s</w:t>
      </w:r>
      <w:r w:rsidR="00275412" w:rsidRPr="002E5DDE">
        <w:t xml:space="preserve"> </w:t>
      </w:r>
      <w:r w:rsidR="0087702D">
        <w:t>for</w:t>
      </w:r>
      <w:r w:rsidR="00813185">
        <w:t xml:space="preserve"> the 2025</w:t>
      </w:r>
      <w:r w:rsidR="005867AD">
        <w:t>–</w:t>
      </w:r>
      <w:r w:rsidR="00813185">
        <w:t xml:space="preserve">26 Victorian Default Offer </w:t>
      </w:r>
      <w:r w:rsidR="00481518">
        <w:t>are presented in T</w:t>
      </w:r>
      <w:r w:rsidR="00275412" w:rsidRPr="002E5DDE">
        <w:t>able A.2.</w:t>
      </w:r>
      <w:r w:rsidR="003D4DD7">
        <w:rPr>
          <w:rStyle w:val="FootnoteReference"/>
        </w:rPr>
        <w:footnoteReference w:id="180"/>
      </w:r>
    </w:p>
    <w:p w14:paraId="7A1B7863" w14:textId="56EF62C7" w:rsidR="00275412" w:rsidRPr="002E5DDE" w:rsidRDefault="00275412" w:rsidP="00F72CBD">
      <w:pPr>
        <w:pStyle w:val="Figure-Table-BoxHeading"/>
        <w:keepNext/>
        <w:ind w:left="851" w:hanging="851"/>
      </w:pPr>
      <w:r w:rsidRPr="002E5DDE">
        <w:t>Table A.2: Network losses for 202</w:t>
      </w:r>
      <w:r w:rsidR="00DA3915" w:rsidRPr="002E5DDE">
        <w:t>5</w:t>
      </w:r>
      <w:r w:rsidRPr="002E5DDE">
        <w:t>–2</w:t>
      </w:r>
      <w:r w:rsidR="00DA3915" w:rsidRPr="002E5DDE">
        <w:t>6</w:t>
      </w:r>
    </w:p>
    <w:tbl>
      <w:tblPr>
        <w:tblStyle w:val="TableGrid"/>
        <w:tblW w:w="0" w:type="auto"/>
        <w:tblLook w:val="04A0" w:firstRow="1" w:lastRow="0" w:firstColumn="1" w:lastColumn="0" w:noHBand="0" w:noVBand="1"/>
      </w:tblPr>
      <w:tblGrid>
        <w:gridCol w:w="2409"/>
        <w:gridCol w:w="2409"/>
        <w:gridCol w:w="2410"/>
        <w:gridCol w:w="2410"/>
      </w:tblGrid>
      <w:tr w:rsidR="00275412" w:rsidRPr="002E5DDE" w14:paraId="5C0489F1" w14:textId="77777777" w:rsidTr="00DA436D">
        <w:trPr>
          <w:cnfStyle w:val="100000000000" w:firstRow="1" w:lastRow="0" w:firstColumn="0" w:lastColumn="0" w:oddVBand="0" w:evenVBand="0" w:oddHBand="0" w:evenHBand="0" w:firstRowFirstColumn="0" w:firstRowLastColumn="0" w:lastRowFirstColumn="0" w:lastRowLastColumn="0"/>
          <w:tblHeader/>
        </w:trPr>
        <w:tc>
          <w:tcPr>
            <w:tcW w:w="2409" w:type="dxa"/>
          </w:tcPr>
          <w:p w14:paraId="0AE6604F" w14:textId="77777777" w:rsidR="00275412" w:rsidRPr="002E5DDE" w:rsidRDefault="00275412" w:rsidP="00F72CBD">
            <w:pPr>
              <w:pStyle w:val="TableHeading"/>
              <w:keepNext/>
            </w:pPr>
            <w:r w:rsidRPr="002E5DDE">
              <w:t xml:space="preserve">Distribution zone </w:t>
            </w:r>
          </w:p>
        </w:tc>
        <w:tc>
          <w:tcPr>
            <w:tcW w:w="2409" w:type="dxa"/>
          </w:tcPr>
          <w:p w14:paraId="4309715E" w14:textId="77777777" w:rsidR="00275412" w:rsidRPr="002E5DDE" w:rsidRDefault="00275412" w:rsidP="00F72CBD">
            <w:pPr>
              <w:pStyle w:val="TableHeading"/>
              <w:keepNext/>
            </w:pPr>
            <w:r w:rsidRPr="002E5DDE">
              <w:t>Distribution loss factor (DLF)</w:t>
            </w:r>
          </w:p>
        </w:tc>
        <w:tc>
          <w:tcPr>
            <w:tcW w:w="2410" w:type="dxa"/>
          </w:tcPr>
          <w:p w14:paraId="5C4F059A" w14:textId="77777777" w:rsidR="00275412" w:rsidRPr="002E5DDE" w:rsidRDefault="00275412" w:rsidP="00F72CBD">
            <w:pPr>
              <w:pStyle w:val="TableHeading"/>
              <w:keepNext/>
            </w:pPr>
            <w:r w:rsidRPr="002E5DDE">
              <w:t>Marginal loss factor (MLF)</w:t>
            </w:r>
          </w:p>
        </w:tc>
        <w:tc>
          <w:tcPr>
            <w:tcW w:w="2410" w:type="dxa"/>
          </w:tcPr>
          <w:p w14:paraId="5E96D8B5" w14:textId="21934545" w:rsidR="00275412" w:rsidRPr="00A50B71" w:rsidRDefault="00C34357" w:rsidP="00F72CBD">
            <w:pPr>
              <w:pStyle w:val="TableHeading"/>
              <w:keepNext/>
            </w:pPr>
            <w:r w:rsidRPr="00A70469">
              <w:t xml:space="preserve">Network </w:t>
            </w:r>
            <w:r w:rsidR="00090742">
              <w:t>l</w:t>
            </w:r>
            <w:r w:rsidR="00090742" w:rsidRPr="00090742">
              <w:t>oss</w:t>
            </w:r>
            <w:r w:rsidRPr="00A70469">
              <w:t xml:space="preserve"> </w:t>
            </w:r>
            <w:r w:rsidR="00090742" w:rsidRPr="00090742">
              <w:t xml:space="preserve">adjustment </w:t>
            </w:r>
            <w:r w:rsidR="00275412" w:rsidRPr="00A50B71">
              <w:t>factor</w:t>
            </w:r>
          </w:p>
        </w:tc>
      </w:tr>
      <w:tr w:rsidR="00FA1342" w:rsidRPr="002E5DDE" w14:paraId="0807AF52"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352CDBDC" w14:textId="6EDAD6DF" w:rsidR="00FA1342" w:rsidRPr="002E5DDE" w:rsidRDefault="00FA1342" w:rsidP="00FA1342">
            <w:pPr>
              <w:pStyle w:val="TableBody"/>
              <w:keepNext/>
            </w:pPr>
            <w:r>
              <w:t>AusNet</w:t>
            </w:r>
            <w:r w:rsidRPr="002E5DDE">
              <w:t xml:space="preserve"> Services</w:t>
            </w:r>
          </w:p>
        </w:tc>
        <w:tc>
          <w:tcPr>
            <w:tcW w:w="2409" w:type="dxa"/>
          </w:tcPr>
          <w:p w14:paraId="14FB63B0" w14:textId="1583B234" w:rsidR="00FA1342" w:rsidRPr="002E5DDE" w:rsidRDefault="00356CD9" w:rsidP="00FA1342">
            <w:pPr>
              <w:pStyle w:val="TableBody"/>
            </w:pPr>
            <w:r>
              <w:t>1.</w:t>
            </w:r>
            <w:r w:rsidR="00E246D1">
              <w:t>0769</w:t>
            </w:r>
          </w:p>
        </w:tc>
        <w:tc>
          <w:tcPr>
            <w:tcW w:w="2410" w:type="dxa"/>
          </w:tcPr>
          <w:p w14:paraId="0B2C0579" w14:textId="5F1A3634" w:rsidR="00FA1342" w:rsidRPr="002E5DDE" w:rsidRDefault="004D0ECF" w:rsidP="00FA1342">
            <w:pPr>
              <w:pStyle w:val="TableBody"/>
            </w:pPr>
            <w:r>
              <w:t>1.0004</w:t>
            </w:r>
          </w:p>
        </w:tc>
        <w:tc>
          <w:tcPr>
            <w:tcW w:w="2410" w:type="dxa"/>
          </w:tcPr>
          <w:p w14:paraId="32DA9EB7" w14:textId="66A13AC1" w:rsidR="00FA1342" w:rsidRPr="002E5DDE" w:rsidRDefault="002C308A" w:rsidP="00FA1342">
            <w:pPr>
              <w:pStyle w:val="TableBody"/>
            </w:pPr>
            <w:r>
              <w:t>7.</w:t>
            </w:r>
            <w:r w:rsidR="00245F0E">
              <w:t>74</w:t>
            </w:r>
            <w:r w:rsidR="00FA1342" w:rsidRPr="008A537E">
              <w:t>%</w:t>
            </w:r>
          </w:p>
        </w:tc>
      </w:tr>
      <w:tr w:rsidR="00FA1342" w:rsidRPr="002E5DDE" w14:paraId="30B9292D"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29DD924A" w14:textId="3171E268" w:rsidR="00FA1342" w:rsidRPr="002E5DDE" w:rsidRDefault="00FA1342" w:rsidP="00FA1342">
            <w:pPr>
              <w:pStyle w:val="TableBody"/>
              <w:keepNext/>
            </w:pPr>
            <w:r>
              <w:t>CitiPower</w:t>
            </w:r>
          </w:p>
        </w:tc>
        <w:tc>
          <w:tcPr>
            <w:tcW w:w="2409" w:type="dxa"/>
          </w:tcPr>
          <w:p w14:paraId="3441EEE2" w14:textId="5CBAB455" w:rsidR="00FA1342" w:rsidRPr="002E5DDE" w:rsidRDefault="00E246D1" w:rsidP="00FA1342">
            <w:pPr>
              <w:pStyle w:val="TableBody"/>
            </w:pPr>
            <w:r>
              <w:t>1.0416</w:t>
            </w:r>
          </w:p>
        </w:tc>
        <w:tc>
          <w:tcPr>
            <w:tcW w:w="2410" w:type="dxa"/>
          </w:tcPr>
          <w:p w14:paraId="60763150" w14:textId="6E37B458" w:rsidR="00FA1342" w:rsidRPr="00541342" w:rsidRDefault="004D0ECF" w:rsidP="00FA1342">
            <w:pPr>
              <w:spacing w:before="0" w:line="240" w:lineRule="auto"/>
              <w:rPr>
                <w:rFonts w:ascii="Arial" w:hAnsi="Arial" w:cs="Arial"/>
                <w:color w:val="000000"/>
              </w:rPr>
            </w:pPr>
            <w:r>
              <w:rPr>
                <w:rFonts w:ascii="Arial" w:hAnsi="Arial" w:cs="Arial"/>
                <w:color w:val="000000"/>
              </w:rPr>
              <w:t>1.000</w:t>
            </w:r>
            <w:r w:rsidR="00D255D4">
              <w:rPr>
                <w:rFonts w:ascii="Arial" w:hAnsi="Arial" w:cs="Arial"/>
                <w:color w:val="000000"/>
              </w:rPr>
              <w:t>2</w:t>
            </w:r>
          </w:p>
        </w:tc>
        <w:tc>
          <w:tcPr>
            <w:tcW w:w="2410" w:type="dxa"/>
          </w:tcPr>
          <w:p w14:paraId="314EA267" w14:textId="69848E05" w:rsidR="00FA1342" w:rsidRPr="002E5DDE" w:rsidRDefault="00F010BC" w:rsidP="00FA1342">
            <w:pPr>
              <w:pStyle w:val="TableBody"/>
            </w:pPr>
            <w:r>
              <w:t>4.</w:t>
            </w:r>
            <w:r w:rsidR="006C3CE2">
              <w:t>18</w:t>
            </w:r>
            <w:r w:rsidR="00FA1342" w:rsidRPr="008A537E">
              <w:t>%</w:t>
            </w:r>
          </w:p>
        </w:tc>
      </w:tr>
      <w:tr w:rsidR="00FA1342" w:rsidRPr="002E5DDE" w14:paraId="7F10B6B6"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4A6D826E" w14:textId="77777777" w:rsidR="00FA1342" w:rsidRPr="002E5DDE" w:rsidRDefault="00FA1342" w:rsidP="00FA1342">
            <w:pPr>
              <w:pStyle w:val="TableBody"/>
              <w:keepNext/>
            </w:pPr>
            <w:r w:rsidRPr="002E5DDE">
              <w:t>Jemena</w:t>
            </w:r>
          </w:p>
        </w:tc>
        <w:tc>
          <w:tcPr>
            <w:tcW w:w="2409" w:type="dxa"/>
          </w:tcPr>
          <w:p w14:paraId="6631A30E" w14:textId="14F1DB36" w:rsidR="00FA1342" w:rsidRPr="002E5DDE" w:rsidRDefault="00AD6D06" w:rsidP="00FA1342">
            <w:pPr>
              <w:pStyle w:val="TableBody"/>
            </w:pPr>
            <w:r>
              <w:t>1.</w:t>
            </w:r>
            <w:r w:rsidR="00E877D4">
              <w:t>0476</w:t>
            </w:r>
          </w:p>
        </w:tc>
        <w:tc>
          <w:tcPr>
            <w:tcW w:w="2410" w:type="dxa"/>
          </w:tcPr>
          <w:p w14:paraId="19493BE9" w14:textId="77BB7FEA" w:rsidR="00FA1342" w:rsidRPr="002E5DDE" w:rsidRDefault="00EA2312" w:rsidP="00FA1342">
            <w:pPr>
              <w:pStyle w:val="TableBody"/>
            </w:pPr>
            <w:r>
              <w:t>1.0018</w:t>
            </w:r>
          </w:p>
        </w:tc>
        <w:tc>
          <w:tcPr>
            <w:tcW w:w="2410" w:type="dxa"/>
          </w:tcPr>
          <w:p w14:paraId="298C1BBC" w14:textId="226B16B6" w:rsidR="00FA1342" w:rsidRPr="002E5DDE" w:rsidRDefault="00F010BC" w:rsidP="00FA1342">
            <w:pPr>
              <w:pStyle w:val="TableBody"/>
            </w:pPr>
            <w:r>
              <w:t>4.</w:t>
            </w:r>
            <w:r w:rsidR="00B42A76">
              <w:t>9</w:t>
            </w:r>
            <w:r w:rsidR="00D750EF">
              <w:t>4</w:t>
            </w:r>
            <w:r w:rsidR="00FA1342" w:rsidRPr="008A537E">
              <w:t>%</w:t>
            </w:r>
          </w:p>
        </w:tc>
      </w:tr>
      <w:tr w:rsidR="00FA1342" w:rsidRPr="002E5DDE" w14:paraId="4B12DE64"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3F3E65E5" w14:textId="77777777" w:rsidR="00FA1342" w:rsidRPr="002E5DDE" w:rsidRDefault="00FA1342" w:rsidP="00FA1342">
            <w:pPr>
              <w:pStyle w:val="TableBody"/>
              <w:keepNext/>
            </w:pPr>
            <w:r w:rsidRPr="002E5DDE">
              <w:t>Powercor</w:t>
            </w:r>
          </w:p>
        </w:tc>
        <w:tc>
          <w:tcPr>
            <w:tcW w:w="2409" w:type="dxa"/>
          </w:tcPr>
          <w:p w14:paraId="57D7CCBE" w14:textId="06E842FE" w:rsidR="00FA1342" w:rsidRPr="002E5DDE" w:rsidRDefault="00337E29" w:rsidP="00FA1342">
            <w:pPr>
              <w:pStyle w:val="TableBody"/>
            </w:pPr>
            <w:r>
              <w:t>1.0744</w:t>
            </w:r>
          </w:p>
        </w:tc>
        <w:tc>
          <w:tcPr>
            <w:tcW w:w="2410" w:type="dxa"/>
          </w:tcPr>
          <w:p w14:paraId="0CD68AF7" w14:textId="6D43B6CB" w:rsidR="00FA1342" w:rsidRPr="002E5DDE" w:rsidRDefault="00EA2312" w:rsidP="00FA1342">
            <w:pPr>
              <w:pStyle w:val="TableBody"/>
            </w:pPr>
            <w:r>
              <w:t>1.0008</w:t>
            </w:r>
          </w:p>
        </w:tc>
        <w:tc>
          <w:tcPr>
            <w:tcW w:w="2410" w:type="dxa"/>
          </w:tcPr>
          <w:p w14:paraId="1D9DD576" w14:textId="1E7EDF27" w:rsidR="00FA1342" w:rsidRPr="002E5DDE" w:rsidRDefault="00D83995" w:rsidP="00FA1342">
            <w:pPr>
              <w:pStyle w:val="TableBody"/>
            </w:pPr>
            <w:r>
              <w:t>7.53</w:t>
            </w:r>
            <w:r w:rsidR="00FA1342" w:rsidRPr="008A537E">
              <w:t>%</w:t>
            </w:r>
          </w:p>
        </w:tc>
      </w:tr>
      <w:tr w:rsidR="00FA1342" w:rsidRPr="002E5DDE" w14:paraId="5B33C6B2"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2DEA89F5" w14:textId="77777777" w:rsidR="00FA1342" w:rsidRPr="002E5DDE" w:rsidRDefault="00FA1342" w:rsidP="00FA1342">
            <w:pPr>
              <w:pStyle w:val="TableBody"/>
              <w:keepNext/>
            </w:pPr>
            <w:r w:rsidRPr="002E5DDE">
              <w:t>United Energy</w:t>
            </w:r>
          </w:p>
        </w:tc>
        <w:tc>
          <w:tcPr>
            <w:tcW w:w="2409" w:type="dxa"/>
          </w:tcPr>
          <w:p w14:paraId="19BB3780" w14:textId="36B407E1" w:rsidR="00FA1342" w:rsidRPr="002E5DDE" w:rsidRDefault="00440254" w:rsidP="00FA1342">
            <w:pPr>
              <w:pStyle w:val="TableBody"/>
            </w:pPr>
            <w:r>
              <w:t>1.0460</w:t>
            </w:r>
          </w:p>
        </w:tc>
        <w:tc>
          <w:tcPr>
            <w:tcW w:w="2410" w:type="dxa"/>
          </w:tcPr>
          <w:p w14:paraId="3E4CE585" w14:textId="32E8D42E" w:rsidR="00FA1342" w:rsidRPr="002E5DDE" w:rsidRDefault="00EF6BD9" w:rsidP="00FA1342">
            <w:pPr>
              <w:pStyle w:val="TableBody"/>
            </w:pPr>
            <w:r>
              <w:t>0.9984</w:t>
            </w:r>
          </w:p>
        </w:tc>
        <w:tc>
          <w:tcPr>
            <w:tcW w:w="2410" w:type="dxa"/>
          </w:tcPr>
          <w:p w14:paraId="270DE5C0" w14:textId="7C07D40F" w:rsidR="00FA1342" w:rsidRPr="002E5DDE" w:rsidRDefault="00334EA0" w:rsidP="00FA1342">
            <w:pPr>
              <w:pStyle w:val="TableBody"/>
            </w:pPr>
            <w:r>
              <w:t>4.4</w:t>
            </w:r>
            <w:r w:rsidR="004B76CF">
              <w:t>3</w:t>
            </w:r>
            <w:r w:rsidR="00FA1342" w:rsidRPr="008A537E">
              <w:t>%</w:t>
            </w:r>
          </w:p>
        </w:tc>
      </w:tr>
    </w:tbl>
    <w:p w14:paraId="6C5A9399" w14:textId="6A72B4DC" w:rsidR="00275412" w:rsidRPr="002E5DDE" w:rsidRDefault="00275412" w:rsidP="00F72CBD">
      <w:pPr>
        <w:pStyle w:val="Source"/>
        <w:keepNext/>
        <w:jc w:val="left"/>
      </w:pPr>
      <w:bookmarkStart w:id="146" w:name="_Hlk102481038"/>
      <w:r w:rsidRPr="002E5DDE">
        <w:t xml:space="preserve">Source: </w:t>
      </w:r>
      <w:r w:rsidRPr="007F29D0">
        <w:t>Australian Energy Market Operator, Distribution Loss Factors 202</w:t>
      </w:r>
      <w:r w:rsidR="00103457" w:rsidRPr="007F29D0">
        <w:t>5</w:t>
      </w:r>
      <w:r w:rsidRPr="007F29D0">
        <w:t>–2</w:t>
      </w:r>
      <w:r w:rsidR="00103457" w:rsidRPr="007F29D0">
        <w:t>6</w:t>
      </w:r>
      <w:r w:rsidRPr="007F29D0">
        <w:t xml:space="preserve"> and</w:t>
      </w:r>
      <w:r w:rsidR="00E96BE3" w:rsidRPr="007F29D0">
        <w:t xml:space="preserve"> preliminary </w:t>
      </w:r>
      <w:r w:rsidRPr="007F29D0">
        <w:t xml:space="preserve">Marginal Loss Factors </w:t>
      </w:r>
      <w:bookmarkEnd w:id="146"/>
      <w:r w:rsidRPr="007F29D0">
        <w:t>202</w:t>
      </w:r>
      <w:r w:rsidR="00103457" w:rsidRPr="007F29D0">
        <w:t>5</w:t>
      </w:r>
      <w:r w:rsidRPr="007F29D0">
        <w:t>–2</w:t>
      </w:r>
      <w:r w:rsidR="00103457" w:rsidRPr="007F29D0">
        <w:t>6</w:t>
      </w:r>
      <w:r w:rsidRPr="007F29D0">
        <w:t>.</w:t>
      </w:r>
    </w:p>
    <w:p w14:paraId="73BA8925" w14:textId="77777777" w:rsidR="005E2FE0" w:rsidRDefault="005E2FE0">
      <w:pPr>
        <w:spacing w:before="0" w:line="259" w:lineRule="auto"/>
        <w:rPr>
          <w:rFonts w:ascii="Tahoma" w:eastAsiaTheme="majorEastAsia" w:hAnsi="Tahoma" w:cstheme="majorBidi"/>
          <w:b/>
          <w:sz w:val="26"/>
          <w:szCs w:val="26"/>
        </w:rPr>
      </w:pPr>
      <w:bookmarkStart w:id="147" w:name="_Toc48315281"/>
      <w:bookmarkStart w:id="148" w:name="_Toc50655589"/>
      <w:bookmarkStart w:id="149" w:name="_Toc88656429"/>
      <w:bookmarkStart w:id="150" w:name="_Toc95924859"/>
      <w:bookmarkStart w:id="151" w:name="_Toc103191778"/>
      <w:bookmarkStart w:id="152" w:name="_Toc103884128"/>
      <w:bookmarkStart w:id="153" w:name="_Toc160817055"/>
      <w:bookmarkStart w:id="154" w:name="_Toc191027399"/>
      <w:r>
        <w:br w:type="page"/>
      </w:r>
    </w:p>
    <w:p w14:paraId="69DD34DD" w14:textId="7E4F5C81" w:rsidR="00275412" w:rsidRPr="002E5DDE" w:rsidRDefault="00275412" w:rsidP="00275412">
      <w:pPr>
        <w:pStyle w:val="Heading2"/>
      </w:pPr>
      <w:bookmarkStart w:id="155" w:name="_Toc198808342"/>
      <w:bookmarkEnd w:id="147"/>
      <w:bookmarkEnd w:id="148"/>
      <w:bookmarkEnd w:id="149"/>
      <w:bookmarkEnd w:id="150"/>
      <w:bookmarkEnd w:id="151"/>
      <w:bookmarkEnd w:id="152"/>
      <w:bookmarkEnd w:id="153"/>
      <w:bookmarkEnd w:id="154"/>
      <w:r w:rsidRPr="002E5DDE">
        <w:lastRenderedPageBreak/>
        <w:t xml:space="preserve">Network </w:t>
      </w:r>
      <w:r w:rsidR="008B30A8">
        <w:t>tariffs</w:t>
      </w:r>
      <w:r w:rsidR="00BC6CE7">
        <w:t xml:space="preserve"> (</w:t>
      </w:r>
      <w:r w:rsidR="0079029E">
        <w:t>flat tariff</w:t>
      </w:r>
      <w:r w:rsidR="00BC6CE7">
        <w:t>)</w:t>
      </w:r>
      <w:bookmarkEnd w:id="155"/>
    </w:p>
    <w:p w14:paraId="3553D0C7" w14:textId="292911AA" w:rsidR="00813185" w:rsidRPr="00714016" w:rsidRDefault="0088172F" w:rsidP="00275412">
      <w:r>
        <w:rPr>
          <w:rFonts w:ascii="Arial" w:eastAsia="Arial" w:hAnsi="Arial" w:cs="Arial"/>
        </w:rPr>
        <w:t>I</w:t>
      </w:r>
      <w:r w:rsidR="00275412" w:rsidRPr="002E5DDE">
        <w:rPr>
          <w:rFonts w:ascii="Arial" w:eastAsia="Arial" w:hAnsi="Arial" w:cs="Arial"/>
        </w:rPr>
        <w:t xml:space="preserve">ndicative </w:t>
      </w:r>
      <w:r w:rsidR="00ED0ACC">
        <w:rPr>
          <w:rFonts w:ascii="Arial" w:eastAsia="Arial" w:hAnsi="Arial" w:cs="Arial"/>
        </w:rPr>
        <w:t xml:space="preserve">flat </w:t>
      </w:r>
      <w:r w:rsidR="00275412" w:rsidRPr="002E5DDE">
        <w:rPr>
          <w:rFonts w:ascii="Arial" w:eastAsia="Arial" w:hAnsi="Arial" w:cs="Arial"/>
        </w:rPr>
        <w:t>network tariffs</w:t>
      </w:r>
      <w:r>
        <w:rPr>
          <w:rFonts w:ascii="Arial" w:eastAsia="Arial" w:hAnsi="Arial" w:cs="Arial"/>
        </w:rPr>
        <w:t xml:space="preserve"> </w:t>
      </w:r>
      <w:r w:rsidRPr="0088172F">
        <w:t>for the 2025</w:t>
      </w:r>
      <w:r w:rsidR="00F3338F">
        <w:rPr>
          <w:rStyle w:val="ui-provider"/>
          <w:i/>
          <w:iCs/>
        </w:rPr>
        <w:t>–</w:t>
      </w:r>
      <w:r w:rsidRPr="0088172F">
        <w:t xml:space="preserve">26 Victorian Default Offer are presented in </w:t>
      </w:r>
      <w:r w:rsidR="00271AB5">
        <w:t>t</w:t>
      </w:r>
      <w:r w:rsidRPr="002E5DDE">
        <w:t>ables A.3 and A.4</w:t>
      </w:r>
      <w:r w:rsidR="00271AB5">
        <w:t>.</w:t>
      </w:r>
    </w:p>
    <w:p w14:paraId="10B0DF0B" w14:textId="24B3F83D" w:rsidR="00275412" w:rsidRPr="002E5DDE" w:rsidRDefault="00275412" w:rsidP="00610F02">
      <w:pPr>
        <w:pStyle w:val="Figure-Table-BoxHeading"/>
      </w:pPr>
      <w:r w:rsidRPr="002E5DDE">
        <w:t>Table A.3</w:t>
      </w:r>
      <w:r w:rsidR="00685B37" w:rsidRPr="002E5DDE">
        <w:t>:</w:t>
      </w:r>
      <w:r w:rsidRPr="002E5DDE">
        <w:t xml:space="preserve"> Domestic electricity network charges, flat tariff, 2025–26 (GST exclusive)</w:t>
      </w:r>
    </w:p>
    <w:tbl>
      <w:tblPr>
        <w:tblStyle w:val="TableGrid"/>
        <w:tblW w:w="0" w:type="auto"/>
        <w:tblLook w:val="04A0" w:firstRow="1" w:lastRow="0" w:firstColumn="1" w:lastColumn="0" w:noHBand="0" w:noVBand="1"/>
      </w:tblPr>
      <w:tblGrid>
        <w:gridCol w:w="2061"/>
        <w:gridCol w:w="1708"/>
        <w:gridCol w:w="1901"/>
        <w:gridCol w:w="1985"/>
        <w:gridCol w:w="1983"/>
      </w:tblGrid>
      <w:tr w:rsidR="00275412" w:rsidRPr="002E5DDE" w14:paraId="4364A40C" w14:textId="77777777" w:rsidTr="00DA436D">
        <w:trPr>
          <w:cnfStyle w:val="100000000000" w:firstRow="1" w:lastRow="0" w:firstColumn="0" w:lastColumn="0" w:oddVBand="0" w:evenVBand="0" w:oddHBand="0" w:evenHBand="0" w:firstRowFirstColumn="0" w:firstRowLastColumn="0" w:lastRowFirstColumn="0" w:lastRowLastColumn="0"/>
        </w:trPr>
        <w:tc>
          <w:tcPr>
            <w:tcW w:w="2061" w:type="dxa"/>
          </w:tcPr>
          <w:p w14:paraId="6C6952CE" w14:textId="77777777" w:rsidR="00275412" w:rsidRPr="002E5DDE" w:rsidRDefault="00275412" w:rsidP="00F72CBD">
            <w:pPr>
              <w:pStyle w:val="TableHeading"/>
              <w:keepNext/>
            </w:pPr>
            <w:r w:rsidRPr="002E5DDE">
              <w:t>Distribution zone</w:t>
            </w:r>
          </w:p>
        </w:tc>
        <w:tc>
          <w:tcPr>
            <w:tcW w:w="1708" w:type="dxa"/>
          </w:tcPr>
          <w:p w14:paraId="1F9A9050" w14:textId="77777777" w:rsidR="00275412" w:rsidRPr="002E5DDE" w:rsidRDefault="00275412" w:rsidP="00F72CBD">
            <w:pPr>
              <w:pStyle w:val="TableHeading"/>
              <w:keepNext/>
              <w:rPr>
                <w:b w:val="0"/>
              </w:rPr>
            </w:pPr>
            <w:r w:rsidRPr="002E5DDE">
              <w:t>Daily charge</w:t>
            </w:r>
          </w:p>
          <w:p w14:paraId="079F2110" w14:textId="77777777" w:rsidR="00275412" w:rsidRPr="002E5DDE" w:rsidRDefault="00275412" w:rsidP="00F72CBD">
            <w:pPr>
              <w:pStyle w:val="TableHeading"/>
              <w:keepNext/>
            </w:pPr>
            <w:r w:rsidRPr="002E5DDE">
              <w:t>($ per year)</w:t>
            </w:r>
          </w:p>
        </w:tc>
        <w:tc>
          <w:tcPr>
            <w:tcW w:w="1901" w:type="dxa"/>
          </w:tcPr>
          <w:p w14:paraId="7EC407AC" w14:textId="77777777" w:rsidR="00275412" w:rsidRPr="002E5DDE" w:rsidRDefault="00275412" w:rsidP="00F72CBD">
            <w:pPr>
              <w:pStyle w:val="TableHeading"/>
              <w:keepNext/>
            </w:pPr>
            <w:r w:rsidRPr="002E5DDE">
              <w:t>Variable charge structure</w:t>
            </w:r>
          </w:p>
        </w:tc>
        <w:tc>
          <w:tcPr>
            <w:tcW w:w="1985" w:type="dxa"/>
          </w:tcPr>
          <w:p w14:paraId="41675FC6" w14:textId="77777777" w:rsidR="00275412" w:rsidRPr="002E5DDE" w:rsidRDefault="00275412" w:rsidP="00F72CBD">
            <w:pPr>
              <w:pStyle w:val="TableHeading"/>
              <w:keepNext/>
              <w:rPr>
                <w:b w:val="0"/>
              </w:rPr>
            </w:pPr>
            <w:r w:rsidRPr="002E5DDE">
              <w:t>Variable charge</w:t>
            </w:r>
          </w:p>
          <w:p w14:paraId="35D2065F" w14:textId="77777777" w:rsidR="00275412" w:rsidRPr="002E5DDE" w:rsidRDefault="00275412" w:rsidP="00F72CBD">
            <w:pPr>
              <w:pStyle w:val="TableHeading"/>
              <w:keepNext/>
            </w:pPr>
            <w:r w:rsidRPr="002E5DDE">
              <w:t>($ per kWh)</w:t>
            </w:r>
          </w:p>
        </w:tc>
        <w:tc>
          <w:tcPr>
            <w:tcW w:w="1983" w:type="dxa"/>
          </w:tcPr>
          <w:p w14:paraId="554B4360" w14:textId="77777777" w:rsidR="00275412" w:rsidRPr="002E5DDE" w:rsidRDefault="00275412" w:rsidP="00F72CBD">
            <w:pPr>
              <w:pStyle w:val="TableHeading"/>
              <w:keepNext/>
            </w:pPr>
            <w:r w:rsidRPr="002E5DDE">
              <w:t>Controlled load ($ per kWh)</w:t>
            </w:r>
          </w:p>
        </w:tc>
      </w:tr>
      <w:tr w:rsidR="001B0F9B" w:rsidRPr="00BA1CA5" w14:paraId="6FA8C270" w14:textId="77777777" w:rsidTr="00DA436D">
        <w:trPr>
          <w:cnfStyle w:val="000000100000" w:firstRow="0" w:lastRow="0" w:firstColumn="0" w:lastColumn="0" w:oddVBand="0" w:evenVBand="0" w:oddHBand="1" w:evenHBand="0" w:firstRowFirstColumn="0" w:firstRowLastColumn="0" w:lastRowFirstColumn="0" w:lastRowLastColumn="0"/>
        </w:trPr>
        <w:tc>
          <w:tcPr>
            <w:tcW w:w="2061" w:type="dxa"/>
          </w:tcPr>
          <w:p w14:paraId="06F648F7" w14:textId="1E76A4D7" w:rsidR="001B0F9B" w:rsidRPr="00BA1CA5" w:rsidRDefault="001B0F9B" w:rsidP="001B0F9B">
            <w:pPr>
              <w:pStyle w:val="TableBody"/>
              <w:keepNext/>
            </w:pPr>
            <w:r w:rsidRPr="00BA1CA5">
              <w:t>AusNet Services</w:t>
            </w:r>
          </w:p>
        </w:tc>
        <w:tc>
          <w:tcPr>
            <w:tcW w:w="1708" w:type="dxa"/>
          </w:tcPr>
          <w:p w14:paraId="3159CEB9" w14:textId="2FAAAF7F" w:rsidR="001B0F9B" w:rsidRPr="00BA1CA5" w:rsidRDefault="001B0F9B" w:rsidP="001B0F9B">
            <w:pPr>
              <w:pStyle w:val="TableBody"/>
              <w:keepNext/>
              <w:jc w:val="center"/>
            </w:pPr>
            <w:r w:rsidRPr="00BA1CA5">
              <w:t>$</w:t>
            </w:r>
            <w:r w:rsidR="006D4AF3" w:rsidRPr="00BA1CA5">
              <w:t>150.</w:t>
            </w:r>
            <w:r w:rsidR="00A026E5" w:rsidRPr="00BA1CA5">
              <w:t>09</w:t>
            </w:r>
          </w:p>
        </w:tc>
        <w:tc>
          <w:tcPr>
            <w:tcW w:w="1901" w:type="dxa"/>
          </w:tcPr>
          <w:p w14:paraId="5D5C6260" w14:textId="77777777" w:rsidR="001B0F9B" w:rsidRPr="00BA1CA5" w:rsidRDefault="001B0F9B" w:rsidP="001B0F9B">
            <w:pPr>
              <w:pStyle w:val="TableBody"/>
              <w:keepNext/>
              <w:jc w:val="center"/>
              <w:rPr>
                <w:b/>
                <w:color w:val="FFFFFF" w:themeColor="background1"/>
              </w:rPr>
            </w:pPr>
            <w:r w:rsidRPr="00BA1CA5">
              <w:t>Block 1</w:t>
            </w:r>
          </w:p>
          <w:p w14:paraId="3C36EE8B" w14:textId="77777777" w:rsidR="001B0F9B" w:rsidRPr="00BA1CA5" w:rsidRDefault="001B0F9B" w:rsidP="001B0F9B">
            <w:pPr>
              <w:pStyle w:val="TableBody"/>
              <w:keepNext/>
              <w:jc w:val="center"/>
            </w:pPr>
            <w:r w:rsidRPr="00BA1CA5">
              <w:t>Block 2</w:t>
            </w:r>
          </w:p>
        </w:tc>
        <w:tc>
          <w:tcPr>
            <w:tcW w:w="1985" w:type="dxa"/>
          </w:tcPr>
          <w:p w14:paraId="5A68C6C9" w14:textId="61BAE8DD" w:rsidR="001B0F9B" w:rsidRPr="00BA1CA5" w:rsidRDefault="001B0F9B" w:rsidP="001B0F9B">
            <w:pPr>
              <w:pStyle w:val="TableBody"/>
              <w:keepNext/>
              <w:jc w:val="center"/>
            </w:pPr>
            <w:r w:rsidRPr="00BA1CA5">
              <w:t>$</w:t>
            </w:r>
            <w:r w:rsidR="008946EF" w:rsidRPr="00BA1CA5">
              <w:t>0.1423</w:t>
            </w:r>
            <w:r w:rsidRPr="00BA1CA5">
              <w:t xml:space="preserve"> </w:t>
            </w:r>
            <w:r w:rsidRPr="00BA1CA5">
              <w:br/>
              <w:t>$</w:t>
            </w:r>
            <w:r w:rsidR="005A0BE4" w:rsidRPr="00BA1CA5">
              <w:t>0.1423</w:t>
            </w:r>
          </w:p>
        </w:tc>
        <w:tc>
          <w:tcPr>
            <w:tcW w:w="1983" w:type="dxa"/>
          </w:tcPr>
          <w:p w14:paraId="009F05A9" w14:textId="2A7559B4" w:rsidR="001B0F9B" w:rsidRPr="00BA1CA5" w:rsidRDefault="001B0F9B" w:rsidP="001B0F9B">
            <w:pPr>
              <w:pStyle w:val="TableBody"/>
              <w:keepNext/>
              <w:jc w:val="center"/>
            </w:pPr>
            <w:r w:rsidRPr="00BA1CA5">
              <w:t>$</w:t>
            </w:r>
            <w:r w:rsidR="005C5008" w:rsidRPr="00BA1CA5">
              <w:t>0.0</w:t>
            </w:r>
            <w:r w:rsidR="00F83C0E" w:rsidRPr="00BA1CA5">
              <w:t>492</w:t>
            </w:r>
          </w:p>
        </w:tc>
      </w:tr>
      <w:tr w:rsidR="001B0F9B" w:rsidRPr="00BA1CA5" w14:paraId="19232FD3" w14:textId="77777777" w:rsidTr="00DA436D">
        <w:trPr>
          <w:cnfStyle w:val="000000010000" w:firstRow="0" w:lastRow="0" w:firstColumn="0" w:lastColumn="0" w:oddVBand="0" w:evenVBand="0" w:oddHBand="0" w:evenHBand="1" w:firstRowFirstColumn="0" w:firstRowLastColumn="0" w:lastRowFirstColumn="0" w:lastRowLastColumn="0"/>
        </w:trPr>
        <w:tc>
          <w:tcPr>
            <w:tcW w:w="2061" w:type="dxa"/>
          </w:tcPr>
          <w:p w14:paraId="38383CAC" w14:textId="2ED8E5B9" w:rsidR="001B0F9B" w:rsidRPr="00BA1CA5" w:rsidRDefault="001B0F9B" w:rsidP="001B0F9B">
            <w:pPr>
              <w:pStyle w:val="TableBody"/>
              <w:keepNext/>
            </w:pPr>
            <w:r w:rsidRPr="00BA1CA5">
              <w:t>CitiPower</w:t>
            </w:r>
          </w:p>
        </w:tc>
        <w:tc>
          <w:tcPr>
            <w:tcW w:w="1708" w:type="dxa"/>
          </w:tcPr>
          <w:p w14:paraId="607C6CC5" w14:textId="4C984A0E" w:rsidR="001B0F9B" w:rsidRPr="00BA1CA5" w:rsidRDefault="001B0F9B" w:rsidP="001B0F9B">
            <w:pPr>
              <w:pStyle w:val="TableBody"/>
              <w:keepNext/>
              <w:jc w:val="center"/>
            </w:pPr>
            <w:r w:rsidRPr="00BA1CA5">
              <w:t>$</w:t>
            </w:r>
            <w:r w:rsidR="00DE55A1" w:rsidRPr="00BA1CA5">
              <w:t>105.01</w:t>
            </w:r>
          </w:p>
        </w:tc>
        <w:tc>
          <w:tcPr>
            <w:tcW w:w="1901" w:type="dxa"/>
          </w:tcPr>
          <w:p w14:paraId="2065BD0D" w14:textId="77777777" w:rsidR="001B0F9B" w:rsidRPr="00BA1CA5" w:rsidRDefault="001B0F9B" w:rsidP="001B0F9B">
            <w:pPr>
              <w:pStyle w:val="TableBody"/>
              <w:keepNext/>
              <w:jc w:val="center"/>
            </w:pPr>
            <w:r w:rsidRPr="00BA1CA5">
              <w:t>Anytime</w:t>
            </w:r>
          </w:p>
        </w:tc>
        <w:tc>
          <w:tcPr>
            <w:tcW w:w="1985" w:type="dxa"/>
          </w:tcPr>
          <w:p w14:paraId="7A125C62" w14:textId="57A974EF" w:rsidR="001B0F9B" w:rsidRPr="00BA1CA5" w:rsidRDefault="001B0F9B" w:rsidP="001B0F9B">
            <w:pPr>
              <w:pStyle w:val="TableBody"/>
              <w:keepNext/>
              <w:jc w:val="center"/>
            </w:pPr>
            <w:r w:rsidRPr="00BA1CA5">
              <w:t>$</w:t>
            </w:r>
            <w:r w:rsidR="00CE4971" w:rsidRPr="00BA1CA5">
              <w:t>0.0866</w:t>
            </w:r>
          </w:p>
        </w:tc>
        <w:tc>
          <w:tcPr>
            <w:tcW w:w="1983" w:type="dxa"/>
          </w:tcPr>
          <w:p w14:paraId="2D6F1270" w14:textId="7284A06A" w:rsidR="001B0F9B" w:rsidRPr="00BA1CA5" w:rsidRDefault="001B0F9B" w:rsidP="001B0F9B">
            <w:pPr>
              <w:pStyle w:val="TableBody"/>
              <w:keepNext/>
              <w:jc w:val="center"/>
            </w:pPr>
            <w:r w:rsidRPr="00BA1CA5">
              <w:t>$</w:t>
            </w:r>
            <w:r w:rsidR="00385048" w:rsidRPr="00BA1CA5">
              <w:t>0.02</w:t>
            </w:r>
            <w:r w:rsidR="0029201A" w:rsidRPr="00BA1CA5">
              <w:t>44</w:t>
            </w:r>
          </w:p>
        </w:tc>
      </w:tr>
      <w:tr w:rsidR="001B0F9B" w:rsidRPr="00BA1CA5" w14:paraId="15706882" w14:textId="77777777" w:rsidTr="00DA436D">
        <w:trPr>
          <w:cnfStyle w:val="000000100000" w:firstRow="0" w:lastRow="0" w:firstColumn="0" w:lastColumn="0" w:oddVBand="0" w:evenVBand="0" w:oddHBand="1" w:evenHBand="0" w:firstRowFirstColumn="0" w:firstRowLastColumn="0" w:lastRowFirstColumn="0" w:lastRowLastColumn="0"/>
        </w:trPr>
        <w:tc>
          <w:tcPr>
            <w:tcW w:w="2061" w:type="dxa"/>
          </w:tcPr>
          <w:p w14:paraId="75EE8306" w14:textId="77777777" w:rsidR="001B0F9B" w:rsidRPr="00BA1CA5" w:rsidRDefault="001B0F9B" w:rsidP="001B0F9B">
            <w:pPr>
              <w:pStyle w:val="TableBody"/>
              <w:keepNext/>
            </w:pPr>
            <w:r w:rsidRPr="00BA1CA5">
              <w:t>Jemena</w:t>
            </w:r>
          </w:p>
        </w:tc>
        <w:tc>
          <w:tcPr>
            <w:tcW w:w="1708" w:type="dxa"/>
          </w:tcPr>
          <w:p w14:paraId="5A25610F" w14:textId="0DA673AC" w:rsidR="001B0F9B" w:rsidRPr="00BA1CA5" w:rsidRDefault="001B0F9B" w:rsidP="001B0F9B">
            <w:pPr>
              <w:pStyle w:val="TableBody"/>
              <w:keepNext/>
              <w:jc w:val="center"/>
            </w:pPr>
            <w:r w:rsidRPr="00BA1CA5">
              <w:t>$</w:t>
            </w:r>
            <w:r w:rsidR="00815623" w:rsidRPr="00BA1CA5">
              <w:t>111.</w:t>
            </w:r>
            <w:r w:rsidR="000A72B5" w:rsidRPr="00BA1CA5">
              <w:t>15</w:t>
            </w:r>
          </w:p>
        </w:tc>
        <w:tc>
          <w:tcPr>
            <w:tcW w:w="1901" w:type="dxa"/>
          </w:tcPr>
          <w:p w14:paraId="67095B3B" w14:textId="77777777" w:rsidR="001B0F9B" w:rsidRPr="00BA1CA5" w:rsidRDefault="001B0F9B" w:rsidP="001B0F9B">
            <w:pPr>
              <w:pStyle w:val="TableBody"/>
              <w:keepNext/>
              <w:jc w:val="center"/>
            </w:pPr>
            <w:r w:rsidRPr="00BA1CA5">
              <w:t>Anytime</w:t>
            </w:r>
          </w:p>
        </w:tc>
        <w:tc>
          <w:tcPr>
            <w:tcW w:w="1985" w:type="dxa"/>
          </w:tcPr>
          <w:p w14:paraId="6CFDDE04" w14:textId="228E2690" w:rsidR="001B0F9B" w:rsidRPr="00BA1CA5" w:rsidRDefault="001B0F9B" w:rsidP="001B0F9B">
            <w:pPr>
              <w:pStyle w:val="TableBody"/>
              <w:keepNext/>
              <w:jc w:val="center"/>
            </w:pPr>
            <w:r w:rsidRPr="00BA1CA5">
              <w:t>$</w:t>
            </w:r>
            <w:r w:rsidR="009F1C9E" w:rsidRPr="00BA1CA5">
              <w:t>0.0989</w:t>
            </w:r>
          </w:p>
        </w:tc>
        <w:tc>
          <w:tcPr>
            <w:tcW w:w="1983" w:type="dxa"/>
          </w:tcPr>
          <w:p w14:paraId="623B3BC2" w14:textId="696BF763" w:rsidR="001B0F9B" w:rsidRPr="00BA1CA5" w:rsidRDefault="001B0F9B" w:rsidP="001B0F9B">
            <w:pPr>
              <w:pStyle w:val="TableBody"/>
              <w:keepNext/>
              <w:jc w:val="center"/>
            </w:pPr>
            <w:r w:rsidRPr="00BA1CA5">
              <w:t>$</w:t>
            </w:r>
            <w:r w:rsidR="00375BA4" w:rsidRPr="00BA1CA5">
              <w:t>0.</w:t>
            </w:r>
            <w:r w:rsidR="00BA1CA5" w:rsidRPr="00BA1CA5">
              <w:t>0421</w:t>
            </w:r>
          </w:p>
        </w:tc>
      </w:tr>
      <w:tr w:rsidR="001B0F9B" w:rsidRPr="00BA1CA5" w14:paraId="2956DE58" w14:textId="77777777" w:rsidTr="00DA436D">
        <w:trPr>
          <w:cnfStyle w:val="000000010000" w:firstRow="0" w:lastRow="0" w:firstColumn="0" w:lastColumn="0" w:oddVBand="0" w:evenVBand="0" w:oddHBand="0" w:evenHBand="1" w:firstRowFirstColumn="0" w:firstRowLastColumn="0" w:lastRowFirstColumn="0" w:lastRowLastColumn="0"/>
        </w:trPr>
        <w:tc>
          <w:tcPr>
            <w:tcW w:w="2061" w:type="dxa"/>
          </w:tcPr>
          <w:p w14:paraId="1465ED57" w14:textId="77777777" w:rsidR="001B0F9B" w:rsidRPr="00BA1CA5" w:rsidRDefault="001B0F9B" w:rsidP="001B0F9B">
            <w:pPr>
              <w:pStyle w:val="TableBody"/>
              <w:keepNext/>
            </w:pPr>
            <w:r w:rsidRPr="00BA1CA5">
              <w:t>Powercor</w:t>
            </w:r>
          </w:p>
        </w:tc>
        <w:tc>
          <w:tcPr>
            <w:tcW w:w="1708" w:type="dxa"/>
          </w:tcPr>
          <w:p w14:paraId="254ED93B" w14:textId="35AA9590" w:rsidR="001B0F9B" w:rsidRPr="00BA1CA5" w:rsidRDefault="001B0F9B" w:rsidP="001B0F9B">
            <w:pPr>
              <w:pStyle w:val="TableBody"/>
              <w:keepNext/>
              <w:jc w:val="center"/>
            </w:pPr>
            <w:r w:rsidRPr="00BA1CA5">
              <w:t>$</w:t>
            </w:r>
            <w:r w:rsidR="00591873" w:rsidRPr="00BA1CA5">
              <w:t>150.02</w:t>
            </w:r>
          </w:p>
        </w:tc>
        <w:tc>
          <w:tcPr>
            <w:tcW w:w="1901" w:type="dxa"/>
          </w:tcPr>
          <w:p w14:paraId="5CF06FDE" w14:textId="77777777" w:rsidR="001B0F9B" w:rsidRPr="00BA1CA5" w:rsidRDefault="001B0F9B" w:rsidP="001B0F9B">
            <w:pPr>
              <w:pStyle w:val="TableBody"/>
              <w:keepNext/>
              <w:jc w:val="center"/>
            </w:pPr>
            <w:r w:rsidRPr="00BA1CA5">
              <w:t>Anytime</w:t>
            </w:r>
          </w:p>
        </w:tc>
        <w:tc>
          <w:tcPr>
            <w:tcW w:w="1985" w:type="dxa"/>
          </w:tcPr>
          <w:p w14:paraId="0F0083C6" w14:textId="453B384C" w:rsidR="001B0F9B" w:rsidRPr="00BA1CA5" w:rsidRDefault="001B0F9B" w:rsidP="001B0F9B">
            <w:pPr>
              <w:pStyle w:val="TableBody"/>
              <w:keepNext/>
              <w:jc w:val="center"/>
            </w:pPr>
            <w:r w:rsidRPr="00BA1CA5">
              <w:t>$</w:t>
            </w:r>
            <w:r w:rsidR="004C18DF" w:rsidRPr="00BA1CA5">
              <w:t>0.1039</w:t>
            </w:r>
          </w:p>
        </w:tc>
        <w:tc>
          <w:tcPr>
            <w:tcW w:w="1983" w:type="dxa"/>
          </w:tcPr>
          <w:p w14:paraId="21CBFA87" w14:textId="258B017B" w:rsidR="001B0F9B" w:rsidRPr="00BA1CA5" w:rsidRDefault="001B0F9B" w:rsidP="001B0F9B">
            <w:pPr>
              <w:pStyle w:val="TableBody"/>
              <w:keepNext/>
              <w:jc w:val="center"/>
            </w:pPr>
            <w:r w:rsidRPr="00BA1CA5">
              <w:t>$</w:t>
            </w:r>
            <w:r w:rsidR="0029201A" w:rsidRPr="00BA1CA5">
              <w:t>0.0273</w:t>
            </w:r>
          </w:p>
        </w:tc>
      </w:tr>
      <w:tr w:rsidR="001B0F9B" w:rsidRPr="00BA1CA5" w14:paraId="0D168295" w14:textId="77777777" w:rsidTr="00DA436D">
        <w:trPr>
          <w:cnfStyle w:val="000000100000" w:firstRow="0" w:lastRow="0" w:firstColumn="0" w:lastColumn="0" w:oddVBand="0" w:evenVBand="0" w:oddHBand="1" w:evenHBand="0" w:firstRowFirstColumn="0" w:firstRowLastColumn="0" w:lastRowFirstColumn="0" w:lastRowLastColumn="0"/>
        </w:trPr>
        <w:tc>
          <w:tcPr>
            <w:tcW w:w="2061" w:type="dxa"/>
          </w:tcPr>
          <w:p w14:paraId="049C8C85" w14:textId="77777777" w:rsidR="001B0F9B" w:rsidRPr="00BA1CA5" w:rsidRDefault="001B0F9B" w:rsidP="001B0F9B">
            <w:pPr>
              <w:pStyle w:val="TableBody"/>
              <w:keepNext/>
            </w:pPr>
            <w:r w:rsidRPr="00BA1CA5">
              <w:t>United Energy</w:t>
            </w:r>
          </w:p>
        </w:tc>
        <w:tc>
          <w:tcPr>
            <w:tcW w:w="1708" w:type="dxa"/>
          </w:tcPr>
          <w:p w14:paraId="04C786CA" w14:textId="1B9EA92B" w:rsidR="001B0F9B" w:rsidRPr="00BA1CA5" w:rsidRDefault="001B0F9B" w:rsidP="001B0F9B">
            <w:pPr>
              <w:pStyle w:val="TableBody"/>
              <w:keepNext/>
              <w:jc w:val="center"/>
            </w:pPr>
            <w:r w:rsidRPr="00BA1CA5">
              <w:t>$</w:t>
            </w:r>
            <w:r w:rsidR="00591873" w:rsidRPr="00BA1CA5">
              <w:t>105.01</w:t>
            </w:r>
          </w:p>
        </w:tc>
        <w:tc>
          <w:tcPr>
            <w:tcW w:w="1901" w:type="dxa"/>
          </w:tcPr>
          <w:p w14:paraId="758A96E5" w14:textId="77777777" w:rsidR="001B0F9B" w:rsidRPr="00BA1CA5" w:rsidRDefault="001B0F9B" w:rsidP="001B0F9B">
            <w:pPr>
              <w:pStyle w:val="TableBody"/>
              <w:keepNext/>
              <w:jc w:val="center"/>
            </w:pPr>
            <w:r w:rsidRPr="00BA1CA5">
              <w:t>Anytime</w:t>
            </w:r>
          </w:p>
        </w:tc>
        <w:tc>
          <w:tcPr>
            <w:tcW w:w="1985" w:type="dxa"/>
          </w:tcPr>
          <w:p w14:paraId="60CBD323" w14:textId="52B87BBD" w:rsidR="001B0F9B" w:rsidRPr="00BA1CA5" w:rsidRDefault="001B0F9B" w:rsidP="001B0F9B">
            <w:pPr>
              <w:pStyle w:val="TableBody"/>
              <w:keepNext/>
              <w:jc w:val="center"/>
            </w:pPr>
            <w:r w:rsidRPr="00BA1CA5">
              <w:t>$</w:t>
            </w:r>
            <w:r w:rsidR="004C18DF" w:rsidRPr="00BA1CA5">
              <w:t>0.0945</w:t>
            </w:r>
          </w:p>
        </w:tc>
        <w:tc>
          <w:tcPr>
            <w:tcW w:w="1983" w:type="dxa"/>
          </w:tcPr>
          <w:p w14:paraId="066FE0FA" w14:textId="61F16043" w:rsidR="001B0F9B" w:rsidRPr="00BA1CA5" w:rsidRDefault="001B0F9B" w:rsidP="001B0F9B">
            <w:pPr>
              <w:pStyle w:val="TableBody"/>
              <w:keepNext/>
              <w:jc w:val="center"/>
            </w:pPr>
            <w:r w:rsidRPr="00BA1CA5">
              <w:t>$</w:t>
            </w:r>
            <w:r w:rsidR="0029201A" w:rsidRPr="00BA1CA5">
              <w:t>0.0274</w:t>
            </w:r>
          </w:p>
        </w:tc>
      </w:tr>
    </w:tbl>
    <w:p w14:paraId="339C449A" w14:textId="1B95653B" w:rsidR="00275412" w:rsidRPr="002E5DDE" w:rsidRDefault="00275412" w:rsidP="00F72CBD">
      <w:pPr>
        <w:pStyle w:val="Source"/>
        <w:keepNext/>
        <w:jc w:val="left"/>
      </w:pPr>
      <w:r w:rsidRPr="00BA1CA5">
        <w:t xml:space="preserve">Source: </w:t>
      </w:r>
      <w:r w:rsidR="004D06D0" w:rsidRPr="00BA1CA5">
        <w:t>2025</w:t>
      </w:r>
      <w:r w:rsidR="00271AB5">
        <w:t>–</w:t>
      </w:r>
      <w:r w:rsidR="004D06D0" w:rsidRPr="00BA1CA5">
        <w:t xml:space="preserve">26 </w:t>
      </w:r>
      <w:r w:rsidR="00271AB5">
        <w:t>Australian Energy Regulator</w:t>
      </w:r>
      <w:r w:rsidR="004D06D0" w:rsidRPr="00BA1CA5">
        <w:t xml:space="preserve"> approved network tariffs</w:t>
      </w:r>
      <w:r w:rsidR="003A0753">
        <w:t>.</w:t>
      </w:r>
    </w:p>
    <w:p w14:paraId="1D4FC918" w14:textId="77777777" w:rsidR="00BC6CE7" w:rsidRDefault="00BC6CE7" w:rsidP="00C85D98">
      <w:pPr>
        <w:pStyle w:val="Figure-Table-BoxHeading"/>
        <w:keepNext/>
        <w:ind w:left="851" w:hanging="851"/>
      </w:pPr>
    </w:p>
    <w:p w14:paraId="0D00A3D0" w14:textId="2DBBEBBF" w:rsidR="00275412" w:rsidRPr="002E5DDE" w:rsidRDefault="00275412" w:rsidP="00C85D98">
      <w:pPr>
        <w:pStyle w:val="Figure-Table-BoxHeading"/>
        <w:keepNext/>
        <w:ind w:left="851" w:hanging="851"/>
      </w:pPr>
      <w:r w:rsidRPr="002E5DDE">
        <w:t>Table A.4</w:t>
      </w:r>
      <w:r w:rsidR="00685B37" w:rsidRPr="002E5DDE">
        <w:t>:</w:t>
      </w:r>
      <w:r w:rsidRPr="002E5DDE">
        <w:t xml:space="preserve"> Small business electricity network charges, flat tariff, 2025–26 (GST exclusive)</w:t>
      </w:r>
    </w:p>
    <w:tbl>
      <w:tblPr>
        <w:tblStyle w:val="TableGrid"/>
        <w:tblW w:w="0" w:type="auto"/>
        <w:tblLook w:val="04A0" w:firstRow="1" w:lastRow="0" w:firstColumn="1" w:lastColumn="0" w:noHBand="0" w:noVBand="1"/>
      </w:tblPr>
      <w:tblGrid>
        <w:gridCol w:w="2409"/>
        <w:gridCol w:w="2409"/>
        <w:gridCol w:w="2410"/>
        <w:gridCol w:w="2410"/>
      </w:tblGrid>
      <w:tr w:rsidR="00275412" w:rsidRPr="002E5DDE" w14:paraId="00286691" w14:textId="77777777" w:rsidTr="00DA436D">
        <w:trPr>
          <w:cnfStyle w:val="100000000000" w:firstRow="1" w:lastRow="0" w:firstColumn="0" w:lastColumn="0" w:oddVBand="0" w:evenVBand="0" w:oddHBand="0" w:evenHBand="0" w:firstRowFirstColumn="0" w:firstRowLastColumn="0" w:lastRowFirstColumn="0" w:lastRowLastColumn="0"/>
        </w:trPr>
        <w:tc>
          <w:tcPr>
            <w:tcW w:w="2409" w:type="dxa"/>
          </w:tcPr>
          <w:p w14:paraId="6C990A32" w14:textId="77777777" w:rsidR="00275412" w:rsidRPr="002E5DDE" w:rsidRDefault="00275412" w:rsidP="00C85D98">
            <w:pPr>
              <w:pStyle w:val="TableHeading"/>
              <w:keepNext/>
            </w:pPr>
            <w:r w:rsidRPr="002E5DDE">
              <w:t>Distribution zone</w:t>
            </w:r>
          </w:p>
        </w:tc>
        <w:tc>
          <w:tcPr>
            <w:tcW w:w="2409" w:type="dxa"/>
          </w:tcPr>
          <w:p w14:paraId="462923BD" w14:textId="77777777" w:rsidR="00275412" w:rsidRPr="002E5DDE" w:rsidRDefault="00275412" w:rsidP="00C85D98">
            <w:pPr>
              <w:pStyle w:val="TableHeading"/>
              <w:keepNext/>
            </w:pPr>
            <w:r w:rsidRPr="002E5DDE">
              <w:t xml:space="preserve">Daily charge </w:t>
            </w:r>
            <w:r w:rsidRPr="002E5DDE">
              <w:br/>
              <w:t>($ per year)</w:t>
            </w:r>
          </w:p>
        </w:tc>
        <w:tc>
          <w:tcPr>
            <w:tcW w:w="2410" w:type="dxa"/>
          </w:tcPr>
          <w:p w14:paraId="334CE200" w14:textId="77777777" w:rsidR="00275412" w:rsidRPr="002E5DDE" w:rsidRDefault="00275412" w:rsidP="00C85D98">
            <w:pPr>
              <w:pStyle w:val="TableHeading"/>
              <w:keepNext/>
            </w:pPr>
            <w:r w:rsidRPr="002E5DDE">
              <w:t>Variable charge structure</w:t>
            </w:r>
          </w:p>
        </w:tc>
        <w:tc>
          <w:tcPr>
            <w:tcW w:w="2410" w:type="dxa"/>
          </w:tcPr>
          <w:p w14:paraId="2786F9C3" w14:textId="77777777" w:rsidR="00275412" w:rsidRPr="002E5DDE" w:rsidRDefault="00275412" w:rsidP="00C85D98">
            <w:pPr>
              <w:pStyle w:val="TableHeading"/>
              <w:keepNext/>
            </w:pPr>
            <w:r w:rsidRPr="002E5DDE">
              <w:t xml:space="preserve">Variable charge </w:t>
            </w:r>
            <w:r w:rsidRPr="002E5DDE">
              <w:br/>
              <w:t>($ per kWh)</w:t>
            </w:r>
          </w:p>
        </w:tc>
      </w:tr>
      <w:tr w:rsidR="007859D3" w:rsidRPr="00A00057" w14:paraId="73B2F783"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28F3690C" w14:textId="0451E024" w:rsidR="007859D3" w:rsidRPr="00A00057" w:rsidRDefault="007859D3" w:rsidP="007859D3">
            <w:pPr>
              <w:pStyle w:val="TableBody"/>
              <w:keepNext/>
            </w:pPr>
            <w:r w:rsidRPr="00A00057">
              <w:t>AusNet Services</w:t>
            </w:r>
          </w:p>
        </w:tc>
        <w:tc>
          <w:tcPr>
            <w:tcW w:w="2409" w:type="dxa"/>
          </w:tcPr>
          <w:p w14:paraId="1D11B6D2" w14:textId="6521DD98" w:rsidR="007859D3" w:rsidRPr="00A00057" w:rsidRDefault="007859D3" w:rsidP="007859D3">
            <w:pPr>
              <w:pStyle w:val="TableBody"/>
              <w:keepNext/>
              <w:jc w:val="center"/>
            </w:pPr>
            <w:r w:rsidRPr="00A00057">
              <w:t>$</w:t>
            </w:r>
            <w:r w:rsidR="00902C69" w:rsidRPr="00A00057">
              <w:t>150.09</w:t>
            </w:r>
          </w:p>
        </w:tc>
        <w:tc>
          <w:tcPr>
            <w:tcW w:w="2410" w:type="dxa"/>
          </w:tcPr>
          <w:p w14:paraId="4B9F66C3" w14:textId="77777777" w:rsidR="007859D3" w:rsidRPr="00A00057" w:rsidRDefault="007859D3" w:rsidP="007859D3">
            <w:pPr>
              <w:pStyle w:val="TableBody"/>
              <w:keepNext/>
              <w:jc w:val="center"/>
              <w:rPr>
                <w:b/>
                <w:color w:val="FFFFFF" w:themeColor="background1"/>
              </w:rPr>
            </w:pPr>
            <w:r w:rsidRPr="00A00057">
              <w:t>Block 1</w:t>
            </w:r>
          </w:p>
          <w:p w14:paraId="3D3623D4" w14:textId="77777777" w:rsidR="007859D3" w:rsidRPr="00A00057" w:rsidRDefault="007859D3" w:rsidP="007859D3">
            <w:pPr>
              <w:pStyle w:val="TableBody"/>
              <w:keepNext/>
              <w:jc w:val="center"/>
            </w:pPr>
            <w:r w:rsidRPr="00A00057">
              <w:t>Block 2</w:t>
            </w:r>
          </w:p>
        </w:tc>
        <w:tc>
          <w:tcPr>
            <w:tcW w:w="2410" w:type="dxa"/>
          </w:tcPr>
          <w:p w14:paraId="3AD40AE6" w14:textId="38DB0507" w:rsidR="007859D3" w:rsidRPr="00A00057" w:rsidRDefault="007859D3" w:rsidP="007859D3">
            <w:pPr>
              <w:pStyle w:val="TableBody"/>
              <w:keepNext/>
              <w:jc w:val="center"/>
            </w:pPr>
            <w:r w:rsidRPr="00A00057">
              <w:t>$</w:t>
            </w:r>
            <w:r w:rsidR="00C9361A" w:rsidRPr="00A00057">
              <w:t>0.1945</w:t>
            </w:r>
            <w:r w:rsidRPr="00A00057">
              <w:br/>
              <w:t>$</w:t>
            </w:r>
            <w:r w:rsidR="00C9361A" w:rsidRPr="00A00057">
              <w:t>0.1945</w:t>
            </w:r>
          </w:p>
        </w:tc>
      </w:tr>
      <w:tr w:rsidR="007859D3" w:rsidRPr="00A00057" w14:paraId="09B025A5"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33CE5440" w14:textId="4100E8CB" w:rsidR="007859D3" w:rsidRPr="00A00057" w:rsidRDefault="007859D3" w:rsidP="007859D3">
            <w:pPr>
              <w:pStyle w:val="TableBody"/>
              <w:keepNext/>
            </w:pPr>
            <w:r w:rsidRPr="00A00057">
              <w:t>CitiPower</w:t>
            </w:r>
          </w:p>
        </w:tc>
        <w:tc>
          <w:tcPr>
            <w:tcW w:w="2409" w:type="dxa"/>
          </w:tcPr>
          <w:p w14:paraId="0D82F83D" w14:textId="3C4CCADC" w:rsidR="007859D3" w:rsidRPr="00A00057" w:rsidRDefault="007859D3" w:rsidP="007859D3">
            <w:pPr>
              <w:pStyle w:val="TableBody"/>
              <w:keepNext/>
              <w:jc w:val="center"/>
            </w:pPr>
            <w:r w:rsidRPr="00A00057">
              <w:t>$</w:t>
            </w:r>
            <w:r w:rsidR="003574A2" w:rsidRPr="00A00057">
              <w:t>170.02</w:t>
            </w:r>
          </w:p>
        </w:tc>
        <w:tc>
          <w:tcPr>
            <w:tcW w:w="2410" w:type="dxa"/>
          </w:tcPr>
          <w:p w14:paraId="7479FF98" w14:textId="77777777" w:rsidR="007859D3" w:rsidRPr="00A00057" w:rsidRDefault="007859D3" w:rsidP="007859D3">
            <w:pPr>
              <w:pStyle w:val="TableBody"/>
              <w:keepNext/>
              <w:jc w:val="center"/>
            </w:pPr>
            <w:r w:rsidRPr="00A00057">
              <w:t>Anytime</w:t>
            </w:r>
          </w:p>
        </w:tc>
        <w:tc>
          <w:tcPr>
            <w:tcW w:w="2410" w:type="dxa"/>
          </w:tcPr>
          <w:p w14:paraId="074F5658" w14:textId="12499B64" w:rsidR="007859D3" w:rsidRPr="00A00057" w:rsidRDefault="007859D3" w:rsidP="007859D3">
            <w:pPr>
              <w:pStyle w:val="TableBody"/>
              <w:keepNext/>
              <w:jc w:val="center"/>
            </w:pPr>
            <w:r w:rsidRPr="00A00057">
              <w:t>$</w:t>
            </w:r>
            <w:r w:rsidR="00C9361A" w:rsidRPr="00A00057">
              <w:t>0.</w:t>
            </w:r>
            <w:r w:rsidR="00E420CC">
              <w:t>09</w:t>
            </w:r>
            <w:r w:rsidR="00383C11">
              <w:t>48</w:t>
            </w:r>
          </w:p>
        </w:tc>
      </w:tr>
      <w:tr w:rsidR="007859D3" w:rsidRPr="00A00057" w14:paraId="31D5464E"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45A0DCD8" w14:textId="77777777" w:rsidR="007859D3" w:rsidRPr="00A00057" w:rsidRDefault="007859D3" w:rsidP="007859D3">
            <w:pPr>
              <w:pStyle w:val="TableBody"/>
              <w:keepNext/>
            </w:pPr>
            <w:r w:rsidRPr="00A00057">
              <w:t>Jemena</w:t>
            </w:r>
          </w:p>
        </w:tc>
        <w:tc>
          <w:tcPr>
            <w:tcW w:w="2409" w:type="dxa"/>
          </w:tcPr>
          <w:p w14:paraId="47452342" w14:textId="53D891C1" w:rsidR="007859D3" w:rsidRPr="00A00057" w:rsidRDefault="007859D3" w:rsidP="007859D3">
            <w:pPr>
              <w:pStyle w:val="TableBody"/>
              <w:keepNext/>
              <w:jc w:val="center"/>
            </w:pPr>
            <w:r w:rsidRPr="00A00057">
              <w:t>$</w:t>
            </w:r>
            <w:r w:rsidR="00583ABD" w:rsidRPr="00A00057">
              <w:t>222.52</w:t>
            </w:r>
          </w:p>
        </w:tc>
        <w:tc>
          <w:tcPr>
            <w:tcW w:w="2410" w:type="dxa"/>
          </w:tcPr>
          <w:p w14:paraId="42667E2F" w14:textId="77777777" w:rsidR="007859D3" w:rsidRPr="00A00057" w:rsidRDefault="007859D3" w:rsidP="007859D3">
            <w:pPr>
              <w:pStyle w:val="TableBody"/>
              <w:keepNext/>
              <w:jc w:val="center"/>
            </w:pPr>
            <w:r w:rsidRPr="00A00057">
              <w:t>Anytime</w:t>
            </w:r>
          </w:p>
        </w:tc>
        <w:tc>
          <w:tcPr>
            <w:tcW w:w="2410" w:type="dxa"/>
          </w:tcPr>
          <w:p w14:paraId="7103976E" w14:textId="5C12C4B2" w:rsidR="007859D3" w:rsidRPr="00A00057" w:rsidRDefault="007859D3" w:rsidP="007859D3">
            <w:pPr>
              <w:pStyle w:val="TableBody"/>
              <w:keepNext/>
              <w:jc w:val="center"/>
            </w:pPr>
            <w:r w:rsidRPr="00A00057">
              <w:t>$</w:t>
            </w:r>
            <w:r w:rsidR="00A00057" w:rsidRPr="00A00057">
              <w:t>0.1330</w:t>
            </w:r>
          </w:p>
        </w:tc>
      </w:tr>
      <w:tr w:rsidR="007859D3" w:rsidRPr="00A00057" w14:paraId="7FCD5FAC"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5DF6F52D" w14:textId="77777777" w:rsidR="007859D3" w:rsidRPr="00A00057" w:rsidRDefault="007859D3" w:rsidP="007859D3">
            <w:pPr>
              <w:pStyle w:val="TableBody"/>
              <w:keepNext/>
            </w:pPr>
            <w:r w:rsidRPr="00A00057">
              <w:t>Powercor</w:t>
            </w:r>
          </w:p>
        </w:tc>
        <w:tc>
          <w:tcPr>
            <w:tcW w:w="2409" w:type="dxa"/>
          </w:tcPr>
          <w:p w14:paraId="6628AD31" w14:textId="1C9CEC22" w:rsidR="007859D3" w:rsidRPr="00A00057" w:rsidRDefault="007859D3" w:rsidP="007859D3">
            <w:pPr>
              <w:pStyle w:val="TableBody"/>
              <w:keepNext/>
              <w:jc w:val="center"/>
            </w:pPr>
            <w:r w:rsidRPr="00A00057">
              <w:t>$</w:t>
            </w:r>
            <w:r w:rsidR="003574A2" w:rsidRPr="00A00057">
              <w:t>220.02</w:t>
            </w:r>
          </w:p>
        </w:tc>
        <w:tc>
          <w:tcPr>
            <w:tcW w:w="2410" w:type="dxa"/>
          </w:tcPr>
          <w:p w14:paraId="41891594" w14:textId="77777777" w:rsidR="007859D3" w:rsidRPr="00A00057" w:rsidRDefault="007859D3" w:rsidP="007859D3">
            <w:pPr>
              <w:pStyle w:val="TableBody"/>
              <w:keepNext/>
              <w:jc w:val="center"/>
            </w:pPr>
            <w:r w:rsidRPr="00A00057">
              <w:t>Anytime</w:t>
            </w:r>
          </w:p>
        </w:tc>
        <w:tc>
          <w:tcPr>
            <w:tcW w:w="2410" w:type="dxa"/>
          </w:tcPr>
          <w:p w14:paraId="430DB45E" w14:textId="0F245314" w:rsidR="007859D3" w:rsidRPr="00A00057" w:rsidRDefault="007859D3" w:rsidP="007859D3">
            <w:pPr>
              <w:pStyle w:val="TableBody"/>
              <w:keepNext/>
              <w:jc w:val="center"/>
            </w:pPr>
            <w:r w:rsidRPr="00A00057">
              <w:t>$</w:t>
            </w:r>
            <w:r w:rsidR="00497B29" w:rsidRPr="00A00057">
              <w:t>0.1145</w:t>
            </w:r>
          </w:p>
        </w:tc>
      </w:tr>
      <w:tr w:rsidR="007859D3" w:rsidRPr="00A00057" w14:paraId="6FFFE809"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04DC4E69" w14:textId="77777777" w:rsidR="007859D3" w:rsidRPr="00A00057" w:rsidRDefault="007859D3" w:rsidP="007859D3">
            <w:pPr>
              <w:pStyle w:val="TableBody"/>
              <w:keepNext/>
            </w:pPr>
            <w:r w:rsidRPr="00A00057">
              <w:t>United Energy</w:t>
            </w:r>
          </w:p>
        </w:tc>
        <w:tc>
          <w:tcPr>
            <w:tcW w:w="2409" w:type="dxa"/>
          </w:tcPr>
          <w:p w14:paraId="12B8CE9D" w14:textId="0EB03BAD" w:rsidR="007859D3" w:rsidRPr="00A00057" w:rsidRDefault="007859D3" w:rsidP="007859D3">
            <w:pPr>
              <w:pStyle w:val="TableBody"/>
              <w:keepNext/>
              <w:jc w:val="center"/>
            </w:pPr>
            <w:r w:rsidRPr="00A00057">
              <w:t>$</w:t>
            </w:r>
            <w:r w:rsidR="003574A2" w:rsidRPr="00A00057">
              <w:t>170.02</w:t>
            </w:r>
          </w:p>
        </w:tc>
        <w:tc>
          <w:tcPr>
            <w:tcW w:w="2410" w:type="dxa"/>
          </w:tcPr>
          <w:p w14:paraId="56DB26EA" w14:textId="77777777" w:rsidR="007859D3" w:rsidRPr="00A00057" w:rsidRDefault="007859D3" w:rsidP="007859D3">
            <w:pPr>
              <w:pStyle w:val="TableBody"/>
              <w:keepNext/>
              <w:jc w:val="center"/>
            </w:pPr>
            <w:r w:rsidRPr="00A00057">
              <w:t>Anytime</w:t>
            </w:r>
          </w:p>
        </w:tc>
        <w:tc>
          <w:tcPr>
            <w:tcW w:w="2410" w:type="dxa"/>
          </w:tcPr>
          <w:p w14:paraId="3070BC98" w14:textId="69C39B24" w:rsidR="007859D3" w:rsidRPr="00A00057" w:rsidRDefault="007859D3" w:rsidP="007859D3">
            <w:pPr>
              <w:pStyle w:val="TableBody"/>
              <w:keepNext/>
              <w:jc w:val="center"/>
            </w:pPr>
            <w:r w:rsidRPr="00A00057">
              <w:t>$</w:t>
            </w:r>
            <w:r w:rsidR="00414872" w:rsidRPr="00A00057">
              <w:t>0.1020</w:t>
            </w:r>
          </w:p>
        </w:tc>
      </w:tr>
    </w:tbl>
    <w:p w14:paraId="7A9F194E" w14:textId="4D595C21" w:rsidR="00271AB5" w:rsidRPr="002E5DDE" w:rsidRDefault="00275412" w:rsidP="00271AB5">
      <w:pPr>
        <w:pStyle w:val="Source"/>
        <w:keepNext/>
        <w:jc w:val="left"/>
      </w:pPr>
      <w:r w:rsidRPr="00A00057">
        <w:t xml:space="preserve">Source: </w:t>
      </w:r>
      <w:r w:rsidR="004D06D0" w:rsidRPr="00A00057">
        <w:t>2025</w:t>
      </w:r>
      <w:r w:rsidR="00271AB5">
        <w:t>–</w:t>
      </w:r>
      <w:r w:rsidR="004D06D0" w:rsidRPr="00A00057">
        <w:t xml:space="preserve">26 </w:t>
      </w:r>
      <w:r w:rsidR="00271AB5">
        <w:t>Australian Energy Regulator</w:t>
      </w:r>
      <w:r w:rsidR="004D06D0" w:rsidRPr="00A00057">
        <w:t xml:space="preserve"> approved network tariffs</w:t>
      </w:r>
      <w:r w:rsidR="003A0753">
        <w:t>.</w:t>
      </w:r>
    </w:p>
    <w:p w14:paraId="477592C9" w14:textId="449AC444" w:rsidR="00275412" w:rsidRPr="002E5DDE" w:rsidRDefault="00275412" w:rsidP="00734805">
      <w:pPr>
        <w:pStyle w:val="Source"/>
        <w:keepNext/>
        <w:jc w:val="left"/>
      </w:pPr>
    </w:p>
    <w:p w14:paraId="7C162795" w14:textId="77777777" w:rsidR="005E2FE0" w:rsidRDefault="005E2FE0">
      <w:pPr>
        <w:spacing w:before="0" w:line="259" w:lineRule="auto"/>
      </w:pPr>
      <w:r>
        <w:br w:type="page"/>
      </w:r>
    </w:p>
    <w:p w14:paraId="2F2A0036" w14:textId="6D1EBA3C" w:rsidR="00BC6CE7" w:rsidRDefault="00BC6CE7" w:rsidP="00FB5837">
      <w:pPr>
        <w:pStyle w:val="Heading2"/>
      </w:pPr>
      <w:bookmarkStart w:id="156" w:name="_Toc198808343"/>
      <w:r>
        <w:lastRenderedPageBreak/>
        <w:t xml:space="preserve">Network </w:t>
      </w:r>
      <w:r w:rsidR="00982BB7">
        <w:t>tariffs</w:t>
      </w:r>
      <w:r>
        <w:t xml:space="preserve"> (</w:t>
      </w:r>
      <w:r w:rsidR="0079029E">
        <w:t>two-period time of use</w:t>
      </w:r>
      <w:r>
        <w:t>)</w:t>
      </w:r>
      <w:bookmarkEnd w:id="156"/>
    </w:p>
    <w:p w14:paraId="3653D8D9" w14:textId="05F02515" w:rsidR="00BC53E7" w:rsidRPr="00714016" w:rsidRDefault="00BC53E7" w:rsidP="00BC53E7">
      <w:r>
        <w:rPr>
          <w:rFonts w:ascii="Arial" w:eastAsia="Arial" w:hAnsi="Arial" w:cs="Arial"/>
        </w:rPr>
        <w:t>I</w:t>
      </w:r>
      <w:r w:rsidRPr="002E5DDE">
        <w:rPr>
          <w:rFonts w:ascii="Arial" w:eastAsia="Arial" w:hAnsi="Arial" w:cs="Arial"/>
        </w:rPr>
        <w:t xml:space="preserve">ndicative </w:t>
      </w:r>
      <w:r>
        <w:rPr>
          <w:rFonts w:ascii="Arial" w:eastAsia="Arial" w:hAnsi="Arial" w:cs="Arial"/>
        </w:rPr>
        <w:t xml:space="preserve">two-period time of use </w:t>
      </w:r>
      <w:r w:rsidRPr="002E5DDE">
        <w:rPr>
          <w:rFonts w:ascii="Arial" w:eastAsia="Arial" w:hAnsi="Arial" w:cs="Arial"/>
        </w:rPr>
        <w:t>network tariffs</w:t>
      </w:r>
      <w:r>
        <w:rPr>
          <w:rFonts w:ascii="Arial" w:eastAsia="Arial" w:hAnsi="Arial" w:cs="Arial"/>
        </w:rPr>
        <w:t xml:space="preserve"> </w:t>
      </w:r>
      <w:r w:rsidRPr="0088172F">
        <w:t>for the 2025</w:t>
      </w:r>
      <w:r w:rsidR="00F3338F">
        <w:rPr>
          <w:rStyle w:val="ui-provider"/>
          <w:i/>
          <w:iCs/>
        </w:rPr>
        <w:t>–</w:t>
      </w:r>
      <w:r w:rsidRPr="0088172F">
        <w:t xml:space="preserve">26 Victorian Default Offer are presented in </w:t>
      </w:r>
      <w:r w:rsidR="00271AB5">
        <w:t>t</w:t>
      </w:r>
      <w:r w:rsidRPr="002E5DDE">
        <w:t>ables A.</w:t>
      </w:r>
      <w:r>
        <w:t>5</w:t>
      </w:r>
      <w:r w:rsidRPr="002E5DDE">
        <w:t xml:space="preserve"> and A.</w:t>
      </w:r>
      <w:r>
        <w:t>6</w:t>
      </w:r>
    </w:p>
    <w:p w14:paraId="31C7772E" w14:textId="08213F1B" w:rsidR="00275412" w:rsidRPr="002E5DDE" w:rsidRDefault="00275412" w:rsidP="00C85D98">
      <w:pPr>
        <w:pStyle w:val="Figure-Table-BoxHeading"/>
        <w:keepNext/>
      </w:pPr>
      <w:r w:rsidRPr="002E5DDE">
        <w:t>Table A.5</w:t>
      </w:r>
      <w:r w:rsidR="00685B37" w:rsidRPr="002E5DDE">
        <w:t>:</w:t>
      </w:r>
      <w:r w:rsidRPr="002E5DDE">
        <w:t xml:space="preserve"> Domestic electricity network charges, two-period time of use network tariffs, 2025–26 (GST exclusive)</w:t>
      </w:r>
    </w:p>
    <w:tbl>
      <w:tblPr>
        <w:tblStyle w:val="TableGrid"/>
        <w:tblW w:w="0" w:type="auto"/>
        <w:jc w:val="center"/>
        <w:tblLook w:val="04A0" w:firstRow="1" w:lastRow="0" w:firstColumn="1" w:lastColumn="0" w:noHBand="0" w:noVBand="1"/>
      </w:tblPr>
      <w:tblGrid>
        <w:gridCol w:w="2084"/>
        <w:gridCol w:w="1460"/>
        <w:gridCol w:w="2126"/>
        <w:gridCol w:w="2126"/>
        <w:gridCol w:w="1842"/>
      </w:tblGrid>
      <w:tr w:rsidR="00275412" w:rsidRPr="002E5DDE" w14:paraId="7C081777" w14:textId="77777777" w:rsidTr="005E255B">
        <w:trPr>
          <w:cnfStyle w:val="100000000000" w:firstRow="1" w:lastRow="0" w:firstColumn="0" w:lastColumn="0" w:oddVBand="0" w:evenVBand="0" w:oddHBand="0" w:evenHBand="0" w:firstRowFirstColumn="0" w:firstRowLastColumn="0" w:lastRowFirstColumn="0" w:lastRowLastColumn="0"/>
          <w:jc w:val="center"/>
        </w:trPr>
        <w:tc>
          <w:tcPr>
            <w:tcW w:w="2084" w:type="dxa"/>
          </w:tcPr>
          <w:p w14:paraId="4C33ED1D" w14:textId="77777777" w:rsidR="00275412" w:rsidRPr="002E5DDE" w:rsidRDefault="00275412" w:rsidP="00C85D98">
            <w:pPr>
              <w:keepNext/>
              <w:spacing w:before="0"/>
            </w:pPr>
            <w:r w:rsidRPr="002E5DDE">
              <w:t>Distribution zone</w:t>
            </w:r>
          </w:p>
        </w:tc>
        <w:tc>
          <w:tcPr>
            <w:tcW w:w="1460" w:type="dxa"/>
          </w:tcPr>
          <w:p w14:paraId="7F1C3D5C" w14:textId="77777777" w:rsidR="00275412" w:rsidRPr="002E5DDE" w:rsidRDefault="00275412" w:rsidP="00C85D98">
            <w:pPr>
              <w:keepNext/>
              <w:spacing w:before="0"/>
              <w:rPr>
                <w:b w:val="0"/>
              </w:rPr>
            </w:pPr>
            <w:r w:rsidRPr="002E5DDE">
              <w:t>Daily charge</w:t>
            </w:r>
          </w:p>
          <w:p w14:paraId="796AEBBA" w14:textId="77777777" w:rsidR="00275412" w:rsidRPr="002E5DDE" w:rsidRDefault="00275412" w:rsidP="00C85D98">
            <w:pPr>
              <w:keepNext/>
              <w:spacing w:before="0"/>
            </w:pPr>
            <w:r w:rsidRPr="002E5DDE">
              <w:t>($ per year)</w:t>
            </w:r>
          </w:p>
        </w:tc>
        <w:tc>
          <w:tcPr>
            <w:tcW w:w="2126" w:type="dxa"/>
          </w:tcPr>
          <w:p w14:paraId="15E241C6" w14:textId="77777777" w:rsidR="00275412" w:rsidRPr="002E5DDE" w:rsidRDefault="00275412" w:rsidP="00C85D98">
            <w:pPr>
              <w:keepNext/>
              <w:spacing w:before="0"/>
            </w:pPr>
            <w:r w:rsidRPr="002E5DDE">
              <w:t>Peak variable charge ($ per kWh)</w:t>
            </w:r>
          </w:p>
        </w:tc>
        <w:tc>
          <w:tcPr>
            <w:tcW w:w="2126" w:type="dxa"/>
          </w:tcPr>
          <w:p w14:paraId="2401FE81" w14:textId="5E5FD34F" w:rsidR="00275412" w:rsidRPr="002E5DDE" w:rsidRDefault="00275412" w:rsidP="00C85D98">
            <w:pPr>
              <w:keepNext/>
              <w:spacing w:before="0"/>
            </w:pPr>
            <w:r w:rsidRPr="002E5DDE">
              <w:t xml:space="preserve">Off-peak </w:t>
            </w:r>
            <w:r w:rsidR="00BB56BF">
              <w:t>v</w:t>
            </w:r>
            <w:r w:rsidRPr="002E5DDE">
              <w:t>ariable charge ($ per kWh)</w:t>
            </w:r>
          </w:p>
        </w:tc>
        <w:tc>
          <w:tcPr>
            <w:tcW w:w="1842" w:type="dxa"/>
          </w:tcPr>
          <w:p w14:paraId="7B8D6FD4" w14:textId="77777777" w:rsidR="00275412" w:rsidRPr="002E5DDE" w:rsidRDefault="00275412" w:rsidP="00C85D98">
            <w:pPr>
              <w:keepNext/>
              <w:spacing w:before="0"/>
            </w:pPr>
            <w:r w:rsidRPr="002E5DDE">
              <w:t>Controlled load ($ per kWh)</w:t>
            </w:r>
          </w:p>
        </w:tc>
      </w:tr>
      <w:tr w:rsidR="00684781" w:rsidRPr="00C51E7D" w14:paraId="119D5E52" w14:textId="77777777" w:rsidTr="005E255B">
        <w:trPr>
          <w:cnfStyle w:val="000000100000" w:firstRow="0" w:lastRow="0" w:firstColumn="0" w:lastColumn="0" w:oddVBand="0" w:evenVBand="0" w:oddHBand="1" w:evenHBand="0" w:firstRowFirstColumn="0" w:firstRowLastColumn="0" w:lastRowFirstColumn="0" w:lastRowLastColumn="0"/>
          <w:jc w:val="center"/>
        </w:trPr>
        <w:tc>
          <w:tcPr>
            <w:tcW w:w="2084" w:type="dxa"/>
          </w:tcPr>
          <w:p w14:paraId="5D792F62" w14:textId="15BA1F19" w:rsidR="00684781" w:rsidRPr="00C51E7D" w:rsidRDefault="00684781" w:rsidP="00684781">
            <w:pPr>
              <w:pStyle w:val="TableBody"/>
              <w:keepNext/>
            </w:pPr>
            <w:r w:rsidRPr="00C51E7D">
              <w:t>AusNet Services</w:t>
            </w:r>
          </w:p>
        </w:tc>
        <w:tc>
          <w:tcPr>
            <w:tcW w:w="1460" w:type="dxa"/>
          </w:tcPr>
          <w:p w14:paraId="0D1BA5E3" w14:textId="6BB40FFA" w:rsidR="00684781" w:rsidRPr="00C51E7D" w:rsidRDefault="00684781" w:rsidP="00684781">
            <w:pPr>
              <w:pStyle w:val="TableBody"/>
              <w:keepNext/>
              <w:jc w:val="right"/>
            </w:pPr>
            <w:r w:rsidRPr="00C51E7D">
              <w:t>$</w:t>
            </w:r>
            <w:r w:rsidR="00721C01" w:rsidRPr="00C51E7D">
              <w:t>150.09</w:t>
            </w:r>
          </w:p>
        </w:tc>
        <w:tc>
          <w:tcPr>
            <w:tcW w:w="2126" w:type="dxa"/>
          </w:tcPr>
          <w:p w14:paraId="78B79C6D" w14:textId="43724F60" w:rsidR="00684781" w:rsidRPr="00C51E7D" w:rsidRDefault="00684781" w:rsidP="00684781">
            <w:pPr>
              <w:pStyle w:val="TableBody"/>
              <w:keepNext/>
              <w:jc w:val="right"/>
            </w:pPr>
            <w:r w:rsidRPr="00C51E7D">
              <w:t>$</w:t>
            </w:r>
            <w:r w:rsidR="004D7E66" w:rsidRPr="00C51E7D">
              <w:t>0.24</w:t>
            </w:r>
            <w:r w:rsidR="0031102F" w:rsidRPr="00C51E7D">
              <w:t>64</w:t>
            </w:r>
          </w:p>
        </w:tc>
        <w:tc>
          <w:tcPr>
            <w:tcW w:w="2126" w:type="dxa"/>
          </w:tcPr>
          <w:p w14:paraId="36F8ECD2" w14:textId="0CFD8955" w:rsidR="00684781" w:rsidRPr="00C51E7D" w:rsidRDefault="00684781" w:rsidP="00684781">
            <w:pPr>
              <w:pStyle w:val="TableBody"/>
              <w:keepNext/>
              <w:jc w:val="right"/>
            </w:pPr>
            <w:r w:rsidRPr="00C51E7D">
              <w:t>$</w:t>
            </w:r>
            <w:r w:rsidR="00EF19F5" w:rsidRPr="00C51E7D">
              <w:t>0.0492</w:t>
            </w:r>
          </w:p>
        </w:tc>
        <w:tc>
          <w:tcPr>
            <w:tcW w:w="1842" w:type="dxa"/>
          </w:tcPr>
          <w:p w14:paraId="06A20B6F" w14:textId="4AB77714" w:rsidR="00684781" w:rsidRPr="00C51E7D" w:rsidRDefault="00684781" w:rsidP="00684781">
            <w:pPr>
              <w:pStyle w:val="TableBody"/>
              <w:keepNext/>
              <w:jc w:val="right"/>
            </w:pPr>
            <w:r w:rsidRPr="00C51E7D">
              <w:t>$</w:t>
            </w:r>
            <w:r w:rsidR="000F4B75" w:rsidRPr="00C51E7D">
              <w:t>0.0492</w:t>
            </w:r>
          </w:p>
        </w:tc>
      </w:tr>
      <w:tr w:rsidR="00684781" w:rsidRPr="00C51E7D" w14:paraId="32E333E2" w14:textId="77777777" w:rsidTr="005E255B">
        <w:trPr>
          <w:cnfStyle w:val="000000010000" w:firstRow="0" w:lastRow="0" w:firstColumn="0" w:lastColumn="0" w:oddVBand="0" w:evenVBand="0" w:oddHBand="0" w:evenHBand="1" w:firstRowFirstColumn="0" w:firstRowLastColumn="0" w:lastRowFirstColumn="0" w:lastRowLastColumn="0"/>
          <w:jc w:val="center"/>
        </w:trPr>
        <w:tc>
          <w:tcPr>
            <w:tcW w:w="2084" w:type="dxa"/>
          </w:tcPr>
          <w:p w14:paraId="5D381DB8" w14:textId="327C4C26" w:rsidR="00684781" w:rsidRPr="00C51E7D" w:rsidRDefault="00684781" w:rsidP="00684781">
            <w:pPr>
              <w:pStyle w:val="TableBody"/>
              <w:keepNext/>
            </w:pPr>
            <w:r w:rsidRPr="00C51E7D">
              <w:t>CitiPower</w:t>
            </w:r>
          </w:p>
        </w:tc>
        <w:tc>
          <w:tcPr>
            <w:tcW w:w="1460" w:type="dxa"/>
          </w:tcPr>
          <w:p w14:paraId="4CD902F2" w14:textId="28A4803F" w:rsidR="00684781" w:rsidRPr="00C51E7D" w:rsidRDefault="00684781" w:rsidP="00684781">
            <w:pPr>
              <w:pStyle w:val="TableBody"/>
              <w:keepNext/>
              <w:jc w:val="right"/>
            </w:pPr>
            <w:r w:rsidRPr="00C51E7D">
              <w:t>$</w:t>
            </w:r>
            <w:r w:rsidR="00721C01" w:rsidRPr="00C51E7D">
              <w:t>105.01</w:t>
            </w:r>
          </w:p>
        </w:tc>
        <w:tc>
          <w:tcPr>
            <w:tcW w:w="2126" w:type="dxa"/>
          </w:tcPr>
          <w:p w14:paraId="3C52D55B" w14:textId="315756D2" w:rsidR="00684781" w:rsidRPr="00C51E7D" w:rsidRDefault="00684781" w:rsidP="00684781">
            <w:pPr>
              <w:pStyle w:val="TableBody"/>
              <w:keepNext/>
              <w:jc w:val="right"/>
            </w:pPr>
            <w:r w:rsidRPr="00C51E7D">
              <w:t>$</w:t>
            </w:r>
            <w:r w:rsidR="0031102F" w:rsidRPr="00C51E7D">
              <w:t>0.1644</w:t>
            </w:r>
          </w:p>
        </w:tc>
        <w:tc>
          <w:tcPr>
            <w:tcW w:w="2126" w:type="dxa"/>
          </w:tcPr>
          <w:p w14:paraId="50CFDCEC" w14:textId="76A41C6B" w:rsidR="00684781" w:rsidRPr="00C51E7D" w:rsidRDefault="00684781" w:rsidP="00684781">
            <w:pPr>
              <w:pStyle w:val="TableBody"/>
              <w:keepNext/>
              <w:jc w:val="right"/>
            </w:pPr>
            <w:r w:rsidRPr="00C51E7D">
              <w:t>$</w:t>
            </w:r>
            <w:r w:rsidR="00EF19F5" w:rsidRPr="00C51E7D">
              <w:t>0.0411</w:t>
            </w:r>
          </w:p>
        </w:tc>
        <w:tc>
          <w:tcPr>
            <w:tcW w:w="1842" w:type="dxa"/>
          </w:tcPr>
          <w:p w14:paraId="515B33E8" w14:textId="15EC444D" w:rsidR="00684781" w:rsidRPr="00C51E7D" w:rsidRDefault="00684781" w:rsidP="00684781">
            <w:pPr>
              <w:pStyle w:val="TableBody"/>
              <w:keepNext/>
              <w:jc w:val="right"/>
            </w:pPr>
            <w:r w:rsidRPr="00C51E7D">
              <w:t>$</w:t>
            </w:r>
            <w:r w:rsidR="000F4B75" w:rsidRPr="00C51E7D">
              <w:t>0.0244</w:t>
            </w:r>
          </w:p>
        </w:tc>
      </w:tr>
      <w:tr w:rsidR="00684781" w:rsidRPr="00C51E7D" w14:paraId="663DB6B3" w14:textId="77777777" w:rsidTr="005E255B">
        <w:trPr>
          <w:cnfStyle w:val="000000100000" w:firstRow="0" w:lastRow="0" w:firstColumn="0" w:lastColumn="0" w:oddVBand="0" w:evenVBand="0" w:oddHBand="1" w:evenHBand="0" w:firstRowFirstColumn="0" w:firstRowLastColumn="0" w:lastRowFirstColumn="0" w:lastRowLastColumn="0"/>
          <w:jc w:val="center"/>
        </w:trPr>
        <w:tc>
          <w:tcPr>
            <w:tcW w:w="2084" w:type="dxa"/>
          </w:tcPr>
          <w:p w14:paraId="514A2E75" w14:textId="77777777" w:rsidR="00684781" w:rsidRPr="00C51E7D" w:rsidRDefault="00684781" w:rsidP="00684781">
            <w:pPr>
              <w:pStyle w:val="TableBody"/>
              <w:keepNext/>
            </w:pPr>
            <w:r w:rsidRPr="00C51E7D">
              <w:t>Jemena</w:t>
            </w:r>
          </w:p>
        </w:tc>
        <w:tc>
          <w:tcPr>
            <w:tcW w:w="1460" w:type="dxa"/>
          </w:tcPr>
          <w:p w14:paraId="25E511AD" w14:textId="7045A548" w:rsidR="00684781" w:rsidRPr="00C51E7D" w:rsidRDefault="00684781" w:rsidP="00684781">
            <w:pPr>
              <w:pStyle w:val="TableBody"/>
              <w:keepNext/>
              <w:jc w:val="right"/>
            </w:pPr>
            <w:r w:rsidRPr="00C51E7D">
              <w:t>$</w:t>
            </w:r>
            <w:r w:rsidR="0068512B" w:rsidRPr="00C51E7D">
              <w:t>111.</w:t>
            </w:r>
            <w:r w:rsidR="00A65D26" w:rsidRPr="00C51E7D">
              <w:t>15</w:t>
            </w:r>
          </w:p>
        </w:tc>
        <w:tc>
          <w:tcPr>
            <w:tcW w:w="2126" w:type="dxa"/>
          </w:tcPr>
          <w:p w14:paraId="5FE3E526" w14:textId="0AA1E701" w:rsidR="00684781" w:rsidRPr="00C51E7D" w:rsidRDefault="00684781" w:rsidP="00684781">
            <w:pPr>
              <w:pStyle w:val="TableBody"/>
              <w:keepNext/>
              <w:jc w:val="right"/>
            </w:pPr>
            <w:r w:rsidRPr="00C51E7D">
              <w:t>$</w:t>
            </w:r>
            <w:r w:rsidR="008C176C" w:rsidRPr="00C51E7D">
              <w:t>0.</w:t>
            </w:r>
            <w:r w:rsidR="008A6655" w:rsidRPr="00C51E7D">
              <w:t>1671</w:t>
            </w:r>
          </w:p>
        </w:tc>
        <w:tc>
          <w:tcPr>
            <w:tcW w:w="2126" w:type="dxa"/>
          </w:tcPr>
          <w:p w14:paraId="44DAD1B3" w14:textId="7E3525C9" w:rsidR="00684781" w:rsidRPr="00C51E7D" w:rsidRDefault="00684781" w:rsidP="00684781">
            <w:pPr>
              <w:pStyle w:val="TableBody"/>
              <w:keepNext/>
              <w:jc w:val="right"/>
            </w:pPr>
            <w:r w:rsidRPr="00C51E7D">
              <w:t>$</w:t>
            </w:r>
            <w:r w:rsidR="008A6655" w:rsidRPr="00C51E7D">
              <w:t>0.0468</w:t>
            </w:r>
          </w:p>
        </w:tc>
        <w:tc>
          <w:tcPr>
            <w:tcW w:w="1842" w:type="dxa"/>
          </w:tcPr>
          <w:p w14:paraId="19AB9346" w14:textId="618FCE4D" w:rsidR="00684781" w:rsidRPr="00C51E7D" w:rsidRDefault="00684781" w:rsidP="00684781">
            <w:pPr>
              <w:pStyle w:val="TableBody"/>
              <w:keepNext/>
              <w:jc w:val="right"/>
            </w:pPr>
            <w:r w:rsidRPr="00C51E7D">
              <w:t>$</w:t>
            </w:r>
            <w:r w:rsidR="008C12A9" w:rsidRPr="00C51E7D">
              <w:t>0.0421</w:t>
            </w:r>
          </w:p>
        </w:tc>
      </w:tr>
      <w:tr w:rsidR="00684781" w:rsidRPr="00C51E7D" w14:paraId="07624747" w14:textId="77777777" w:rsidTr="005E255B">
        <w:trPr>
          <w:cnfStyle w:val="000000010000" w:firstRow="0" w:lastRow="0" w:firstColumn="0" w:lastColumn="0" w:oddVBand="0" w:evenVBand="0" w:oddHBand="0" w:evenHBand="1" w:firstRowFirstColumn="0" w:firstRowLastColumn="0" w:lastRowFirstColumn="0" w:lastRowLastColumn="0"/>
          <w:jc w:val="center"/>
        </w:trPr>
        <w:tc>
          <w:tcPr>
            <w:tcW w:w="2084" w:type="dxa"/>
          </w:tcPr>
          <w:p w14:paraId="6896DBCC" w14:textId="77777777" w:rsidR="00684781" w:rsidRPr="00C51E7D" w:rsidRDefault="00684781" w:rsidP="00684781">
            <w:pPr>
              <w:pStyle w:val="TableBody"/>
              <w:keepNext/>
            </w:pPr>
            <w:r w:rsidRPr="00C51E7D">
              <w:t>Powercor</w:t>
            </w:r>
          </w:p>
        </w:tc>
        <w:tc>
          <w:tcPr>
            <w:tcW w:w="1460" w:type="dxa"/>
          </w:tcPr>
          <w:p w14:paraId="7E7B1B17" w14:textId="22003B4F" w:rsidR="00684781" w:rsidRPr="00C51E7D" w:rsidRDefault="00684781" w:rsidP="00684781">
            <w:pPr>
              <w:pStyle w:val="TableBody"/>
              <w:keepNext/>
              <w:jc w:val="right"/>
            </w:pPr>
            <w:r w:rsidRPr="00C51E7D">
              <w:t>$</w:t>
            </w:r>
            <w:r w:rsidR="00721C01" w:rsidRPr="00C51E7D">
              <w:t>150.02</w:t>
            </w:r>
          </w:p>
        </w:tc>
        <w:tc>
          <w:tcPr>
            <w:tcW w:w="2126" w:type="dxa"/>
          </w:tcPr>
          <w:p w14:paraId="53CB3678" w14:textId="52644E70" w:rsidR="00684781" w:rsidRPr="00C51E7D" w:rsidRDefault="00684781" w:rsidP="00684781">
            <w:pPr>
              <w:pStyle w:val="TableBody"/>
              <w:keepNext/>
              <w:jc w:val="right"/>
            </w:pPr>
            <w:r w:rsidRPr="00C51E7D">
              <w:t>$</w:t>
            </w:r>
            <w:r w:rsidR="0031102F" w:rsidRPr="00C51E7D">
              <w:t>0.1930</w:t>
            </w:r>
          </w:p>
        </w:tc>
        <w:tc>
          <w:tcPr>
            <w:tcW w:w="2126" w:type="dxa"/>
          </w:tcPr>
          <w:p w14:paraId="35F56FD6" w14:textId="0B249B0F" w:rsidR="00684781" w:rsidRPr="00C51E7D" w:rsidRDefault="00684781" w:rsidP="00684781">
            <w:pPr>
              <w:pStyle w:val="TableBody"/>
              <w:keepNext/>
              <w:jc w:val="right"/>
            </w:pPr>
            <w:r w:rsidRPr="00C51E7D">
              <w:t>$</w:t>
            </w:r>
            <w:r w:rsidR="006A3E16" w:rsidRPr="00C51E7D">
              <w:t>0.</w:t>
            </w:r>
            <w:r w:rsidR="005E255B" w:rsidRPr="00C51E7D">
              <w:t>0483</w:t>
            </w:r>
          </w:p>
        </w:tc>
        <w:tc>
          <w:tcPr>
            <w:tcW w:w="1842" w:type="dxa"/>
          </w:tcPr>
          <w:p w14:paraId="23D04135" w14:textId="2FE8E27A" w:rsidR="00684781" w:rsidRPr="00C51E7D" w:rsidRDefault="00684781" w:rsidP="00684781">
            <w:pPr>
              <w:pStyle w:val="TableBody"/>
              <w:keepNext/>
              <w:jc w:val="right"/>
            </w:pPr>
            <w:r w:rsidRPr="00C51E7D">
              <w:t>$</w:t>
            </w:r>
            <w:r w:rsidR="008C5D64" w:rsidRPr="00C51E7D">
              <w:t>0.0273</w:t>
            </w:r>
          </w:p>
        </w:tc>
      </w:tr>
      <w:tr w:rsidR="00684781" w:rsidRPr="00C51E7D" w14:paraId="77F9EEEF" w14:textId="77777777" w:rsidTr="005E255B">
        <w:trPr>
          <w:cnfStyle w:val="000000100000" w:firstRow="0" w:lastRow="0" w:firstColumn="0" w:lastColumn="0" w:oddVBand="0" w:evenVBand="0" w:oddHBand="1" w:evenHBand="0" w:firstRowFirstColumn="0" w:firstRowLastColumn="0" w:lastRowFirstColumn="0" w:lastRowLastColumn="0"/>
          <w:jc w:val="center"/>
        </w:trPr>
        <w:tc>
          <w:tcPr>
            <w:tcW w:w="2084" w:type="dxa"/>
          </w:tcPr>
          <w:p w14:paraId="60552B09" w14:textId="77777777" w:rsidR="00684781" w:rsidRPr="00C51E7D" w:rsidRDefault="00684781" w:rsidP="00684781">
            <w:pPr>
              <w:pStyle w:val="TableBody"/>
              <w:keepNext/>
            </w:pPr>
            <w:r w:rsidRPr="00C51E7D">
              <w:t>United Energy</w:t>
            </w:r>
          </w:p>
        </w:tc>
        <w:tc>
          <w:tcPr>
            <w:tcW w:w="1460" w:type="dxa"/>
          </w:tcPr>
          <w:p w14:paraId="3E60D39C" w14:textId="238F9CC7" w:rsidR="00684781" w:rsidRPr="00C51E7D" w:rsidRDefault="00684781" w:rsidP="00684781">
            <w:pPr>
              <w:pStyle w:val="TableBody"/>
              <w:keepNext/>
              <w:jc w:val="right"/>
            </w:pPr>
            <w:r w:rsidRPr="00C51E7D">
              <w:t>$</w:t>
            </w:r>
            <w:r w:rsidR="00D63C35" w:rsidRPr="00C51E7D">
              <w:t>105.01</w:t>
            </w:r>
          </w:p>
        </w:tc>
        <w:tc>
          <w:tcPr>
            <w:tcW w:w="2126" w:type="dxa"/>
          </w:tcPr>
          <w:p w14:paraId="23A2CB42" w14:textId="185A07FD" w:rsidR="00684781" w:rsidRPr="00C51E7D" w:rsidRDefault="00684781" w:rsidP="00684781">
            <w:pPr>
              <w:pStyle w:val="TableBody"/>
              <w:keepNext/>
              <w:jc w:val="right"/>
            </w:pPr>
            <w:r w:rsidRPr="00C51E7D">
              <w:t>$</w:t>
            </w:r>
            <w:r w:rsidR="007175D7" w:rsidRPr="00C51E7D">
              <w:t>0.1768</w:t>
            </w:r>
          </w:p>
        </w:tc>
        <w:tc>
          <w:tcPr>
            <w:tcW w:w="2126" w:type="dxa"/>
          </w:tcPr>
          <w:p w14:paraId="375C76AC" w14:textId="0D7BEE56" w:rsidR="00684781" w:rsidRPr="00C51E7D" w:rsidRDefault="00684781" w:rsidP="00684781">
            <w:pPr>
              <w:pStyle w:val="TableBody"/>
              <w:keepNext/>
              <w:jc w:val="right"/>
            </w:pPr>
            <w:r w:rsidRPr="00C51E7D">
              <w:t>$</w:t>
            </w:r>
            <w:r w:rsidR="00291332" w:rsidRPr="00C51E7D">
              <w:t>0.0440</w:t>
            </w:r>
          </w:p>
        </w:tc>
        <w:tc>
          <w:tcPr>
            <w:tcW w:w="1842" w:type="dxa"/>
          </w:tcPr>
          <w:p w14:paraId="71417A33" w14:textId="4CA21805" w:rsidR="00684781" w:rsidRPr="00C51E7D" w:rsidRDefault="00684781" w:rsidP="00684781">
            <w:pPr>
              <w:pStyle w:val="TableBody"/>
              <w:keepNext/>
              <w:jc w:val="right"/>
            </w:pPr>
            <w:r w:rsidRPr="00C51E7D">
              <w:t>$</w:t>
            </w:r>
            <w:r w:rsidR="008C5D64" w:rsidRPr="00C51E7D">
              <w:t>0.0274</w:t>
            </w:r>
          </w:p>
        </w:tc>
      </w:tr>
    </w:tbl>
    <w:p w14:paraId="4A504321" w14:textId="783033B4" w:rsidR="00275412" w:rsidRPr="002E5DDE" w:rsidRDefault="00371B7D" w:rsidP="00C85D98">
      <w:pPr>
        <w:pStyle w:val="Source"/>
        <w:keepNext/>
        <w:jc w:val="left"/>
      </w:pPr>
      <w:r w:rsidRPr="00C51E7D">
        <w:t xml:space="preserve">Source: </w:t>
      </w:r>
      <w:r w:rsidR="004D06D0" w:rsidRPr="00C51E7D">
        <w:t>2025</w:t>
      </w:r>
      <w:r w:rsidR="00BB56BF">
        <w:t>–</w:t>
      </w:r>
      <w:r w:rsidR="004D06D0" w:rsidRPr="00C51E7D">
        <w:t xml:space="preserve">26 </w:t>
      </w:r>
      <w:r w:rsidR="00BB56BF">
        <w:t>Australian Energy Regulator</w:t>
      </w:r>
      <w:r w:rsidR="004D06D0" w:rsidRPr="00C51E7D">
        <w:t xml:space="preserve"> approved network tariffs</w:t>
      </w:r>
      <w:r w:rsidR="003A0753">
        <w:t>.</w:t>
      </w:r>
    </w:p>
    <w:p w14:paraId="042C3005" w14:textId="593072B1" w:rsidR="00275412" w:rsidRPr="002E5DDE" w:rsidRDefault="00275412" w:rsidP="009A0DCB">
      <w:pPr>
        <w:pStyle w:val="Figure-Table-BoxHeading"/>
        <w:keepNext/>
      </w:pPr>
      <w:r w:rsidRPr="002E5DDE">
        <w:t>Table A.6</w:t>
      </w:r>
      <w:r w:rsidR="00685B37" w:rsidRPr="002E5DDE">
        <w:t>:</w:t>
      </w:r>
      <w:r w:rsidRPr="002E5DDE">
        <w:t xml:space="preserve"> Small business electricity network charges, two-period time of use network tariffs 2025–26 (GST exclusive)</w:t>
      </w:r>
    </w:p>
    <w:tbl>
      <w:tblPr>
        <w:tblStyle w:val="TableGrid"/>
        <w:tblW w:w="0" w:type="auto"/>
        <w:tblLook w:val="04A0" w:firstRow="1" w:lastRow="0" w:firstColumn="1" w:lastColumn="0" w:noHBand="0" w:noVBand="1"/>
      </w:tblPr>
      <w:tblGrid>
        <w:gridCol w:w="2409"/>
        <w:gridCol w:w="2269"/>
        <w:gridCol w:w="2550"/>
        <w:gridCol w:w="2410"/>
      </w:tblGrid>
      <w:tr w:rsidR="00275412" w:rsidRPr="002E5DDE" w14:paraId="6A31E2CD" w14:textId="77777777" w:rsidTr="00DA436D">
        <w:trPr>
          <w:cnfStyle w:val="100000000000" w:firstRow="1" w:lastRow="0" w:firstColumn="0" w:lastColumn="0" w:oddVBand="0" w:evenVBand="0" w:oddHBand="0" w:evenHBand="0" w:firstRowFirstColumn="0" w:firstRowLastColumn="0" w:lastRowFirstColumn="0" w:lastRowLastColumn="0"/>
        </w:trPr>
        <w:tc>
          <w:tcPr>
            <w:tcW w:w="2409" w:type="dxa"/>
          </w:tcPr>
          <w:p w14:paraId="2E3AD9ED" w14:textId="77777777" w:rsidR="00275412" w:rsidRPr="002E5DDE" w:rsidRDefault="00275412" w:rsidP="009A0DCB">
            <w:pPr>
              <w:pStyle w:val="TableHeading"/>
              <w:keepNext/>
            </w:pPr>
            <w:r w:rsidRPr="002E5DDE">
              <w:t>Distribution zone</w:t>
            </w:r>
          </w:p>
        </w:tc>
        <w:tc>
          <w:tcPr>
            <w:tcW w:w="2269" w:type="dxa"/>
          </w:tcPr>
          <w:p w14:paraId="22C73616" w14:textId="77777777" w:rsidR="00275412" w:rsidRPr="002E5DDE" w:rsidRDefault="00275412" w:rsidP="009A0DCB">
            <w:pPr>
              <w:pStyle w:val="TableHeading"/>
              <w:keepNext/>
            </w:pPr>
            <w:r w:rsidRPr="002E5DDE">
              <w:t>Daily charge ($ per year)</w:t>
            </w:r>
          </w:p>
        </w:tc>
        <w:tc>
          <w:tcPr>
            <w:tcW w:w="2550" w:type="dxa"/>
          </w:tcPr>
          <w:p w14:paraId="4F72AD6D" w14:textId="77777777" w:rsidR="00275412" w:rsidRPr="002E5DDE" w:rsidRDefault="00275412" w:rsidP="009A0DCB">
            <w:pPr>
              <w:pStyle w:val="TableHeading"/>
              <w:keepNext/>
            </w:pPr>
            <w:r w:rsidRPr="002E5DDE">
              <w:t xml:space="preserve">Peak variable charge ($ per kWh) </w:t>
            </w:r>
          </w:p>
        </w:tc>
        <w:tc>
          <w:tcPr>
            <w:tcW w:w="2410" w:type="dxa"/>
          </w:tcPr>
          <w:p w14:paraId="7D741AB7" w14:textId="77777777" w:rsidR="00275412" w:rsidRPr="002E5DDE" w:rsidRDefault="00275412" w:rsidP="009A0DCB">
            <w:pPr>
              <w:pStyle w:val="TableHeading"/>
              <w:keepNext/>
            </w:pPr>
            <w:r w:rsidRPr="002E5DDE">
              <w:t>Off-peak variable charge ($ per kWh)</w:t>
            </w:r>
          </w:p>
        </w:tc>
      </w:tr>
      <w:tr w:rsidR="00684781" w:rsidRPr="00156646" w14:paraId="323BAF9C"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16D6CA49" w14:textId="7CD300AD" w:rsidR="00684781" w:rsidRPr="00156646" w:rsidRDefault="00684781" w:rsidP="00684781">
            <w:pPr>
              <w:pStyle w:val="TableBody"/>
              <w:keepNext/>
            </w:pPr>
            <w:r w:rsidRPr="00156646">
              <w:t>AusNet Services</w:t>
            </w:r>
          </w:p>
        </w:tc>
        <w:tc>
          <w:tcPr>
            <w:tcW w:w="2269" w:type="dxa"/>
          </w:tcPr>
          <w:p w14:paraId="491B1701" w14:textId="7E610F6F" w:rsidR="00684781" w:rsidRPr="00156646" w:rsidRDefault="00684781" w:rsidP="00684781">
            <w:pPr>
              <w:pStyle w:val="TableBody"/>
              <w:keepNext/>
              <w:jc w:val="center"/>
            </w:pPr>
            <w:r w:rsidRPr="00156646">
              <w:t>$</w:t>
            </w:r>
            <w:r w:rsidR="00217F69" w:rsidRPr="00156646">
              <w:t>150.09</w:t>
            </w:r>
          </w:p>
        </w:tc>
        <w:tc>
          <w:tcPr>
            <w:tcW w:w="2550" w:type="dxa"/>
          </w:tcPr>
          <w:p w14:paraId="2F4E5BF4" w14:textId="75212961" w:rsidR="00684781" w:rsidRPr="00156646" w:rsidRDefault="00684781" w:rsidP="00684781">
            <w:pPr>
              <w:pStyle w:val="TableBody"/>
              <w:keepNext/>
              <w:jc w:val="center"/>
            </w:pPr>
            <w:r w:rsidRPr="00156646">
              <w:t>$</w:t>
            </w:r>
            <w:r w:rsidR="00B97669" w:rsidRPr="00156646">
              <w:t>0.2075</w:t>
            </w:r>
          </w:p>
        </w:tc>
        <w:tc>
          <w:tcPr>
            <w:tcW w:w="2410" w:type="dxa"/>
          </w:tcPr>
          <w:p w14:paraId="6C2A6A44" w14:textId="0677C25D" w:rsidR="00684781" w:rsidRPr="00156646" w:rsidRDefault="00684781" w:rsidP="00684781">
            <w:pPr>
              <w:pStyle w:val="TableBody"/>
              <w:keepNext/>
              <w:jc w:val="center"/>
            </w:pPr>
            <w:r w:rsidRPr="00156646">
              <w:t>$</w:t>
            </w:r>
            <w:r w:rsidR="00B20BD1" w:rsidRPr="00156646">
              <w:t>0.0491</w:t>
            </w:r>
          </w:p>
        </w:tc>
      </w:tr>
      <w:tr w:rsidR="00684781" w:rsidRPr="00156646" w14:paraId="4CC04D45"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36CCC5B8" w14:textId="4C014494" w:rsidR="00684781" w:rsidRPr="00156646" w:rsidRDefault="00684781" w:rsidP="00684781">
            <w:pPr>
              <w:pStyle w:val="TableBody"/>
              <w:keepNext/>
            </w:pPr>
            <w:r w:rsidRPr="00156646">
              <w:t>CitiPower</w:t>
            </w:r>
          </w:p>
        </w:tc>
        <w:tc>
          <w:tcPr>
            <w:tcW w:w="2269" w:type="dxa"/>
          </w:tcPr>
          <w:p w14:paraId="68C9F9B6" w14:textId="1401A69C" w:rsidR="00684781" w:rsidRPr="00156646" w:rsidRDefault="00684781" w:rsidP="00684781">
            <w:pPr>
              <w:pStyle w:val="TableBody"/>
              <w:keepNext/>
              <w:jc w:val="center"/>
            </w:pPr>
            <w:r w:rsidRPr="00156646">
              <w:t>$</w:t>
            </w:r>
            <w:r w:rsidR="0059158F" w:rsidRPr="00156646">
              <w:t>170.02</w:t>
            </w:r>
          </w:p>
        </w:tc>
        <w:tc>
          <w:tcPr>
            <w:tcW w:w="2550" w:type="dxa"/>
          </w:tcPr>
          <w:p w14:paraId="277D9B1A" w14:textId="3DBBDD4A" w:rsidR="00684781" w:rsidRPr="00156646" w:rsidRDefault="00684781" w:rsidP="00684781">
            <w:pPr>
              <w:pStyle w:val="TableBody"/>
              <w:keepNext/>
              <w:jc w:val="center"/>
            </w:pPr>
            <w:r w:rsidRPr="00156646">
              <w:t>$</w:t>
            </w:r>
            <w:r w:rsidR="00C2376D" w:rsidRPr="00156646">
              <w:t>0.1508</w:t>
            </w:r>
          </w:p>
        </w:tc>
        <w:tc>
          <w:tcPr>
            <w:tcW w:w="2410" w:type="dxa"/>
          </w:tcPr>
          <w:p w14:paraId="18B40213" w14:textId="67BA330D" w:rsidR="00684781" w:rsidRPr="00156646" w:rsidRDefault="00684781" w:rsidP="00684781">
            <w:pPr>
              <w:pStyle w:val="TableBody"/>
              <w:keepNext/>
              <w:jc w:val="center"/>
            </w:pPr>
            <w:r w:rsidRPr="00156646">
              <w:t>$</w:t>
            </w:r>
            <w:r w:rsidR="00B20BD1" w:rsidRPr="00156646">
              <w:t>0.0335</w:t>
            </w:r>
          </w:p>
        </w:tc>
      </w:tr>
      <w:tr w:rsidR="00684781" w:rsidRPr="00156646" w14:paraId="1ABA6433"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08613D04" w14:textId="77777777" w:rsidR="00684781" w:rsidRPr="00156646" w:rsidRDefault="00684781" w:rsidP="00684781">
            <w:pPr>
              <w:pStyle w:val="TableBody"/>
              <w:keepNext/>
            </w:pPr>
            <w:r w:rsidRPr="00156646">
              <w:t>Jemena</w:t>
            </w:r>
          </w:p>
        </w:tc>
        <w:tc>
          <w:tcPr>
            <w:tcW w:w="2269" w:type="dxa"/>
          </w:tcPr>
          <w:p w14:paraId="156E79FA" w14:textId="7AA50516" w:rsidR="00684781" w:rsidRPr="00156646" w:rsidRDefault="00684781" w:rsidP="00684781">
            <w:pPr>
              <w:pStyle w:val="TableBody"/>
              <w:keepNext/>
              <w:jc w:val="center"/>
            </w:pPr>
            <w:r w:rsidRPr="00156646">
              <w:t>$</w:t>
            </w:r>
            <w:r w:rsidR="00753F8C" w:rsidRPr="00156646">
              <w:t>250.52</w:t>
            </w:r>
          </w:p>
        </w:tc>
        <w:tc>
          <w:tcPr>
            <w:tcW w:w="2550" w:type="dxa"/>
          </w:tcPr>
          <w:p w14:paraId="4A4A3626" w14:textId="54E662B0" w:rsidR="00684781" w:rsidRPr="00156646" w:rsidRDefault="00684781" w:rsidP="00684781">
            <w:pPr>
              <w:pStyle w:val="TableBody"/>
              <w:keepNext/>
              <w:jc w:val="center"/>
            </w:pPr>
            <w:r w:rsidRPr="00156646">
              <w:t>$</w:t>
            </w:r>
            <w:r w:rsidR="00E66225" w:rsidRPr="00156646">
              <w:t>0.1708</w:t>
            </w:r>
          </w:p>
        </w:tc>
        <w:tc>
          <w:tcPr>
            <w:tcW w:w="2410" w:type="dxa"/>
          </w:tcPr>
          <w:p w14:paraId="1C0C30D7" w14:textId="04E1F7D7" w:rsidR="00684781" w:rsidRPr="00156646" w:rsidRDefault="00684781" w:rsidP="00684781">
            <w:pPr>
              <w:pStyle w:val="TableBody"/>
              <w:keepNext/>
              <w:jc w:val="center"/>
            </w:pPr>
            <w:r w:rsidRPr="00156646">
              <w:t>$</w:t>
            </w:r>
            <w:r w:rsidR="001F2148" w:rsidRPr="00156646">
              <w:t>0.0368</w:t>
            </w:r>
          </w:p>
        </w:tc>
      </w:tr>
      <w:tr w:rsidR="00684781" w:rsidRPr="00156646" w14:paraId="115A3831" w14:textId="77777777" w:rsidTr="00DA436D">
        <w:trPr>
          <w:cnfStyle w:val="000000010000" w:firstRow="0" w:lastRow="0" w:firstColumn="0" w:lastColumn="0" w:oddVBand="0" w:evenVBand="0" w:oddHBand="0" w:evenHBand="1" w:firstRowFirstColumn="0" w:firstRowLastColumn="0" w:lastRowFirstColumn="0" w:lastRowLastColumn="0"/>
        </w:trPr>
        <w:tc>
          <w:tcPr>
            <w:tcW w:w="2409" w:type="dxa"/>
          </w:tcPr>
          <w:p w14:paraId="7BA2C5ED" w14:textId="77777777" w:rsidR="00684781" w:rsidRPr="00156646" w:rsidRDefault="00684781" w:rsidP="00684781">
            <w:pPr>
              <w:pStyle w:val="TableBody"/>
              <w:keepNext/>
            </w:pPr>
            <w:r w:rsidRPr="00156646">
              <w:t>Powercor</w:t>
            </w:r>
          </w:p>
        </w:tc>
        <w:tc>
          <w:tcPr>
            <w:tcW w:w="2269" w:type="dxa"/>
          </w:tcPr>
          <w:p w14:paraId="2E90074A" w14:textId="051FB552" w:rsidR="00684781" w:rsidRPr="00156646" w:rsidRDefault="00684781" w:rsidP="00684781">
            <w:pPr>
              <w:pStyle w:val="TableBody"/>
              <w:keepNext/>
              <w:jc w:val="center"/>
            </w:pPr>
            <w:r w:rsidRPr="00156646">
              <w:t>$</w:t>
            </w:r>
            <w:r w:rsidR="0059158F" w:rsidRPr="00156646">
              <w:t>220.02</w:t>
            </w:r>
          </w:p>
        </w:tc>
        <w:tc>
          <w:tcPr>
            <w:tcW w:w="2550" w:type="dxa"/>
          </w:tcPr>
          <w:p w14:paraId="667474D4" w14:textId="4354E23F" w:rsidR="00684781" w:rsidRPr="00156646" w:rsidRDefault="00684781" w:rsidP="00684781">
            <w:pPr>
              <w:pStyle w:val="TableBody"/>
              <w:keepNext/>
              <w:jc w:val="center"/>
            </w:pPr>
            <w:r w:rsidRPr="00156646">
              <w:t>$</w:t>
            </w:r>
            <w:r w:rsidR="00C2376D" w:rsidRPr="00156646">
              <w:t>0.1981</w:t>
            </w:r>
          </w:p>
        </w:tc>
        <w:tc>
          <w:tcPr>
            <w:tcW w:w="2410" w:type="dxa"/>
          </w:tcPr>
          <w:p w14:paraId="1CB2C5C8" w14:textId="0B76D6AE" w:rsidR="00684781" w:rsidRPr="00156646" w:rsidRDefault="00684781" w:rsidP="00684781">
            <w:pPr>
              <w:pStyle w:val="TableBody"/>
              <w:keepNext/>
              <w:jc w:val="center"/>
            </w:pPr>
            <w:r w:rsidRPr="00156646">
              <w:t>$</w:t>
            </w:r>
            <w:r w:rsidR="0064500F" w:rsidRPr="00156646">
              <w:t>0.</w:t>
            </w:r>
            <w:r w:rsidR="00015041" w:rsidRPr="00156646">
              <w:t>04</w:t>
            </w:r>
            <w:r w:rsidR="00A5473A" w:rsidRPr="00156646">
              <w:t>40</w:t>
            </w:r>
          </w:p>
        </w:tc>
      </w:tr>
      <w:tr w:rsidR="00684781" w:rsidRPr="00156646" w14:paraId="37900566" w14:textId="77777777" w:rsidTr="00DA436D">
        <w:trPr>
          <w:cnfStyle w:val="000000100000" w:firstRow="0" w:lastRow="0" w:firstColumn="0" w:lastColumn="0" w:oddVBand="0" w:evenVBand="0" w:oddHBand="1" w:evenHBand="0" w:firstRowFirstColumn="0" w:firstRowLastColumn="0" w:lastRowFirstColumn="0" w:lastRowLastColumn="0"/>
        </w:trPr>
        <w:tc>
          <w:tcPr>
            <w:tcW w:w="2409" w:type="dxa"/>
          </w:tcPr>
          <w:p w14:paraId="4D2A5B8F" w14:textId="77777777" w:rsidR="00684781" w:rsidRPr="00156646" w:rsidRDefault="00684781" w:rsidP="00684781">
            <w:pPr>
              <w:pStyle w:val="TableBody"/>
              <w:keepNext/>
            </w:pPr>
            <w:r w:rsidRPr="00156646">
              <w:t>United Energy</w:t>
            </w:r>
          </w:p>
        </w:tc>
        <w:tc>
          <w:tcPr>
            <w:tcW w:w="2269" w:type="dxa"/>
          </w:tcPr>
          <w:p w14:paraId="6D0759C8" w14:textId="018EC3E6" w:rsidR="00684781" w:rsidRPr="00156646" w:rsidRDefault="00684781" w:rsidP="00684781">
            <w:pPr>
              <w:pStyle w:val="TableBody"/>
              <w:keepNext/>
              <w:jc w:val="center"/>
            </w:pPr>
            <w:r w:rsidRPr="00156646">
              <w:t>$</w:t>
            </w:r>
            <w:r w:rsidR="0059158F" w:rsidRPr="00156646">
              <w:t>170.02</w:t>
            </w:r>
          </w:p>
        </w:tc>
        <w:tc>
          <w:tcPr>
            <w:tcW w:w="2550" w:type="dxa"/>
          </w:tcPr>
          <w:p w14:paraId="4E0C4FE2" w14:textId="2593B97C" w:rsidR="00684781" w:rsidRPr="00156646" w:rsidRDefault="00684781" w:rsidP="00684781">
            <w:pPr>
              <w:pStyle w:val="TableBody"/>
              <w:keepNext/>
              <w:jc w:val="center"/>
            </w:pPr>
            <w:r w:rsidRPr="00156646">
              <w:t>$</w:t>
            </w:r>
            <w:r w:rsidR="00C2376D" w:rsidRPr="00156646">
              <w:t>0.1635</w:t>
            </w:r>
          </w:p>
        </w:tc>
        <w:tc>
          <w:tcPr>
            <w:tcW w:w="2410" w:type="dxa"/>
          </w:tcPr>
          <w:p w14:paraId="49615F40" w14:textId="68BED266" w:rsidR="00684781" w:rsidRPr="00156646" w:rsidRDefault="00684781" w:rsidP="00684781">
            <w:pPr>
              <w:pStyle w:val="TableBody"/>
              <w:keepNext/>
              <w:jc w:val="center"/>
            </w:pPr>
            <w:r w:rsidRPr="00156646">
              <w:t>$</w:t>
            </w:r>
            <w:r w:rsidR="000F58CF" w:rsidRPr="00156646">
              <w:t>0.0362</w:t>
            </w:r>
          </w:p>
        </w:tc>
      </w:tr>
    </w:tbl>
    <w:p w14:paraId="45669E45" w14:textId="6C3C78CC" w:rsidR="00BB56BF" w:rsidRPr="002E5DDE" w:rsidRDefault="00275412" w:rsidP="00BB56BF">
      <w:pPr>
        <w:pStyle w:val="Source"/>
        <w:keepNext/>
        <w:jc w:val="left"/>
      </w:pPr>
      <w:r w:rsidRPr="00156646">
        <w:t xml:space="preserve">Source: </w:t>
      </w:r>
      <w:r w:rsidR="004D06D0" w:rsidRPr="00156646">
        <w:t>2025</w:t>
      </w:r>
      <w:r w:rsidR="00BB56BF">
        <w:t>–</w:t>
      </w:r>
      <w:r w:rsidR="004D06D0" w:rsidRPr="00156646">
        <w:t xml:space="preserve">26 </w:t>
      </w:r>
      <w:r w:rsidR="00BB56BF">
        <w:t>Australian Energy Regulator</w:t>
      </w:r>
      <w:r w:rsidR="004D06D0" w:rsidRPr="00156646">
        <w:t xml:space="preserve"> approved </w:t>
      </w:r>
      <w:r w:rsidR="00371B7D" w:rsidRPr="00156646">
        <w:t>network tariffs</w:t>
      </w:r>
      <w:r w:rsidR="003A0753">
        <w:t>.</w:t>
      </w:r>
    </w:p>
    <w:p w14:paraId="2B2BEA28" w14:textId="0CD2994E" w:rsidR="00275412" w:rsidRPr="002E5DDE" w:rsidRDefault="00275412" w:rsidP="009A0DCB">
      <w:pPr>
        <w:pStyle w:val="Source"/>
        <w:keepNext/>
        <w:jc w:val="left"/>
      </w:pPr>
    </w:p>
    <w:p w14:paraId="32ABDE30" w14:textId="77777777" w:rsidR="00CA3AB2" w:rsidRDefault="00CA3AB2">
      <w:pPr>
        <w:spacing w:before="0" w:line="259" w:lineRule="auto"/>
      </w:pPr>
      <w:r>
        <w:br w:type="page"/>
      </w:r>
    </w:p>
    <w:p w14:paraId="34AB7293" w14:textId="68C6F0BD" w:rsidR="00CA3AB2" w:rsidRDefault="00CA3AB2" w:rsidP="00FB5837">
      <w:pPr>
        <w:pStyle w:val="Heading2"/>
      </w:pPr>
      <w:bookmarkStart w:id="157" w:name="_Toc198808344"/>
      <w:r>
        <w:lastRenderedPageBreak/>
        <w:t xml:space="preserve">Network </w:t>
      </w:r>
      <w:r w:rsidR="008A7032">
        <w:t>metering charges</w:t>
      </w:r>
      <w:bookmarkEnd w:id="157"/>
    </w:p>
    <w:p w14:paraId="5B52DD24" w14:textId="0A488E15" w:rsidR="00BC53E7" w:rsidRPr="00714016" w:rsidRDefault="00BC53E7" w:rsidP="00BC53E7">
      <w:r>
        <w:t>I</w:t>
      </w:r>
      <w:r w:rsidR="00275412" w:rsidRPr="002E5DDE">
        <w:t>ndicative metering charge</w:t>
      </w:r>
      <w:r w:rsidR="009573CC">
        <w:t>s</w:t>
      </w:r>
      <w:r w:rsidR="00275412" w:rsidRPr="002E5DDE">
        <w:t xml:space="preserve"> </w:t>
      </w:r>
      <w:r>
        <w:t xml:space="preserve">for </w:t>
      </w:r>
      <w:r w:rsidRPr="0088172F">
        <w:t>the 2025</w:t>
      </w:r>
      <w:r w:rsidR="00F3338F">
        <w:rPr>
          <w:rStyle w:val="ui-provider"/>
          <w:i/>
          <w:iCs/>
        </w:rPr>
        <w:t>–</w:t>
      </w:r>
      <w:r w:rsidRPr="0088172F">
        <w:t xml:space="preserve">26 Victorian Default Offer are presented in </w:t>
      </w:r>
      <w:r w:rsidRPr="002E5DDE">
        <w:t>Table</w:t>
      </w:r>
      <w:r>
        <w:t xml:space="preserve"> A.7</w:t>
      </w:r>
    </w:p>
    <w:p w14:paraId="1F8056E4" w14:textId="3B64AFFA" w:rsidR="00275412" w:rsidRPr="002E5DDE" w:rsidRDefault="00275412" w:rsidP="00FB5837">
      <w:pPr>
        <w:pStyle w:val="Figure-Table-BoxHeading"/>
        <w:keepNext/>
      </w:pPr>
      <w:r w:rsidRPr="002E5DDE">
        <w:t>Table A.7</w:t>
      </w:r>
      <w:r w:rsidR="00685B37" w:rsidRPr="002E5DDE">
        <w:t>:</w:t>
      </w:r>
      <w:r w:rsidRPr="002E5DDE">
        <w:t xml:space="preserve"> Network metering charges, 202</w:t>
      </w:r>
      <w:r w:rsidR="00164824">
        <w:t>5</w:t>
      </w:r>
      <w:r w:rsidRPr="002E5DDE">
        <w:t>–2</w:t>
      </w:r>
      <w:r w:rsidR="00164824">
        <w:t>6</w:t>
      </w:r>
      <w:r w:rsidRPr="002E5DDE">
        <w:t xml:space="preserve"> (GST exclusive)</w:t>
      </w:r>
    </w:p>
    <w:tbl>
      <w:tblPr>
        <w:tblStyle w:val="TableGrid"/>
        <w:tblW w:w="0" w:type="auto"/>
        <w:tblLook w:val="04A0" w:firstRow="1" w:lastRow="0" w:firstColumn="1" w:lastColumn="0" w:noHBand="0" w:noVBand="1"/>
      </w:tblPr>
      <w:tblGrid>
        <w:gridCol w:w="4253"/>
        <w:gridCol w:w="5385"/>
      </w:tblGrid>
      <w:tr w:rsidR="00275412" w:rsidRPr="002E5DDE" w14:paraId="42E0F22C" w14:textId="77777777" w:rsidTr="00DA436D">
        <w:trPr>
          <w:cnfStyle w:val="100000000000" w:firstRow="1" w:lastRow="0" w:firstColumn="0" w:lastColumn="0" w:oddVBand="0" w:evenVBand="0" w:oddHBand="0" w:evenHBand="0" w:firstRowFirstColumn="0" w:firstRowLastColumn="0" w:lastRowFirstColumn="0" w:lastRowLastColumn="0"/>
          <w:tblHeader/>
        </w:trPr>
        <w:tc>
          <w:tcPr>
            <w:tcW w:w="4253" w:type="dxa"/>
          </w:tcPr>
          <w:p w14:paraId="19922CB7" w14:textId="77777777" w:rsidR="00275412" w:rsidRPr="002E5DDE" w:rsidRDefault="00275412" w:rsidP="009A0DCB">
            <w:pPr>
              <w:pStyle w:val="TableHeading"/>
              <w:keepNext/>
            </w:pPr>
            <w:r w:rsidRPr="002E5DDE">
              <w:t>Distribution business</w:t>
            </w:r>
          </w:p>
        </w:tc>
        <w:tc>
          <w:tcPr>
            <w:tcW w:w="5385" w:type="dxa"/>
          </w:tcPr>
          <w:p w14:paraId="17CA31B0" w14:textId="77777777" w:rsidR="00275412" w:rsidRPr="002E5DDE" w:rsidRDefault="00275412" w:rsidP="009A0DCB">
            <w:pPr>
              <w:pStyle w:val="TableHeading"/>
              <w:keepNext/>
            </w:pPr>
            <w:r w:rsidRPr="002E5DDE">
              <w:t>Annual metering charge ($ per customer)</w:t>
            </w:r>
          </w:p>
        </w:tc>
      </w:tr>
      <w:tr w:rsidR="000C5EBA" w:rsidRPr="00156646" w14:paraId="50E8ADBA" w14:textId="77777777" w:rsidTr="00DA436D">
        <w:trPr>
          <w:cnfStyle w:val="000000100000" w:firstRow="0" w:lastRow="0" w:firstColumn="0" w:lastColumn="0" w:oddVBand="0" w:evenVBand="0" w:oddHBand="1" w:evenHBand="0" w:firstRowFirstColumn="0" w:firstRowLastColumn="0" w:lastRowFirstColumn="0" w:lastRowLastColumn="0"/>
        </w:trPr>
        <w:tc>
          <w:tcPr>
            <w:tcW w:w="4253" w:type="dxa"/>
          </w:tcPr>
          <w:p w14:paraId="4AB75587" w14:textId="04E9E17B" w:rsidR="000C5EBA" w:rsidRPr="00156646" w:rsidRDefault="000C5EBA" w:rsidP="000C5EBA">
            <w:pPr>
              <w:pStyle w:val="TableBody"/>
              <w:keepNext/>
            </w:pPr>
            <w:r w:rsidRPr="00156646">
              <w:t>AusNet Services</w:t>
            </w:r>
          </w:p>
        </w:tc>
        <w:tc>
          <w:tcPr>
            <w:tcW w:w="5385" w:type="dxa"/>
          </w:tcPr>
          <w:p w14:paraId="76590A2F" w14:textId="1C3CD5DD" w:rsidR="000C5EBA" w:rsidRPr="00156646" w:rsidRDefault="000C5EBA" w:rsidP="000C5EBA">
            <w:pPr>
              <w:pStyle w:val="TableBody"/>
              <w:keepNext/>
              <w:jc w:val="center"/>
            </w:pPr>
            <w:r w:rsidRPr="00156646">
              <w:t>$</w:t>
            </w:r>
            <w:r w:rsidR="007B4A3E" w:rsidRPr="00156646">
              <w:t>85.</w:t>
            </w:r>
            <w:r w:rsidR="007F118C" w:rsidRPr="00156646">
              <w:t>83</w:t>
            </w:r>
          </w:p>
        </w:tc>
      </w:tr>
      <w:tr w:rsidR="000C5EBA" w:rsidRPr="00156646" w14:paraId="59AD6118" w14:textId="77777777" w:rsidTr="00DA436D">
        <w:trPr>
          <w:cnfStyle w:val="000000010000" w:firstRow="0" w:lastRow="0" w:firstColumn="0" w:lastColumn="0" w:oddVBand="0" w:evenVBand="0" w:oddHBand="0" w:evenHBand="1" w:firstRowFirstColumn="0" w:firstRowLastColumn="0" w:lastRowFirstColumn="0" w:lastRowLastColumn="0"/>
        </w:trPr>
        <w:tc>
          <w:tcPr>
            <w:tcW w:w="4253" w:type="dxa"/>
          </w:tcPr>
          <w:p w14:paraId="095D8DC4" w14:textId="057E13EE" w:rsidR="000C5EBA" w:rsidRPr="00156646" w:rsidRDefault="000C5EBA" w:rsidP="000C5EBA">
            <w:pPr>
              <w:pStyle w:val="TableBody"/>
              <w:keepNext/>
            </w:pPr>
            <w:r w:rsidRPr="00156646">
              <w:t>CitiPower</w:t>
            </w:r>
          </w:p>
        </w:tc>
        <w:tc>
          <w:tcPr>
            <w:tcW w:w="5385" w:type="dxa"/>
          </w:tcPr>
          <w:p w14:paraId="65145FD5" w14:textId="43262D2B" w:rsidR="000C5EBA" w:rsidRPr="00156646" w:rsidRDefault="000C5EBA" w:rsidP="000C5EBA">
            <w:pPr>
              <w:pStyle w:val="TableBody"/>
              <w:keepNext/>
              <w:jc w:val="center"/>
            </w:pPr>
            <w:r w:rsidRPr="00156646">
              <w:t>$</w:t>
            </w:r>
            <w:r w:rsidR="00986586" w:rsidRPr="00156646">
              <w:t>76.09</w:t>
            </w:r>
          </w:p>
        </w:tc>
      </w:tr>
      <w:tr w:rsidR="000C5EBA" w:rsidRPr="00156646" w14:paraId="641B6816" w14:textId="77777777" w:rsidTr="00DA436D">
        <w:trPr>
          <w:cnfStyle w:val="000000100000" w:firstRow="0" w:lastRow="0" w:firstColumn="0" w:lastColumn="0" w:oddVBand="0" w:evenVBand="0" w:oddHBand="1" w:evenHBand="0" w:firstRowFirstColumn="0" w:firstRowLastColumn="0" w:lastRowFirstColumn="0" w:lastRowLastColumn="0"/>
        </w:trPr>
        <w:tc>
          <w:tcPr>
            <w:tcW w:w="4253" w:type="dxa"/>
          </w:tcPr>
          <w:p w14:paraId="6B72B314" w14:textId="77777777" w:rsidR="000C5EBA" w:rsidRPr="00156646" w:rsidRDefault="000C5EBA" w:rsidP="000C5EBA">
            <w:pPr>
              <w:pStyle w:val="TableBody"/>
              <w:keepNext/>
            </w:pPr>
            <w:r w:rsidRPr="00156646">
              <w:t>Jemena</w:t>
            </w:r>
          </w:p>
        </w:tc>
        <w:tc>
          <w:tcPr>
            <w:tcW w:w="5385" w:type="dxa"/>
          </w:tcPr>
          <w:p w14:paraId="2A4CEC8B" w14:textId="5FA87C90" w:rsidR="000C5EBA" w:rsidRPr="00156646" w:rsidRDefault="000C5EBA" w:rsidP="000C5EBA">
            <w:pPr>
              <w:pStyle w:val="TableBody"/>
              <w:keepNext/>
              <w:jc w:val="center"/>
            </w:pPr>
            <w:r w:rsidRPr="00156646">
              <w:t>$</w:t>
            </w:r>
            <w:r w:rsidR="00E57FB3">
              <w:t>66.62</w:t>
            </w:r>
          </w:p>
        </w:tc>
      </w:tr>
      <w:tr w:rsidR="000C5EBA" w:rsidRPr="00156646" w14:paraId="7FBA1931" w14:textId="77777777" w:rsidTr="00DA436D">
        <w:trPr>
          <w:cnfStyle w:val="000000010000" w:firstRow="0" w:lastRow="0" w:firstColumn="0" w:lastColumn="0" w:oddVBand="0" w:evenVBand="0" w:oddHBand="0" w:evenHBand="1" w:firstRowFirstColumn="0" w:firstRowLastColumn="0" w:lastRowFirstColumn="0" w:lastRowLastColumn="0"/>
        </w:trPr>
        <w:tc>
          <w:tcPr>
            <w:tcW w:w="4253" w:type="dxa"/>
          </w:tcPr>
          <w:p w14:paraId="0A74FACC" w14:textId="77777777" w:rsidR="000C5EBA" w:rsidRPr="00156646" w:rsidRDefault="000C5EBA" w:rsidP="000C5EBA">
            <w:pPr>
              <w:pStyle w:val="TableBody"/>
              <w:keepNext/>
            </w:pPr>
            <w:r w:rsidRPr="00156646">
              <w:t>Powercor</w:t>
            </w:r>
          </w:p>
        </w:tc>
        <w:tc>
          <w:tcPr>
            <w:tcW w:w="5385" w:type="dxa"/>
          </w:tcPr>
          <w:p w14:paraId="44C61FAD" w14:textId="005DC971" w:rsidR="000C5EBA" w:rsidRPr="00156646" w:rsidRDefault="000C5EBA" w:rsidP="000C5EBA">
            <w:pPr>
              <w:pStyle w:val="TableBody"/>
              <w:keepNext/>
              <w:jc w:val="center"/>
            </w:pPr>
            <w:r w:rsidRPr="00156646">
              <w:t>$</w:t>
            </w:r>
            <w:r w:rsidR="00986586" w:rsidRPr="00156646">
              <w:t>71.34</w:t>
            </w:r>
          </w:p>
        </w:tc>
      </w:tr>
      <w:tr w:rsidR="000C5EBA" w:rsidRPr="00156646" w14:paraId="1328A5E2" w14:textId="77777777" w:rsidTr="00DA436D">
        <w:trPr>
          <w:cnfStyle w:val="000000100000" w:firstRow="0" w:lastRow="0" w:firstColumn="0" w:lastColumn="0" w:oddVBand="0" w:evenVBand="0" w:oddHBand="1" w:evenHBand="0" w:firstRowFirstColumn="0" w:firstRowLastColumn="0" w:lastRowFirstColumn="0" w:lastRowLastColumn="0"/>
        </w:trPr>
        <w:tc>
          <w:tcPr>
            <w:tcW w:w="4253" w:type="dxa"/>
          </w:tcPr>
          <w:p w14:paraId="21657BD7" w14:textId="77777777" w:rsidR="000C5EBA" w:rsidRPr="00156646" w:rsidRDefault="000C5EBA" w:rsidP="000C5EBA">
            <w:pPr>
              <w:pStyle w:val="TableBody"/>
              <w:keepNext/>
            </w:pPr>
            <w:r w:rsidRPr="00156646">
              <w:t>United Energy</w:t>
            </w:r>
          </w:p>
        </w:tc>
        <w:tc>
          <w:tcPr>
            <w:tcW w:w="5385" w:type="dxa"/>
          </w:tcPr>
          <w:p w14:paraId="4D4CB781" w14:textId="0D1CE2B9" w:rsidR="000C5EBA" w:rsidRPr="00156646" w:rsidRDefault="000C5EBA" w:rsidP="000C5EBA">
            <w:pPr>
              <w:pStyle w:val="TableBody"/>
              <w:keepNext/>
              <w:jc w:val="center"/>
            </w:pPr>
            <w:r w:rsidRPr="00156646">
              <w:t>$</w:t>
            </w:r>
            <w:r w:rsidR="00986586" w:rsidRPr="00156646">
              <w:t>52.19</w:t>
            </w:r>
          </w:p>
        </w:tc>
      </w:tr>
    </w:tbl>
    <w:p w14:paraId="197096A9" w14:textId="64B1F91A" w:rsidR="00275412" w:rsidRPr="002E5DDE" w:rsidRDefault="00275412" w:rsidP="009A0DCB">
      <w:pPr>
        <w:pStyle w:val="Source"/>
        <w:keepNext/>
        <w:jc w:val="left"/>
      </w:pPr>
      <w:r w:rsidRPr="00156646">
        <w:t xml:space="preserve">Source: </w:t>
      </w:r>
      <w:r w:rsidR="004D06D0" w:rsidRPr="00156646">
        <w:t>2025</w:t>
      </w:r>
      <w:r w:rsidR="00BB56BF">
        <w:t>–</w:t>
      </w:r>
      <w:r w:rsidR="004D06D0" w:rsidRPr="00156646">
        <w:t xml:space="preserve">26 </w:t>
      </w:r>
      <w:r w:rsidR="00BB56BF">
        <w:t>Australian Energy Regulator</w:t>
      </w:r>
      <w:r w:rsidR="00C547A2" w:rsidRPr="00156646">
        <w:t xml:space="preserve"> approved </w:t>
      </w:r>
      <w:r w:rsidR="00C421E5" w:rsidRPr="00156646">
        <w:t>metering charges</w:t>
      </w:r>
      <w:r w:rsidR="004D06D0" w:rsidRPr="00156646">
        <w:t xml:space="preserve">. </w:t>
      </w:r>
    </w:p>
    <w:p w14:paraId="0F5096C8" w14:textId="77707CBB" w:rsidR="00275412" w:rsidRPr="002E5DDE" w:rsidRDefault="00275412" w:rsidP="00275412">
      <w:pPr>
        <w:pStyle w:val="Heading2"/>
      </w:pPr>
      <w:bookmarkStart w:id="158" w:name="_Toc48315282"/>
      <w:bookmarkStart w:id="159" w:name="_Toc50655590"/>
      <w:bookmarkStart w:id="160" w:name="_Toc88656431"/>
      <w:bookmarkStart w:id="161" w:name="_Toc95924860"/>
      <w:bookmarkStart w:id="162" w:name="_Toc103191779"/>
      <w:bookmarkStart w:id="163" w:name="_Toc103884129"/>
      <w:bookmarkStart w:id="164" w:name="_Toc191027400"/>
      <w:bookmarkStart w:id="165" w:name="_Toc198808345"/>
      <w:bookmarkStart w:id="166" w:name="_Toc160817056"/>
      <w:bookmarkStart w:id="167" w:name="_Hlk92714771"/>
      <w:r w:rsidRPr="002E5DDE">
        <w:t>Environmental costs</w:t>
      </w:r>
      <w:bookmarkEnd w:id="158"/>
      <w:bookmarkEnd w:id="159"/>
      <w:bookmarkEnd w:id="160"/>
      <w:bookmarkEnd w:id="161"/>
      <w:bookmarkEnd w:id="162"/>
      <w:bookmarkEnd w:id="163"/>
      <w:bookmarkEnd w:id="164"/>
      <w:bookmarkEnd w:id="165"/>
      <w:r w:rsidRPr="002E5DDE">
        <w:t xml:space="preserve"> </w:t>
      </w:r>
      <w:bookmarkEnd w:id="166"/>
    </w:p>
    <w:p w14:paraId="3C7629F4" w14:textId="0A363707" w:rsidR="00AF2B1C" w:rsidRDefault="00AD7C99" w:rsidP="00FB5837">
      <w:bookmarkStart w:id="168" w:name="_Toc48315283"/>
      <w:bookmarkStart w:id="169" w:name="_Toc88656432"/>
      <w:bookmarkStart w:id="170" w:name="_Toc95924861"/>
      <w:bookmarkStart w:id="171" w:name="_Toc103191780"/>
      <w:bookmarkStart w:id="172" w:name="_Toc103884130"/>
      <w:bookmarkStart w:id="173" w:name="_Toc160817057"/>
      <w:bookmarkStart w:id="174" w:name="_Toc191027401"/>
      <w:r>
        <w:t xml:space="preserve">The </w:t>
      </w:r>
      <w:r w:rsidR="00F1755F">
        <w:t>environmental cost</w:t>
      </w:r>
      <w:r w:rsidR="00CA3AB2">
        <w:t xml:space="preserve"> input</w:t>
      </w:r>
      <w:r w:rsidR="00F1755F">
        <w:t xml:space="preserve">s </w:t>
      </w:r>
      <w:r w:rsidR="00BC53E7">
        <w:t>(</w:t>
      </w:r>
      <w:r w:rsidR="004A07C1">
        <w:t>per megawatt hour</w:t>
      </w:r>
      <w:r w:rsidR="00BC53E7">
        <w:t xml:space="preserve">) </w:t>
      </w:r>
      <w:r w:rsidR="00DA0DDE" w:rsidRPr="0088172F">
        <w:t>for the 2025</w:t>
      </w:r>
      <w:r w:rsidR="00F3338F">
        <w:rPr>
          <w:rStyle w:val="ui-provider"/>
          <w:i/>
          <w:iCs/>
        </w:rPr>
        <w:t>–</w:t>
      </w:r>
      <w:r w:rsidR="00DA0DDE" w:rsidRPr="0088172F">
        <w:t xml:space="preserve">26 Victorian Default Offer </w:t>
      </w:r>
      <w:r w:rsidR="00BC53E7" w:rsidRPr="00BC53E7">
        <w:t>are presented in Table A.</w:t>
      </w:r>
      <w:r w:rsidR="007622F5">
        <w:t>8</w:t>
      </w:r>
      <w:bookmarkEnd w:id="168"/>
      <w:bookmarkEnd w:id="169"/>
      <w:bookmarkEnd w:id="170"/>
      <w:bookmarkEnd w:id="171"/>
      <w:bookmarkEnd w:id="172"/>
      <w:bookmarkEnd w:id="173"/>
      <w:bookmarkEnd w:id="174"/>
      <w:r w:rsidR="00512228">
        <w:t>.</w:t>
      </w:r>
    </w:p>
    <w:p w14:paraId="17982F5B" w14:textId="75F88C27" w:rsidR="00275412" w:rsidRPr="002E5DDE" w:rsidRDefault="00275412" w:rsidP="009A0DCB">
      <w:pPr>
        <w:pStyle w:val="Figure-Table-BoxHeading"/>
        <w:keepNext/>
        <w:ind w:left="851" w:hanging="851"/>
      </w:pPr>
      <w:bookmarkStart w:id="175" w:name="_Toc48315286"/>
      <w:r w:rsidRPr="7E57B55D">
        <w:rPr>
          <w:lang w:val="en-AU"/>
        </w:rPr>
        <w:t>Table A.8: Cost of complying with environmental schemes (GST exclusive</w:t>
      </w:r>
      <w:bookmarkEnd w:id="175"/>
      <w:r w:rsidRPr="7E57B55D">
        <w:rPr>
          <w:lang w:val="en-AU"/>
        </w:rPr>
        <w:t>)</w:t>
      </w:r>
    </w:p>
    <w:tbl>
      <w:tblPr>
        <w:tblStyle w:val="TableGrid"/>
        <w:tblW w:w="10065" w:type="dxa"/>
        <w:tblLayout w:type="fixed"/>
        <w:tblLook w:val="04A0" w:firstRow="1" w:lastRow="0" w:firstColumn="1" w:lastColumn="0" w:noHBand="0" w:noVBand="1"/>
      </w:tblPr>
      <w:tblGrid>
        <w:gridCol w:w="2410"/>
        <w:gridCol w:w="1531"/>
        <w:gridCol w:w="1531"/>
        <w:gridCol w:w="1531"/>
        <w:gridCol w:w="1531"/>
        <w:gridCol w:w="1531"/>
      </w:tblGrid>
      <w:tr w:rsidR="00A114F9" w:rsidRPr="002E5DDE" w14:paraId="3FEF0575" w14:textId="5664B100" w:rsidTr="00DC045A">
        <w:trPr>
          <w:cnfStyle w:val="100000000000" w:firstRow="1" w:lastRow="0" w:firstColumn="0" w:lastColumn="0" w:oddVBand="0" w:evenVBand="0" w:oddHBand="0" w:evenHBand="0" w:firstRowFirstColumn="0" w:firstRowLastColumn="0" w:lastRowFirstColumn="0" w:lastRowLastColumn="0"/>
        </w:trPr>
        <w:tc>
          <w:tcPr>
            <w:tcW w:w="2410" w:type="dxa"/>
          </w:tcPr>
          <w:p w14:paraId="445D8076" w14:textId="77777777" w:rsidR="00275412" w:rsidRPr="002E5DDE" w:rsidRDefault="00275412" w:rsidP="009A0DCB">
            <w:pPr>
              <w:pStyle w:val="TableHeading"/>
              <w:keepNext/>
            </w:pPr>
            <w:r w:rsidRPr="002E5DDE">
              <w:t xml:space="preserve">Environmental scheme </w:t>
            </w:r>
          </w:p>
        </w:tc>
        <w:tc>
          <w:tcPr>
            <w:tcW w:w="1531" w:type="dxa"/>
          </w:tcPr>
          <w:p w14:paraId="521616DE" w14:textId="77777777" w:rsidR="00275412" w:rsidRPr="002E5DDE" w:rsidRDefault="00275412" w:rsidP="009A0DCB">
            <w:pPr>
              <w:pStyle w:val="TableHeading"/>
              <w:keepNext/>
            </w:pPr>
            <w:r w:rsidRPr="002E5DDE">
              <w:t xml:space="preserve">Certificate price, $/MWh </w:t>
            </w:r>
          </w:p>
        </w:tc>
        <w:tc>
          <w:tcPr>
            <w:tcW w:w="1531" w:type="dxa"/>
          </w:tcPr>
          <w:p w14:paraId="347820FC" w14:textId="77777777" w:rsidR="00275412" w:rsidRPr="002E5DDE" w:rsidRDefault="00275412" w:rsidP="009A0DCB">
            <w:pPr>
              <w:pStyle w:val="TableHeading"/>
              <w:keepNext/>
            </w:pPr>
            <w:r w:rsidRPr="002E5DDE">
              <w:t>Scheme liability, %</w:t>
            </w:r>
          </w:p>
        </w:tc>
        <w:tc>
          <w:tcPr>
            <w:tcW w:w="1531" w:type="dxa"/>
          </w:tcPr>
          <w:p w14:paraId="7F963152" w14:textId="77777777" w:rsidR="00275412" w:rsidRPr="002E5DDE" w:rsidRDefault="00275412" w:rsidP="009A0DCB">
            <w:pPr>
              <w:pStyle w:val="TableHeading"/>
              <w:keepNext/>
            </w:pPr>
            <w:r w:rsidRPr="002E5DDE">
              <w:t>Cost, $/MWh</w:t>
            </w:r>
          </w:p>
        </w:tc>
        <w:tc>
          <w:tcPr>
            <w:tcW w:w="1531" w:type="dxa"/>
          </w:tcPr>
          <w:p w14:paraId="2D86699C" w14:textId="19F42F01" w:rsidR="00CE4450" w:rsidRDefault="00E8604D" w:rsidP="009A0DCB">
            <w:pPr>
              <w:pStyle w:val="TableHeading"/>
              <w:keepNext/>
            </w:pPr>
            <w:r>
              <w:t>Regulatory period</w:t>
            </w:r>
            <w:r w:rsidR="00CE4450">
              <w:t xml:space="preserve"> </w:t>
            </w:r>
            <w:r w:rsidR="00672242">
              <w:t>adjustment</w:t>
            </w:r>
          </w:p>
        </w:tc>
        <w:tc>
          <w:tcPr>
            <w:tcW w:w="1531" w:type="dxa"/>
          </w:tcPr>
          <w:p w14:paraId="3136E0E8" w14:textId="6A070649" w:rsidR="00CE4450" w:rsidRDefault="00CE4450" w:rsidP="00CE4450">
            <w:pPr>
              <w:pStyle w:val="TableHeading"/>
              <w:keepNext/>
            </w:pPr>
            <w:r>
              <w:t>Total cost</w:t>
            </w:r>
          </w:p>
        </w:tc>
      </w:tr>
      <w:tr w:rsidR="000C5EBA" w:rsidRPr="002E5DDE" w14:paraId="1A62756B" w14:textId="64E94AEA" w:rsidTr="00DC045A">
        <w:trPr>
          <w:cnfStyle w:val="000000100000" w:firstRow="0" w:lastRow="0" w:firstColumn="0" w:lastColumn="0" w:oddVBand="0" w:evenVBand="0" w:oddHBand="1" w:evenHBand="0" w:firstRowFirstColumn="0" w:firstRowLastColumn="0" w:lastRowFirstColumn="0" w:lastRowLastColumn="0"/>
        </w:trPr>
        <w:tc>
          <w:tcPr>
            <w:tcW w:w="2410" w:type="dxa"/>
          </w:tcPr>
          <w:p w14:paraId="4FB13E48" w14:textId="77777777" w:rsidR="000C5EBA" w:rsidRPr="002E5DDE" w:rsidRDefault="000C5EBA" w:rsidP="000C5EBA">
            <w:pPr>
              <w:pStyle w:val="TableBody"/>
              <w:keepNext/>
            </w:pPr>
            <w:r w:rsidRPr="002E5DDE">
              <w:t xml:space="preserve">Large-scale Renewable Energy Target </w:t>
            </w:r>
          </w:p>
        </w:tc>
        <w:tc>
          <w:tcPr>
            <w:tcW w:w="1531" w:type="dxa"/>
          </w:tcPr>
          <w:p w14:paraId="5DAF35C2" w14:textId="3FC9F89E" w:rsidR="000C5EBA" w:rsidRPr="002E5DDE" w:rsidRDefault="000C5EBA" w:rsidP="00DC045A">
            <w:pPr>
              <w:pStyle w:val="TableBody"/>
            </w:pPr>
            <w:r w:rsidRPr="0081749F">
              <w:t>$</w:t>
            </w:r>
            <w:r w:rsidR="00FA2213">
              <w:t>35.17</w:t>
            </w:r>
          </w:p>
        </w:tc>
        <w:tc>
          <w:tcPr>
            <w:tcW w:w="1531" w:type="dxa"/>
          </w:tcPr>
          <w:p w14:paraId="25AE3902" w14:textId="34BCC4C9" w:rsidR="000C5EBA" w:rsidRPr="002E5DDE" w:rsidRDefault="00813E13" w:rsidP="00DC045A">
            <w:pPr>
              <w:pStyle w:val="TableBody"/>
            </w:pPr>
            <w:r>
              <w:t>17.91</w:t>
            </w:r>
          </w:p>
        </w:tc>
        <w:tc>
          <w:tcPr>
            <w:tcW w:w="1531" w:type="dxa"/>
          </w:tcPr>
          <w:p w14:paraId="27CDB9ED" w14:textId="6D235A2F" w:rsidR="000C5EBA" w:rsidRPr="002E5DDE" w:rsidRDefault="000C5EBA" w:rsidP="00DC045A">
            <w:pPr>
              <w:pStyle w:val="TableBody"/>
            </w:pPr>
            <w:r w:rsidRPr="004A4F00">
              <w:t>$</w:t>
            </w:r>
            <w:r w:rsidR="00CC097E">
              <w:t>6.30</w:t>
            </w:r>
          </w:p>
        </w:tc>
        <w:tc>
          <w:tcPr>
            <w:tcW w:w="1531" w:type="dxa"/>
          </w:tcPr>
          <w:p w14:paraId="3C4B11EB" w14:textId="23A52FA2" w:rsidR="000C5EBA" w:rsidRDefault="006605E9" w:rsidP="00DC045A">
            <w:pPr>
              <w:pStyle w:val="TableBody"/>
            </w:pPr>
            <w:r>
              <w:t>-</w:t>
            </w:r>
            <w:r w:rsidR="000C5EBA" w:rsidRPr="007F6520">
              <w:t>$</w:t>
            </w:r>
            <w:r w:rsidR="00D378EA">
              <w:t>0.1</w:t>
            </w:r>
            <w:r w:rsidR="00803365">
              <w:t>7</w:t>
            </w:r>
          </w:p>
        </w:tc>
        <w:tc>
          <w:tcPr>
            <w:tcW w:w="1531" w:type="dxa"/>
          </w:tcPr>
          <w:p w14:paraId="781667CA" w14:textId="13211306" w:rsidR="000C5EBA" w:rsidRDefault="000C5EBA" w:rsidP="00DC045A">
            <w:pPr>
              <w:pStyle w:val="TableBody"/>
            </w:pPr>
            <w:r>
              <w:t>$</w:t>
            </w:r>
            <w:r w:rsidR="00C62F1B">
              <w:t>6.1</w:t>
            </w:r>
            <w:r w:rsidR="00803365">
              <w:t>3</w:t>
            </w:r>
            <w:r>
              <w:t>/MWh</w:t>
            </w:r>
          </w:p>
        </w:tc>
      </w:tr>
      <w:tr w:rsidR="000C5EBA" w:rsidRPr="002E5DDE" w14:paraId="104903CD" w14:textId="51D2C866" w:rsidTr="00DC045A">
        <w:trPr>
          <w:cnfStyle w:val="000000010000" w:firstRow="0" w:lastRow="0" w:firstColumn="0" w:lastColumn="0" w:oddVBand="0" w:evenVBand="0" w:oddHBand="0" w:evenHBand="1" w:firstRowFirstColumn="0" w:firstRowLastColumn="0" w:lastRowFirstColumn="0" w:lastRowLastColumn="0"/>
        </w:trPr>
        <w:tc>
          <w:tcPr>
            <w:tcW w:w="2410" w:type="dxa"/>
          </w:tcPr>
          <w:p w14:paraId="4E3F45D0" w14:textId="77777777" w:rsidR="000C5EBA" w:rsidRPr="00E73DEF" w:rsidRDefault="000C5EBA" w:rsidP="000C5EBA">
            <w:pPr>
              <w:pStyle w:val="TableBody"/>
              <w:keepNext/>
            </w:pPr>
            <w:r w:rsidRPr="00E73DEF">
              <w:t xml:space="preserve">Small-scale Renewable Energy Scheme </w:t>
            </w:r>
          </w:p>
        </w:tc>
        <w:tc>
          <w:tcPr>
            <w:tcW w:w="1531" w:type="dxa"/>
          </w:tcPr>
          <w:p w14:paraId="6C662263" w14:textId="48D61182" w:rsidR="000C5EBA" w:rsidRPr="00E73DEF" w:rsidRDefault="000C5EBA" w:rsidP="00DC045A">
            <w:pPr>
              <w:pStyle w:val="TableBody"/>
            </w:pPr>
            <w:r w:rsidRPr="00E73DEF">
              <w:t>$</w:t>
            </w:r>
            <w:r w:rsidR="009216BE" w:rsidRPr="00E73DEF">
              <w:t>40</w:t>
            </w:r>
          </w:p>
        </w:tc>
        <w:tc>
          <w:tcPr>
            <w:tcW w:w="1531" w:type="dxa"/>
          </w:tcPr>
          <w:p w14:paraId="25422A66" w14:textId="576A94CC" w:rsidR="000C5EBA" w:rsidRPr="00E73DEF" w:rsidRDefault="00F71B66" w:rsidP="00DC045A">
            <w:pPr>
              <w:pStyle w:val="TableBody"/>
            </w:pPr>
            <w:r w:rsidRPr="00E73DEF">
              <w:t>12.84</w:t>
            </w:r>
          </w:p>
        </w:tc>
        <w:tc>
          <w:tcPr>
            <w:tcW w:w="1531" w:type="dxa"/>
          </w:tcPr>
          <w:p w14:paraId="76615D66" w14:textId="2EDB3784" w:rsidR="000C5EBA" w:rsidRPr="00E73DEF" w:rsidRDefault="000C5EBA" w:rsidP="00DC045A">
            <w:pPr>
              <w:pStyle w:val="TableBody"/>
            </w:pPr>
            <w:r w:rsidRPr="00E73DEF">
              <w:t>$</w:t>
            </w:r>
            <w:r w:rsidR="00813E13" w:rsidRPr="00E73DEF">
              <w:t>5.14</w:t>
            </w:r>
          </w:p>
        </w:tc>
        <w:tc>
          <w:tcPr>
            <w:tcW w:w="1531" w:type="dxa"/>
          </w:tcPr>
          <w:p w14:paraId="7F592785" w14:textId="2AEDA1E4" w:rsidR="000C5EBA" w:rsidRPr="00E73DEF" w:rsidRDefault="00813E13" w:rsidP="00DC045A">
            <w:pPr>
              <w:pStyle w:val="TableBody"/>
            </w:pPr>
            <w:r w:rsidRPr="00E73DEF">
              <w:t>-</w:t>
            </w:r>
            <w:r w:rsidR="000C5EBA" w:rsidRPr="00E73DEF">
              <w:t>$</w:t>
            </w:r>
            <w:r w:rsidRPr="00E73DEF">
              <w:t>0.55</w:t>
            </w:r>
          </w:p>
        </w:tc>
        <w:tc>
          <w:tcPr>
            <w:tcW w:w="1531" w:type="dxa"/>
          </w:tcPr>
          <w:p w14:paraId="6F4DAC93" w14:textId="7968609F" w:rsidR="000C5EBA" w:rsidRPr="00E73DEF" w:rsidRDefault="000C5EBA" w:rsidP="00DC045A">
            <w:pPr>
              <w:pStyle w:val="TableBody"/>
            </w:pPr>
            <w:r w:rsidRPr="00E73DEF">
              <w:t>$</w:t>
            </w:r>
            <w:r w:rsidR="00813E13" w:rsidRPr="00E73DEF">
              <w:t>4.59</w:t>
            </w:r>
            <w:r w:rsidRPr="00E73DEF">
              <w:t>/MWh</w:t>
            </w:r>
          </w:p>
        </w:tc>
      </w:tr>
      <w:tr w:rsidR="000C5EBA" w:rsidRPr="002E5DDE" w14:paraId="3D6F91E7" w14:textId="625F98C8" w:rsidTr="00DC045A">
        <w:trPr>
          <w:cnfStyle w:val="000000100000" w:firstRow="0" w:lastRow="0" w:firstColumn="0" w:lastColumn="0" w:oddVBand="0" w:evenVBand="0" w:oddHBand="1" w:evenHBand="0" w:firstRowFirstColumn="0" w:firstRowLastColumn="0" w:lastRowFirstColumn="0" w:lastRowLastColumn="0"/>
        </w:trPr>
        <w:tc>
          <w:tcPr>
            <w:tcW w:w="2410" w:type="dxa"/>
          </w:tcPr>
          <w:p w14:paraId="5C2378C2" w14:textId="72FDAAAD" w:rsidR="000C5EBA" w:rsidRPr="00E73DEF" w:rsidRDefault="000C5EBA" w:rsidP="000C5EBA">
            <w:pPr>
              <w:pStyle w:val="TableBody"/>
              <w:keepNext/>
            </w:pPr>
            <w:r w:rsidRPr="00E73DEF">
              <w:t>Victorian Energy Upgrades</w:t>
            </w:r>
            <w:r w:rsidR="00512228">
              <w:t xml:space="preserve"> program</w:t>
            </w:r>
          </w:p>
        </w:tc>
        <w:tc>
          <w:tcPr>
            <w:tcW w:w="1531" w:type="dxa"/>
          </w:tcPr>
          <w:p w14:paraId="57DC8789" w14:textId="7B7E900F" w:rsidR="000C5EBA" w:rsidRPr="00E73DEF" w:rsidRDefault="000C5EBA" w:rsidP="00DC045A">
            <w:pPr>
              <w:pStyle w:val="TableBody"/>
            </w:pPr>
            <w:r w:rsidRPr="00E73DEF">
              <w:t>$</w:t>
            </w:r>
            <w:r w:rsidR="00636F0E">
              <w:t>106</w:t>
            </w:r>
            <w:r w:rsidR="00AF0158">
              <w:t>.77</w:t>
            </w:r>
          </w:p>
        </w:tc>
        <w:tc>
          <w:tcPr>
            <w:tcW w:w="1531" w:type="dxa"/>
          </w:tcPr>
          <w:p w14:paraId="42488389" w14:textId="3DB076E1" w:rsidR="000C5EBA" w:rsidRPr="00E73DEF" w:rsidRDefault="000662C0" w:rsidP="00DC045A">
            <w:pPr>
              <w:pStyle w:val="TableBody"/>
            </w:pPr>
            <w:r w:rsidRPr="002A15B8">
              <w:t>15</w:t>
            </w:r>
            <w:r w:rsidR="00365BEA" w:rsidRPr="002A15B8">
              <w:t>.</w:t>
            </w:r>
            <w:r w:rsidRPr="002A15B8">
              <w:t>126</w:t>
            </w:r>
          </w:p>
        </w:tc>
        <w:tc>
          <w:tcPr>
            <w:tcW w:w="1531" w:type="dxa"/>
          </w:tcPr>
          <w:p w14:paraId="72EB06C4" w14:textId="37F8FF1E" w:rsidR="000C5EBA" w:rsidRPr="00E73DEF" w:rsidRDefault="000C5EBA" w:rsidP="00DC045A">
            <w:pPr>
              <w:pStyle w:val="TableBody"/>
            </w:pPr>
          </w:p>
        </w:tc>
        <w:tc>
          <w:tcPr>
            <w:tcW w:w="1531" w:type="dxa"/>
          </w:tcPr>
          <w:p w14:paraId="4D7D91E1" w14:textId="77777777" w:rsidR="000C5EBA" w:rsidRPr="00E73DEF" w:rsidRDefault="000C5EBA" w:rsidP="00DC045A">
            <w:pPr>
              <w:pStyle w:val="TableBody"/>
            </w:pPr>
          </w:p>
        </w:tc>
        <w:tc>
          <w:tcPr>
            <w:tcW w:w="1531" w:type="dxa"/>
          </w:tcPr>
          <w:p w14:paraId="3EE47366" w14:textId="7160095E" w:rsidR="000C5EBA" w:rsidRPr="00E73DEF" w:rsidRDefault="000C5EBA" w:rsidP="00DC045A">
            <w:pPr>
              <w:pStyle w:val="TableBody"/>
            </w:pPr>
            <w:r w:rsidRPr="00E73DEF">
              <w:t>$</w:t>
            </w:r>
            <w:r w:rsidR="00AF0158">
              <w:t>16.15</w:t>
            </w:r>
            <w:r w:rsidRPr="00E73DEF">
              <w:t>/MWh</w:t>
            </w:r>
          </w:p>
        </w:tc>
      </w:tr>
      <w:tr w:rsidR="000C5EBA" w:rsidRPr="002E5DDE" w14:paraId="094F97D4" w14:textId="15419265" w:rsidTr="00DC045A">
        <w:trPr>
          <w:cnfStyle w:val="000000010000" w:firstRow="0" w:lastRow="0" w:firstColumn="0" w:lastColumn="0" w:oddVBand="0" w:evenVBand="0" w:oddHBand="0" w:evenHBand="1" w:firstRowFirstColumn="0" w:firstRowLastColumn="0" w:lastRowFirstColumn="0" w:lastRowLastColumn="0"/>
          <w:trHeight w:val="398"/>
        </w:trPr>
        <w:tc>
          <w:tcPr>
            <w:tcW w:w="2410" w:type="dxa"/>
          </w:tcPr>
          <w:p w14:paraId="7C3D18C4" w14:textId="7D1C001E" w:rsidR="000C5EBA" w:rsidRPr="002A15B8" w:rsidRDefault="000C5EBA" w:rsidP="000C5EBA">
            <w:pPr>
              <w:pStyle w:val="TableBody"/>
              <w:keepNext/>
            </w:pPr>
            <w:r w:rsidRPr="002A15B8">
              <w:t xml:space="preserve">Feed-in </w:t>
            </w:r>
            <w:r w:rsidR="00512228" w:rsidRPr="002A15B8">
              <w:t>t</w:t>
            </w:r>
            <w:r w:rsidRPr="002A15B8">
              <w:t xml:space="preserve">ariff (social cost of carbon) </w:t>
            </w:r>
          </w:p>
        </w:tc>
        <w:tc>
          <w:tcPr>
            <w:tcW w:w="1531" w:type="dxa"/>
          </w:tcPr>
          <w:p w14:paraId="4EEC0CD7" w14:textId="77777777" w:rsidR="000C5EBA" w:rsidRPr="002A15B8" w:rsidRDefault="000C5EBA" w:rsidP="00DC045A">
            <w:pPr>
              <w:pStyle w:val="TableBody"/>
            </w:pPr>
          </w:p>
        </w:tc>
        <w:tc>
          <w:tcPr>
            <w:tcW w:w="1531" w:type="dxa"/>
          </w:tcPr>
          <w:p w14:paraId="50B574D6" w14:textId="77777777" w:rsidR="000C5EBA" w:rsidRPr="002A15B8" w:rsidRDefault="000C5EBA" w:rsidP="00DC045A">
            <w:pPr>
              <w:pStyle w:val="TableBody"/>
            </w:pPr>
          </w:p>
        </w:tc>
        <w:tc>
          <w:tcPr>
            <w:tcW w:w="1531" w:type="dxa"/>
          </w:tcPr>
          <w:p w14:paraId="5C5022B0" w14:textId="0EF6B897" w:rsidR="000C5EBA" w:rsidRPr="002A15B8" w:rsidRDefault="000C5EBA" w:rsidP="00DC045A">
            <w:pPr>
              <w:pStyle w:val="TableBody"/>
            </w:pPr>
          </w:p>
        </w:tc>
        <w:tc>
          <w:tcPr>
            <w:tcW w:w="1531" w:type="dxa"/>
          </w:tcPr>
          <w:p w14:paraId="71011C31" w14:textId="77777777" w:rsidR="000C5EBA" w:rsidRPr="002A15B8" w:rsidRDefault="000C5EBA" w:rsidP="00DC045A">
            <w:pPr>
              <w:pStyle w:val="TableBody"/>
            </w:pPr>
          </w:p>
        </w:tc>
        <w:tc>
          <w:tcPr>
            <w:tcW w:w="1531" w:type="dxa"/>
          </w:tcPr>
          <w:p w14:paraId="1EF5601E" w14:textId="60BA89CE" w:rsidR="000C5EBA" w:rsidRPr="002A15B8" w:rsidRDefault="000C5EBA" w:rsidP="00DC045A">
            <w:pPr>
              <w:pStyle w:val="TableBody"/>
            </w:pPr>
            <w:r w:rsidRPr="002A15B8">
              <w:t>$</w:t>
            </w:r>
            <w:r w:rsidR="002A15B8" w:rsidRPr="002A15B8">
              <w:t>0.00</w:t>
            </w:r>
            <w:r w:rsidRPr="002A15B8">
              <w:t>/MWh</w:t>
            </w:r>
          </w:p>
        </w:tc>
      </w:tr>
    </w:tbl>
    <w:p w14:paraId="4D8043FB" w14:textId="4D915348" w:rsidR="00275412" w:rsidRPr="002E5DDE" w:rsidRDefault="00275412" w:rsidP="009A0DCB">
      <w:pPr>
        <w:keepNext/>
      </w:pPr>
      <w:r w:rsidRPr="002E5DDE">
        <w:rPr>
          <w:color w:val="4986A0" w:themeColor="text2"/>
          <w:sz w:val="18"/>
          <w:szCs w:val="18"/>
        </w:rPr>
        <w:t xml:space="preserve">Source: </w:t>
      </w:r>
      <w:r w:rsidR="00BB56BF">
        <w:rPr>
          <w:color w:val="4986A0" w:themeColor="text2"/>
          <w:sz w:val="18"/>
          <w:szCs w:val="18"/>
        </w:rPr>
        <w:t>Essential Services Commission</w:t>
      </w:r>
      <w:r w:rsidRPr="00E73DEF">
        <w:rPr>
          <w:color w:val="4986A0" w:themeColor="text2"/>
          <w:sz w:val="18"/>
          <w:szCs w:val="18"/>
        </w:rPr>
        <w:t xml:space="preserve"> </w:t>
      </w:r>
      <w:r w:rsidRPr="007F29D0">
        <w:rPr>
          <w:color w:val="4986A0" w:themeColor="text2"/>
          <w:sz w:val="18"/>
          <w:szCs w:val="18"/>
        </w:rPr>
        <w:t xml:space="preserve">analysis and Frontier Economics, </w:t>
      </w:r>
      <w:r w:rsidRPr="007F29D0">
        <w:rPr>
          <w:i/>
          <w:color w:val="4986A0" w:themeColor="text2"/>
          <w:sz w:val="18"/>
          <w:szCs w:val="18"/>
        </w:rPr>
        <w:t>Wholesale electricity costs for 202</w:t>
      </w:r>
      <w:r w:rsidR="00EF354B" w:rsidRPr="007F29D0">
        <w:rPr>
          <w:i/>
          <w:color w:val="4986A0" w:themeColor="text2"/>
          <w:sz w:val="18"/>
          <w:szCs w:val="18"/>
        </w:rPr>
        <w:t>5</w:t>
      </w:r>
      <w:r w:rsidRPr="007F29D0">
        <w:rPr>
          <w:i/>
          <w:color w:val="4986A0" w:themeColor="text2"/>
          <w:sz w:val="18"/>
          <w:szCs w:val="18"/>
        </w:rPr>
        <w:t>–2</w:t>
      </w:r>
      <w:r w:rsidR="00EF354B" w:rsidRPr="007F29D0">
        <w:rPr>
          <w:i/>
          <w:color w:val="4986A0" w:themeColor="text2"/>
          <w:sz w:val="18"/>
          <w:szCs w:val="18"/>
        </w:rPr>
        <w:t>6</w:t>
      </w:r>
      <w:r w:rsidRPr="007F29D0">
        <w:rPr>
          <w:i/>
          <w:color w:val="4986A0" w:themeColor="text2"/>
          <w:sz w:val="18"/>
          <w:szCs w:val="18"/>
        </w:rPr>
        <w:t xml:space="preserve">: A </w:t>
      </w:r>
      <w:r w:rsidR="00E73DEF" w:rsidRPr="007F29D0">
        <w:rPr>
          <w:i/>
          <w:color w:val="4986A0" w:themeColor="text2"/>
          <w:sz w:val="18"/>
          <w:szCs w:val="18"/>
        </w:rPr>
        <w:t>final</w:t>
      </w:r>
      <w:r w:rsidRPr="007F29D0">
        <w:rPr>
          <w:i/>
          <w:color w:val="4986A0" w:themeColor="text2"/>
          <w:sz w:val="18"/>
          <w:szCs w:val="18"/>
        </w:rPr>
        <w:t xml:space="preserve"> report for the Essential Services Commission</w:t>
      </w:r>
      <w:r w:rsidRPr="007F29D0">
        <w:rPr>
          <w:color w:val="4986A0" w:themeColor="text2"/>
          <w:sz w:val="18"/>
          <w:szCs w:val="18"/>
        </w:rPr>
        <w:t xml:space="preserve">, </w:t>
      </w:r>
      <w:r w:rsidR="002D2AB5" w:rsidRPr="007F29D0">
        <w:rPr>
          <w:color w:val="4986A0" w:themeColor="text2"/>
          <w:sz w:val="18"/>
          <w:szCs w:val="18"/>
        </w:rPr>
        <w:t>2</w:t>
      </w:r>
      <w:r w:rsidR="00E73DEF" w:rsidRPr="007F29D0">
        <w:rPr>
          <w:color w:val="4986A0" w:themeColor="text2"/>
          <w:sz w:val="18"/>
          <w:szCs w:val="18"/>
        </w:rPr>
        <w:t xml:space="preserve"> May</w:t>
      </w:r>
      <w:r w:rsidRPr="007F29D0">
        <w:rPr>
          <w:color w:val="4986A0" w:themeColor="text2"/>
          <w:sz w:val="18"/>
          <w:szCs w:val="18"/>
        </w:rPr>
        <w:t xml:space="preserve"> 202</w:t>
      </w:r>
      <w:r w:rsidR="00EF354B" w:rsidRPr="007F29D0">
        <w:rPr>
          <w:color w:val="4986A0" w:themeColor="text2"/>
          <w:sz w:val="18"/>
          <w:szCs w:val="18"/>
        </w:rPr>
        <w:t>5</w:t>
      </w:r>
      <w:r w:rsidRPr="007F29D0">
        <w:rPr>
          <w:color w:val="4986A0" w:themeColor="text2"/>
          <w:sz w:val="18"/>
          <w:szCs w:val="18"/>
        </w:rPr>
        <w:t>.</w:t>
      </w:r>
    </w:p>
    <w:p w14:paraId="42EED879" w14:textId="77777777" w:rsidR="009573CC" w:rsidRDefault="009573CC">
      <w:pPr>
        <w:spacing w:before="0" w:line="259" w:lineRule="auto"/>
        <w:rPr>
          <w:rFonts w:ascii="Tahoma" w:eastAsiaTheme="majorEastAsia" w:hAnsi="Tahoma" w:cstheme="majorBidi"/>
          <w:b/>
          <w:sz w:val="26"/>
          <w:szCs w:val="26"/>
        </w:rPr>
      </w:pPr>
      <w:bookmarkStart w:id="176" w:name="_Toc48315287"/>
      <w:bookmarkStart w:id="177" w:name="_Toc50655591"/>
      <w:bookmarkStart w:id="178" w:name="_Toc88656436"/>
      <w:bookmarkStart w:id="179" w:name="_Toc95924865"/>
      <w:bookmarkStart w:id="180" w:name="_Toc103191784"/>
      <w:bookmarkStart w:id="181" w:name="_Toc103884134"/>
      <w:bookmarkStart w:id="182" w:name="_Toc160817061"/>
      <w:bookmarkStart w:id="183" w:name="_Toc191027405"/>
      <w:bookmarkEnd w:id="167"/>
      <w:r>
        <w:br w:type="page"/>
      </w:r>
    </w:p>
    <w:p w14:paraId="4CBCD537" w14:textId="1ECD3ECC" w:rsidR="00275412" w:rsidRPr="002E5DDE" w:rsidRDefault="00275412" w:rsidP="00275412">
      <w:pPr>
        <w:pStyle w:val="Heading2"/>
      </w:pPr>
      <w:bookmarkStart w:id="184" w:name="_Toc198808346"/>
      <w:r w:rsidRPr="002E5DDE">
        <w:lastRenderedPageBreak/>
        <w:t>Retail operating costs</w:t>
      </w:r>
      <w:bookmarkEnd w:id="176"/>
      <w:bookmarkEnd w:id="177"/>
      <w:bookmarkEnd w:id="178"/>
      <w:bookmarkEnd w:id="179"/>
      <w:bookmarkEnd w:id="180"/>
      <w:bookmarkEnd w:id="181"/>
      <w:r w:rsidRPr="002E5DDE">
        <w:t xml:space="preserve"> and margin</w:t>
      </w:r>
      <w:bookmarkEnd w:id="182"/>
      <w:bookmarkEnd w:id="183"/>
      <w:bookmarkEnd w:id="184"/>
    </w:p>
    <w:p w14:paraId="0D5E9759" w14:textId="668B5484" w:rsidR="005B2AC6" w:rsidRDefault="005B2AC6" w:rsidP="005B2AC6">
      <w:bookmarkStart w:id="185" w:name="_Toc50655592"/>
      <w:bookmarkStart w:id="186" w:name="_Toc88656439"/>
      <w:bookmarkStart w:id="187" w:name="_Toc95924868"/>
      <w:bookmarkStart w:id="188" w:name="_Toc103191787"/>
      <w:bookmarkStart w:id="189" w:name="_Toc103884137"/>
      <w:r>
        <w:t xml:space="preserve">The retail operating costs inputs and margin </w:t>
      </w:r>
      <w:r w:rsidRPr="0088172F">
        <w:t>for the 2025</w:t>
      </w:r>
      <w:r>
        <w:rPr>
          <w:rStyle w:val="ui-provider"/>
          <w:i/>
          <w:iCs/>
        </w:rPr>
        <w:t>–</w:t>
      </w:r>
      <w:r w:rsidRPr="0088172F">
        <w:t xml:space="preserve">26 Victorian Default Offer </w:t>
      </w:r>
      <w:r w:rsidRPr="00BC53E7">
        <w:t>are presented in Table A.</w:t>
      </w:r>
      <w:r>
        <w:t>9</w:t>
      </w:r>
      <w:r w:rsidR="00512228">
        <w:t>.</w:t>
      </w:r>
    </w:p>
    <w:p w14:paraId="6E6BD912" w14:textId="748D5259" w:rsidR="00275412" w:rsidRPr="000730AB" w:rsidRDefault="00275412" w:rsidP="00AA7D73">
      <w:pPr>
        <w:pStyle w:val="Figure-Table-BoxHeading"/>
        <w:keepNext/>
        <w:ind w:left="851" w:hanging="851"/>
      </w:pPr>
      <w:r w:rsidRPr="000730AB">
        <w:t xml:space="preserve">Table </w:t>
      </w:r>
      <w:r>
        <w:t>A</w:t>
      </w:r>
      <w:r w:rsidRPr="000730AB">
        <w:t>.9: Retail costs and margin (</w:t>
      </w:r>
      <w:r w:rsidR="00F82A14">
        <w:t>CPI adjusted-</w:t>
      </w:r>
      <w:r w:rsidRPr="000730AB">
        <w:t>GST exclusive)</w:t>
      </w:r>
    </w:p>
    <w:tbl>
      <w:tblPr>
        <w:tblStyle w:val="TableGrid"/>
        <w:tblW w:w="0" w:type="auto"/>
        <w:tblLook w:val="04A0" w:firstRow="1" w:lastRow="0" w:firstColumn="1" w:lastColumn="0" w:noHBand="0" w:noVBand="1"/>
      </w:tblPr>
      <w:tblGrid>
        <w:gridCol w:w="5245"/>
        <w:gridCol w:w="4393"/>
      </w:tblGrid>
      <w:tr w:rsidR="00275412" w:rsidRPr="008B48EE" w14:paraId="24CD3DB9" w14:textId="77777777" w:rsidTr="00DA436D">
        <w:trPr>
          <w:cnfStyle w:val="100000000000" w:firstRow="1" w:lastRow="0" w:firstColumn="0" w:lastColumn="0" w:oddVBand="0" w:evenVBand="0" w:oddHBand="0" w:evenHBand="0" w:firstRowFirstColumn="0" w:firstRowLastColumn="0" w:lastRowFirstColumn="0" w:lastRowLastColumn="0"/>
          <w:tblHeader/>
        </w:trPr>
        <w:tc>
          <w:tcPr>
            <w:tcW w:w="5245" w:type="dxa"/>
          </w:tcPr>
          <w:p w14:paraId="3A7367AC" w14:textId="77777777" w:rsidR="00275412" w:rsidRPr="008B48EE" w:rsidRDefault="00275412" w:rsidP="00AA7D73">
            <w:pPr>
              <w:pStyle w:val="TableHeading"/>
              <w:keepNext/>
            </w:pPr>
            <w:r w:rsidRPr="008B48EE">
              <w:t>Retail costs and margin</w:t>
            </w:r>
          </w:p>
        </w:tc>
        <w:tc>
          <w:tcPr>
            <w:tcW w:w="4393" w:type="dxa"/>
          </w:tcPr>
          <w:p w14:paraId="785D0D1E" w14:textId="77777777" w:rsidR="00275412" w:rsidRPr="008B48EE" w:rsidRDefault="00275412" w:rsidP="00AA7D73">
            <w:pPr>
              <w:pStyle w:val="TableHeading"/>
              <w:keepNext/>
            </w:pPr>
            <w:r w:rsidRPr="008B48EE">
              <w:t>Annual benchmark</w:t>
            </w:r>
          </w:p>
        </w:tc>
      </w:tr>
      <w:tr w:rsidR="002F76E8" w:rsidRPr="008B48EE" w14:paraId="356F0ABF" w14:textId="77777777">
        <w:trPr>
          <w:cnfStyle w:val="000000100000" w:firstRow="0" w:lastRow="0" w:firstColumn="0" w:lastColumn="0" w:oddVBand="0" w:evenVBand="0" w:oddHBand="1" w:evenHBand="0" w:firstRowFirstColumn="0" w:firstRowLastColumn="0" w:lastRowFirstColumn="0" w:lastRowLastColumn="0"/>
        </w:trPr>
        <w:tc>
          <w:tcPr>
            <w:tcW w:w="5245" w:type="dxa"/>
          </w:tcPr>
          <w:p w14:paraId="70C5A591" w14:textId="77777777" w:rsidR="002F76E8" w:rsidRPr="008B48EE" w:rsidRDefault="002F76E8" w:rsidP="002F76E8">
            <w:pPr>
              <w:pStyle w:val="TableBody"/>
              <w:keepNext/>
            </w:pPr>
            <w:r w:rsidRPr="008B48EE">
              <w:t>Retail operating costs</w:t>
            </w:r>
          </w:p>
        </w:tc>
        <w:tc>
          <w:tcPr>
            <w:tcW w:w="4393" w:type="dxa"/>
          </w:tcPr>
          <w:p w14:paraId="2B59F740" w14:textId="3FE3F644" w:rsidR="002F76E8" w:rsidRPr="008B48EE" w:rsidRDefault="002F76E8" w:rsidP="002F76E8">
            <w:pPr>
              <w:pStyle w:val="TableBody"/>
              <w:keepNext/>
            </w:pPr>
            <w:r w:rsidRPr="008B48EE">
              <w:t>$</w:t>
            </w:r>
            <w:r w:rsidR="00F33DC8" w:rsidRPr="008B48EE">
              <w:t>14</w:t>
            </w:r>
            <w:r w:rsidR="007D2107" w:rsidRPr="008B48EE">
              <w:t>7.47</w:t>
            </w:r>
          </w:p>
        </w:tc>
      </w:tr>
      <w:tr w:rsidR="002F76E8" w:rsidRPr="008B48EE" w14:paraId="6B18A5D1" w14:textId="77777777" w:rsidTr="00DA436D">
        <w:trPr>
          <w:cnfStyle w:val="000000010000" w:firstRow="0" w:lastRow="0" w:firstColumn="0" w:lastColumn="0" w:oddVBand="0" w:evenVBand="0" w:oddHBand="0" w:evenHBand="1" w:firstRowFirstColumn="0" w:firstRowLastColumn="0" w:lastRowFirstColumn="0" w:lastRowLastColumn="0"/>
        </w:trPr>
        <w:tc>
          <w:tcPr>
            <w:tcW w:w="5245" w:type="dxa"/>
          </w:tcPr>
          <w:p w14:paraId="7FFC1993" w14:textId="77777777" w:rsidR="002F76E8" w:rsidRPr="008B48EE" w:rsidRDefault="002F76E8" w:rsidP="002F76E8">
            <w:pPr>
              <w:pStyle w:val="TableBody"/>
              <w:keepNext/>
            </w:pPr>
            <w:r w:rsidRPr="008B48EE">
              <w:t>Modest customer acquisition and retention costs</w:t>
            </w:r>
          </w:p>
        </w:tc>
        <w:tc>
          <w:tcPr>
            <w:tcW w:w="4393" w:type="dxa"/>
          </w:tcPr>
          <w:p w14:paraId="056E1497" w14:textId="317529DD" w:rsidR="002F76E8" w:rsidRPr="008B48EE" w:rsidRDefault="002F76E8" w:rsidP="002F76E8">
            <w:pPr>
              <w:pStyle w:val="TableBody"/>
              <w:keepNext/>
            </w:pPr>
            <w:r w:rsidRPr="008B48EE">
              <w:t>$</w:t>
            </w:r>
            <w:r w:rsidR="00673540" w:rsidRPr="008B48EE">
              <w:t>46.57</w:t>
            </w:r>
          </w:p>
        </w:tc>
      </w:tr>
      <w:tr w:rsidR="00275412" w:rsidRPr="002E5DDE" w14:paraId="0067C181" w14:textId="77777777" w:rsidTr="00DA436D">
        <w:trPr>
          <w:cnfStyle w:val="000000100000" w:firstRow="0" w:lastRow="0" w:firstColumn="0" w:lastColumn="0" w:oddVBand="0" w:evenVBand="0" w:oddHBand="1" w:evenHBand="0" w:firstRowFirstColumn="0" w:firstRowLastColumn="0" w:lastRowFirstColumn="0" w:lastRowLastColumn="0"/>
        </w:trPr>
        <w:tc>
          <w:tcPr>
            <w:tcW w:w="5245" w:type="dxa"/>
          </w:tcPr>
          <w:p w14:paraId="2B9E2F46" w14:textId="77777777" w:rsidR="00275412" w:rsidRPr="008B48EE" w:rsidRDefault="00275412" w:rsidP="00AA7D73">
            <w:pPr>
              <w:pStyle w:val="TableBody"/>
              <w:keepNext/>
            </w:pPr>
            <w:r w:rsidRPr="008B48EE">
              <w:t>Retail margin</w:t>
            </w:r>
          </w:p>
        </w:tc>
        <w:tc>
          <w:tcPr>
            <w:tcW w:w="4393" w:type="dxa"/>
          </w:tcPr>
          <w:p w14:paraId="6E885D14" w14:textId="3DAC6D50" w:rsidR="00275412" w:rsidRPr="007F29D0" w:rsidRDefault="00673F5D" w:rsidP="00AA7D73">
            <w:pPr>
              <w:pStyle w:val="TableBody"/>
              <w:keepNext/>
            </w:pPr>
            <w:r w:rsidRPr="008B48EE">
              <w:t>5</w:t>
            </w:r>
            <w:r w:rsidR="00275412" w:rsidRPr="008B48EE">
              <w:t>%</w:t>
            </w:r>
          </w:p>
        </w:tc>
      </w:tr>
    </w:tbl>
    <w:p w14:paraId="47AE149D" w14:textId="77777777" w:rsidR="0050057D" w:rsidRDefault="0050057D">
      <w:pPr>
        <w:spacing w:before="0" w:line="259" w:lineRule="auto"/>
        <w:rPr>
          <w:rFonts w:ascii="Tahoma" w:eastAsiaTheme="majorEastAsia" w:hAnsi="Tahoma" w:cstheme="majorBidi"/>
          <w:b/>
          <w:sz w:val="26"/>
          <w:szCs w:val="26"/>
        </w:rPr>
      </w:pPr>
      <w:bookmarkStart w:id="190" w:name="_Toc160817065"/>
      <w:bookmarkStart w:id="191" w:name="_Toc191027409"/>
      <w:r>
        <w:br w:type="page"/>
      </w:r>
    </w:p>
    <w:p w14:paraId="27772172" w14:textId="116AC256" w:rsidR="00275412" w:rsidRPr="008D46BD" w:rsidRDefault="00275412" w:rsidP="00275412">
      <w:pPr>
        <w:pStyle w:val="Heading2"/>
      </w:pPr>
      <w:bookmarkStart w:id="192" w:name="_Toc198808347"/>
      <w:r w:rsidRPr="002E5DDE">
        <w:lastRenderedPageBreak/>
        <w:t>Other costs</w:t>
      </w:r>
      <w:bookmarkEnd w:id="185"/>
      <w:bookmarkEnd w:id="186"/>
      <w:bookmarkEnd w:id="187"/>
      <w:bookmarkEnd w:id="188"/>
      <w:bookmarkEnd w:id="189"/>
      <w:bookmarkEnd w:id="190"/>
      <w:bookmarkEnd w:id="191"/>
      <w:bookmarkEnd w:id="192"/>
    </w:p>
    <w:p w14:paraId="6979790D" w14:textId="035E28AD" w:rsidR="00AD7C99" w:rsidRPr="00FB5DD6" w:rsidRDefault="00AD7C99" w:rsidP="00275412">
      <w:r>
        <w:t>The fixed (per customer) and variable (per megawatt hour)</w:t>
      </w:r>
      <w:r w:rsidR="00DE039E">
        <w:t xml:space="preserve"> other cost</w:t>
      </w:r>
      <w:r w:rsidR="000E2501">
        <w:t>s</w:t>
      </w:r>
      <w:r w:rsidR="00DE039E">
        <w:t xml:space="preserve"> inputs</w:t>
      </w:r>
      <w:r>
        <w:t xml:space="preserve"> </w:t>
      </w:r>
      <w:r w:rsidRPr="0088172F">
        <w:t>for the 2025</w:t>
      </w:r>
      <w:r w:rsidR="00263E87">
        <w:rPr>
          <w:rStyle w:val="ui-provider"/>
          <w:i/>
          <w:iCs/>
        </w:rPr>
        <w:t>–</w:t>
      </w:r>
      <w:r w:rsidR="00B53618">
        <w:rPr>
          <w:rStyle w:val="ui-provider"/>
          <w:i/>
          <w:iCs/>
        </w:rPr>
        <w:t>‍</w:t>
      </w:r>
      <w:r w:rsidRPr="0088172F">
        <w:t xml:space="preserve">26 Victorian Default Offer </w:t>
      </w:r>
      <w:r w:rsidRPr="00BC53E7">
        <w:t>are presented in Table A.</w:t>
      </w:r>
      <w:r w:rsidR="00DE039E">
        <w:t>10</w:t>
      </w:r>
      <w:r w:rsidR="00512228">
        <w:t>.</w:t>
      </w:r>
    </w:p>
    <w:p w14:paraId="718DA540" w14:textId="77777777" w:rsidR="00275412" w:rsidRPr="00B346C6" w:rsidRDefault="00275412" w:rsidP="00FA19D4">
      <w:pPr>
        <w:pStyle w:val="Figure-Table-BoxHeading"/>
        <w:keepNext/>
        <w:ind w:left="851" w:hanging="851"/>
      </w:pPr>
      <w:r w:rsidRPr="00B346C6">
        <w:t xml:space="preserve">Table </w:t>
      </w:r>
      <w:r>
        <w:t>A</w:t>
      </w:r>
      <w:r w:rsidRPr="00B346C6">
        <w:t>.10: Other costs (GST exclusive)</w:t>
      </w:r>
    </w:p>
    <w:tbl>
      <w:tblPr>
        <w:tblStyle w:val="TableGrid1"/>
        <w:tblW w:w="5000" w:type="pct"/>
        <w:tblLook w:val="04A0" w:firstRow="1" w:lastRow="0" w:firstColumn="1" w:lastColumn="0" w:noHBand="0" w:noVBand="1"/>
      </w:tblPr>
      <w:tblGrid>
        <w:gridCol w:w="7230"/>
        <w:gridCol w:w="2408"/>
      </w:tblGrid>
      <w:tr w:rsidR="00275412" w:rsidRPr="007F29D0" w14:paraId="22ADFA59" w14:textId="77777777" w:rsidTr="00904C45">
        <w:trPr>
          <w:cnfStyle w:val="100000000000" w:firstRow="1" w:lastRow="0" w:firstColumn="0" w:lastColumn="0" w:oddVBand="0" w:evenVBand="0" w:oddHBand="0" w:evenHBand="0" w:firstRowFirstColumn="0" w:firstRowLastColumn="0" w:lastRowFirstColumn="0" w:lastRowLastColumn="0"/>
          <w:trHeight w:val="300"/>
        </w:trPr>
        <w:tc>
          <w:tcPr>
            <w:tcW w:w="3751" w:type="pct"/>
            <w:hideMark/>
          </w:tcPr>
          <w:p w14:paraId="62098AEC" w14:textId="77777777" w:rsidR="00275412" w:rsidRPr="007F29D0" w:rsidRDefault="00275412" w:rsidP="00FA19D4">
            <w:pPr>
              <w:keepNext/>
              <w:spacing w:before="0" w:line="240" w:lineRule="auto"/>
              <w:rPr>
                <w:rFonts w:ascii="Arial" w:eastAsia="Times New Roman" w:hAnsi="Arial" w:cs="Arial"/>
                <w:color w:val="FFFFFF"/>
                <w:lang w:eastAsia="en-AU"/>
              </w:rPr>
            </w:pPr>
            <w:r w:rsidRPr="007F29D0">
              <w:rPr>
                <w:rFonts w:ascii="Arial" w:eastAsia="Times New Roman" w:hAnsi="Arial" w:cs="Arial"/>
                <w:color w:val="FFFFFF"/>
                <w:lang w:eastAsia="en-AU"/>
              </w:rPr>
              <w:t>Charge</w:t>
            </w:r>
          </w:p>
        </w:tc>
        <w:tc>
          <w:tcPr>
            <w:tcW w:w="1249" w:type="pct"/>
            <w:hideMark/>
          </w:tcPr>
          <w:p w14:paraId="2323778C" w14:textId="77777777" w:rsidR="00275412" w:rsidRPr="007F29D0" w:rsidRDefault="00275412" w:rsidP="00FA19D4">
            <w:pPr>
              <w:keepNext/>
              <w:spacing w:before="0" w:line="240" w:lineRule="auto"/>
              <w:rPr>
                <w:rFonts w:ascii="Arial" w:eastAsia="Times New Roman" w:hAnsi="Arial" w:cs="Arial"/>
                <w:b w:val="0"/>
                <w:color w:val="FFFFFF"/>
                <w:lang w:eastAsia="en-AU"/>
              </w:rPr>
            </w:pPr>
            <w:r w:rsidRPr="007F29D0">
              <w:rPr>
                <w:rFonts w:ascii="Arial" w:eastAsia="Times New Roman" w:hAnsi="Arial" w:cs="Arial"/>
                <w:color w:val="FFFFFF"/>
                <w:lang w:eastAsia="en-AU"/>
              </w:rPr>
              <w:t>Rate</w:t>
            </w:r>
          </w:p>
        </w:tc>
      </w:tr>
      <w:tr w:rsidR="00275412" w:rsidRPr="007F29D0" w14:paraId="286B184F"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hideMark/>
          </w:tcPr>
          <w:p w14:paraId="0769DC90" w14:textId="1260BB4D" w:rsidR="00275412" w:rsidRPr="007F29D0" w:rsidRDefault="00275412" w:rsidP="00FA19D4">
            <w:pPr>
              <w:pStyle w:val="TableBody"/>
              <w:keepNext/>
            </w:pPr>
            <w:r w:rsidRPr="007F29D0">
              <w:t xml:space="preserve">Essential Services Commission </w:t>
            </w:r>
            <w:r w:rsidR="383530D9" w:rsidRPr="007F29D0">
              <w:t>licen</w:t>
            </w:r>
            <w:r w:rsidR="00863CEA" w:rsidRPr="007F29D0">
              <w:t>c</w:t>
            </w:r>
            <w:r w:rsidR="383530D9" w:rsidRPr="007F29D0">
              <w:t>e</w:t>
            </w:r>
            <w:r w:rsidRPr="007F29D0">
              <w:t xml:space="preserve"> fee </w:t>
            </w:r>
          </w:p>
        </w:tc>
        <w:tc>
          <w:tcPr>
            <w:tcW w:w="1249" w:type="pct"/>
            <w:hideMark/>
          </w:tcPr>
          <w:p w14:paraId="033F2495" w14:textId="284886BA" w:rsidR="00275412" w:rsidRPr="007F29D0" w:rsidRDefault="00275412" w:rsidP="00FA19D4">
            <w:pPr>
              <w:pStyle w:val="TableBody"/>
              <w:keepNext/>
            </w:pPr>
            <w:r w:rsidRPr="007F29D0">
              <w:t>$</w:t>
            </w:r>
            <w:r w:rsidR="00BF08A5" w:rsidRPr="007F29D0">
              <w:t>2.13</w:t>
            </w:r>
            <w:r w:rsidRPr="007F29D0">
              <w:t>/customer</w:t>
            </w:r>
          </w:p>
        </w:tc>
      </w:tr>
      <w:tr w:rsidR="00275412" w:rsidRPr="007F29D0" w14:paraId="44EB8D01"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2F9060AD" w14:textId="77777777" w:rsidR="00275412" w:rsidRPr="007F29D0" w:rsidRDefault="00275412" w:rsidP="00FA19D4">
            <w:pPr>
              <w:pStyle w:val="TableBody"/>
              <w:keepNext/>
            </w:pPr>
            <w:r w:rsidRPr="007F29D0">
              <w:t xml:space="preserve">Ancillary services </w:t>
            </w:r>
          </w:p>
        </w:tc>
        <w:tc>
          <w:tcPr>
            <w:tcW w:w="1249" w:type="pct"/>
          </w:tcPr>
          <w:p w14:paraId="50D98C63" w14:textId="1B958753" w:rsidR="00275412" w:rsidRPr="007F29D0" w:rsidRDefault="00E27A3A" w:rsidP="00FA19D4">
            <w:pPr>
              <w:pStyle w:val="TableBody"/>
              <w:keepNext/>
            </w:pPr>
            <w:r w:rsidRPr="007F29D0">
              <w:rPr>
                <w:lang w:val="en-AU"/>
              </w:rPr>
              <w:t>$</w:t>
            </w:r>
            <w:r w:rsidR="00616FAC" w:rsidRPr="007F29D0">
              <w:rPr>
                <w:lang w:val="en-AU"/>
              </w:rPr>
              <w:t>0.15</w:t>
            </w:r>
            <w:r w:rsidRPr="007F29D0">
              <w:rPr>
                <w:lang w:val="en-AU"/>
              </w:rPr>
              <w:t>/MWh</w:t>
            </w:r>
          </w:p>
        </w:tc>
      </w:tr>
      <w:tr w:rsidR="00E27A3A" w:rsidRPr="007F29D0" w14:paraId="4B8EE9DE"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tcPr>
          <w:p w14:paraId="1B8D2D71" w14:textId="77777777" w:rsidR="00E27A3A" w:rsidRPr="007F29D0" w:rsidRDefault="00E27A3A" w:rsidP="00E27A3A">
            <w:pPr>
              <w:pStyle w:val="TableBody"/>
              <w:keepNext/>
            </w:pPr>
            <w:r w:rsidRPr="007F29D0">
              <w:t>Market suspension compensation</w:t>
            </w:r>
          </w:p>
        </w:tc>
        <w:tc>
          <w:tcPr>
            <w:tcW w:w="1249" w:type="pct"/>
          </w:tcPr>
          <w:p w14:paraId="121505DF" w14:textId="09D7BA1C" w:rsidR="00E27A3A" w:rsidRPr="007F29D0" w:rsidRDefault="00E27A3A" w:rsidP="00E27A3A">
            <w:pPr>
              <w:pStyle w:val="TableBody"/>
              <w:keepNext/>
            </w:pPr>
            <w:r w:rsidRPr="007F29D0">
              <w:t>$</w:t>
            </w:r>
            <w:r w:rsidR="00616FAC" w:rsidRPr="007F29D0">
              <w:t>0.00</w:t>
            </w:r>
            <w:r w:rsidR="001F675B" w:rsidRPr="007F29D0">
              <w:t>03</w:t>
            </w:r>
            <w:r w:rsidR="007832D6" w:rsidRPr="007F29D0">
              <w:t>2</w:t>
            </w:r>
            <w:r w:rsidRPr="007F29D0">
              <w:t>/MWh</w:t>
            </w:r>
          </w:p>
        </w:tc>
      </w:tr>
      <w:tr w:rsidR="00E27A3A" w:rsidRPr="007F29D0" w14:paraId="43BD11D6"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44AEC9C8" w14:textId="77777777" w:rsidR="00E27A3A" w:rsidRPr="007F29D0" w:rsidRDefault="00E27A3A" w:rsidP="00E27A3A">
            <w:pPr>
              <w:pStyle w:val="TableBody"/>
              <w:keepNext/>
            </w:pPr>
            <w:r w:rsidRPr="007F29D0">
              <w:t>Directions – usage</w:t>
            </w:r>
          </w:p>
        </w:tc>
        <w:tc>
          <w:tcPr>
            <w:tcW w:w="1249" w:type="pct"/>
          </w:tcPr>
          <w:p w14:paraId="007FD939" w14:textId="592A27FF" w:rsidR="00E27A3A" w:rsidRPr="007F29D0" w:rsidRDefault="00E27A3A" w:rsidP="00E27A3A">
            <w:pPr>
              <w:pStyle w:val="TableBody"/>
              <w:keepNext/>
            </w:pPr>
            <w:r w:rsidRPr="007F29D0">
              <w:t>$</w:t>
            </w:r>
            <w:r w:rsidR="00616FAC" w:rsidRPr="007F29D0">
              <w:t>0.07</w:t>
            </w:r>
            <w:r w:rsidRPr="007F29D0">
              <w:t>/MWh</w:t>
            </w:r>
          </w:p>
        </w:tc>
      </w:tr>
      <w:tr w:rsidR="00E27A3A" w:rsidRPr="007F29D0" w14:paraId="29F27C15"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tcPr>
          <w:p w14:paraId="47620613" w14:textId="77777777" w:rsidR="00E27A3A" w:rsidRPr="007F29D0" w:rsidRDefault="00E27A3A" w:rsidP="00E27A3A">
            <w:pPr>
              <w:pStyle w:val="TableBody"/>
              <w:keepNext/>
            </w:pPr>
            <w:r w:rsidRPr="007F29D0">
              <w:t>Administered price cap – usage</w:t>
            </w:r>
          </w:p>
        </w:tc>
        <w:tc>
          <w:tcPr>
            <w:tcW w:w="1249" w:type="pct"/>
          </w:tcPr>
          <w:p w14:paraId="168FE936" w14:textId="326800FD" w:rsidR="00E27A3A" w:rsidRPr="007F29D0" w:rsidRDefault="00E27A3A" w:rsidP="00E27A3A">
            <w:pPr>
              <w:pStyle w:val="TableBody"/>
              <w:keepNext/>
            </w:pPr>
            <w:r w:rsidRPr="007F29D0">
              <w:t>$</w:t>
            </w:r>
            <w:r w:rsidR="00BC4D7C" w:rsidRPr="007F29D0">
              <w:t>0.00</w:t>
            </w:r>
            <w:r w:rsidRPr="007F29D0">
              <w:t>/MWh</w:t>
            </w:r>
          </w:p>
        </w:tc>
      </w:tr>
      <w:tr w:rsidR="00BC4D7C" w:rsidRPr="007F29D0" w14:paraId="3E8475AC"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2FDBD896" w14:textId="76639BA2" w:rsidR="00BC4D7C" w:rsidRPr="007F29D0" w:rsidRDefault="00BC4D7C" w:rsidP="00BC4D7C">
            <w:pPr>
              <w:pStyle w:val="TableBody"/>
              <w:keepNext/>
            </w:pPr>
            <w:r w:rsidRPr="007F29D0">
              <w:t xml:space="preserve">Reliability and Emergency Reserve Trader </w:t>
            </w:r>
          </w:p>
        </w:tc>
        <w:tc>
          <w:tcPr>
            <w:tcW w:w="1249" w:type="pct"/>
          </w:tcPr>
          <w:p w14:paraId="2010C5E4" w14:textId="355C7F76" w:rsidR="00BC4D7C" w:rsidRPr="007F29D0" w:rsidRDefault="00BC4D7C" w:rsidP="00BC4D7C">
            <w:pPr>
              <w:pStyle w:val="TableBody"/>
              <w:keepNext/>
            </w:pPr>
            <w:r w:rsidRPr="007F29D0">
              <w:rPr>
                <w:lang w:val="en-AU"/>
              </w:rPr>
              <w:t>$</w:t>
            </w:r>
            <w:r w:rsidR="00283E02" w:rsidRPr="007F29D0">
              <w:rPr>
                <w:lang w:val="en-AU"/>
              </w:rPr>
              <w:t>0.38</w:t>
            </w:r>
            <w:r w:rsidRPr="007F29D0">
              <w:rPr>
                <w:lang w:val="en-AU"/>
              </w:rPr>
              <w:t>/MWh</w:t>
            </w:r>
          </w:p>
        </w:tc>
      </w:tr>
      <w:tr w:rsidR="00BC4D7C" w:rsidRPr="007F29D0" w14:paraId="22F64C83"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hideMark/>
          </w:tcPr>
          <w:p w14:paraId="568F05B3" w14:textId="77777777" w:rsidR="00BC4D7C" w:rsidRPr="007F29D0" w:rsidRDefault="00BC4D7C" w:rsidP="00BC4D7C">
            <w:pPr>
              <w:pStyle w:val="TableBold"/>
              <w:keepNext/>
            </w:pPr>
            <w:r w:rsidRPr="007F29D0">
              <w:t>Australian Energy Market Operator fees</w:t>
            </w:r>
          </w:p>
        </w:tc>
        <w:tc>
          <w:tcPr>
            <w:tcW w:w="1249" w:type="pct"/>
            <w:hideMark/>
          </w:tcPr>
          <w:p w14:paraId="47DA7639" w14:textId="32ACB8BE" w:rsidR="00BC4D7C" w:rsidRPr="007F29D0" w:rsidRDefault="00BC4D7C" w:rsidP="00BC4D7C">
            <w:pPr>
              <w:pStyle w:val="TableBold"/>
              <w:keepNext/>
            </w:pPr>
          </w:p>
        </w:tc>
      </w:tr>
      <w:tr w:rsidR="00BC4D7C" w:rsidRPr="007F29D0" w14:paraId="0903934E"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hideMark/>
          </w:tcPr>
          <w:p w14:paraId="5DE21554" w14:textId="77777777" w:rsidR="00BC4D7C" w:rsidRPr="007F29D0" w:rsidRDefault="00BC4D7C" w:rsidP="00BC4D7C">
            <w:pPr>
              <w:pStyle w:val="TableBody"/>
              <w:keepNext/>
            </w:pPr>
            <w:r w:rsidRPr="007F29D0">
              <w:t xml:space="preserve">National Electricity Market fees </w:t>
            </w:r>
          </w:p>
        </w:tc>
        <w:tc>
          <w:tcPr>
            <w:tcW w:w="1249" w:type="pct"/>
            <w:hideMark/>
          </w:tcPr>
          <w:p w14:paraId="45592C41" w14:textId="6F1F320F" w:rsidR="00BC4D7C" w:rsidRPr="007F29D0" w:rsidRDefault="00BC4D7C" w:rsidP="00BC4D7C">
            <w:pPr>
              <w:pStyle w:val="TableBody"/>
              <w:keepNext/>
            </w:pPr>
            <w:r w:rsidRPr="007F29D0">
              <w:rPr>
                <w:lang w:val="en-AU"/>
              </w:rPr>
              <w:t>$</w:t>
            </w:r>
            <w:r w:rsidR="00283E02" w:rsidRPr="007F29D0">
              <w:rPr>
                <w:lang w:val="en-AU"/>
              </w:rPr>
              <w:t>0.31</w:t>
            </w:r>
            <w:r w:rsidRPr="007F29D0">
              <w:rPr>
                <w:lang w:val="en-AU"/>
              </w:rPr>
              <w:t>/MWh</w:t>
            </w:r>
          </w:p>
        </w:tc>
      </w:tr>
      <w:tr w:rsidR="00BC4D7C" w:rsidRPr="007F29D0" w14:paraId="40751C76"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tcPr>
          <w:p w14:paraId="6936DB12" w14:textId="3BA66EF2" w:rsidR="00BC4D7C" w:rsidRPr="007F29D0" w:rsidRDefault="00BC4D7C" w:rsidP="00BC4D7C">
            <w:pPr>
              <w:pStyle w:val="TableBody"/>
              <w:keepNext/>
            </w:pPr>
            <w:r w:rsidRPr="007F29D0">
              <w:t>National Electricity Market fees (fixed)</w:t>
            </w:r>
          </w:p>
        </w:tc>
        <w:tc>
          <w:tcPr>
            <w:tcW w:w="1249" w:type="pct"/>
          </w:tcPr>
          <w:p w14:paraId="787F232B" w14:textId="4F5868DC" w:rsidR="00BC4D7C" w:rsidRPr="007F29D0" w:rsidRDefault="00BC4D7C" w:rsidP="00BC4D7C">
            <w:pPr>
              <w:pStyle w:val="TableBody"/>
              <w:keepNext/>
            </w:pPr>
            <w:r w:rsidRPr="007F29D0">
              <w:t>$</w:t>
            </w:r>
            <w:r w:rsidR="00283E02" w:rsidRPr="007F29D0">
              <w:t>4.96</w:t>
            </w:r>
            <w:r w:rsidRPr="007F29D0">
              <w:t>/customer</w:t>
            </w:r>
          </w:p>
        </w:tc>
      </w:tr>
      <w:tr w:rsidR="00BC4D7C" w:rsidRPr="007F29D0" w14:paraId="551D79B9"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372DD01E" w14:textId="2B712CA5" w:rsidR="00BC4D7C" w:rsidRPr="007F29D0" w:rsidRDefault="00BC4D7C" w:rsidP="00BC4D7C">
            <w:pPr>
              <w:pStyle w:val="TableBody"/>
              <w:keepNext/>
            </w:pPr>
            <w:r w:rsidRPr="007F29D0">
              <w:t>National Electricity Market (NEM) 2025 Reform Program</w:t>
            </w:r>
          </w:p>
        </w:tc>
        <w:tc>
          <w:tcPr>
            <w:tcW w:w="1249" w:type="pct"/>
          </w:tcPr>
          <w:p w14:paraId="7395CE6F" w14:textId="004A020E" w:rsidR="00BC4D7C" w:rsidRPr="007F29D0" w:rsidRDefault="00BC4D7C" w:rsidP="00BC4D7C">
            <w:pPr>
              <w:pStyle w:val="TableBody"/>
              <w:keepNext/>
            </w:pPr>
            <w:r w:rsidRPr="007F29D0">
              <w:rPr>
                <w:lang w:val="en-AU"/>
              </w:rPr>
              <w:t>$</w:t>
            </w:r>
            <w:r w:rsidR="008C04F4" w:rsidRPr="007F29D0">
              <w:rPr>
                <w:lang w:val="en-AU"/>
              </w:rPr>
              <w:t>0.11</w:t>
            </w:r>
            <w:r w:rsidRPr="007F29D0">
              <w:rPr>
                <w:lang w:val="en-AU"/>
              </w:rPr>
              <w:t>/MWh</w:t>
            </w:r>
          </w:p>
        </w:tc>
      </w:tr>
      <w:tr w:rsidR="00BC4D7C" w:rsidRPr="007F29D0" w14:paraId="685A1A1B"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tcPr>
          <w:p w14:paraId="29A4563E" w14:textId="7AFB16D2" w:rsidR="00BC4D7C" w:rsidRPr="007F29D0" w:rsidRDefault="00BC4D7C" w:rsidP="00BC4D7C">
            <w:pPr>
              <w:pStyle w:val="TableBody"/>
              <w:keepNext/>
            </w:pPr>
            <w:r w:rsidRPr="007F29D0">
              <w:t>National Electricity Market (NEM) 2025 Reform Program (fixed)</w:t>
            </w:r>
          </w:p>
        </w:tc>
        <w:tc>
          <w:tcPr>
            <w:tcW w:w="1249" w:type="pct"/>
          </w:tcPr>
          <w:p w14:paraId="208D509B" w14:textId="4EB6ADB9" w:rsidR="00BC4D7C" w:rsidRPr="007F29D0" w:rsidRDefault="00BC4D7C" w:rsidP="00BC4D7C">
            <w:pPr>
              <w:pStyle w:val="TableBody"/>
              <w:keepNext/>
            </w:pPr>
            <w:r w:rsidRPr="007F29D0">
              <w:t>$</w:t>
            </w:r>
            <w:r w:rsidR="008C04F4" w:rsidRPr="007F29D0">
              <w:t>3.07</w:t>
            </w:r>
            <w:r w:rsidRPr="007F29D0">
              <w:t>/customer</w:t>
            </w:r>
          </w:p>
        </w:tc>
      </w:tr>
      <w:tr w:rsidR="00BC4D7C" w:rsidRPr="007F29D0" w14:paraId="66A2020B"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hideMark/>
          </w:tcPr>
          <w:p w14:paraId="67D1ADD0" w14:textId="6DD28200" w:rsidR="00BC4D7C" w:rsidRPr="007F29D0" w:rsidRDefault="00BC4D7C" w:rsidP="00BC4D7C">
            <w:pPr>
              <w:pStyle w:val="TableBody"/>
              <w:keepNext/>
            </w:pPr>
            <w:r w:rsidRPr="007F29D0">
              <w:t>Electricity retail market fee (formally Full retail contestability fee) (fixed)</w:t>
            </w:r>
          </w:p>
        </w:tc>
        <w:tc>
          <w:tcPr>
            <w:tcW w:w="1249" w:type="pct"/>
            <w:hideMark/>
          </w:tcPr>
          <w:p w14:paraId="7205E152" w14:textId="0EA6471C" w:rsidR="00BC4D7C" w:rsidRPr="007F29D0" w:rsidRDefault="00BC4D7C" w:rsidP="00BC4D7C">
            <w:pPr>
              <w:pStyle w:val="TableBody"/>
              <w:keepNext/>
            </w:pPr>
            <w:r w:rsidRPr="007F29D0">
              <w:t>$</w:t>
            </w:r>
            <w:r w:rsidR="008C04F4" w:rsidRPr="007F29D0">
              <w:t>2.26</w:t>
            </w:r>
            <w:r w:rsidRPr="007F29D0">
              <w:t>/customer</w:t>
            </w:r>
          </w:p>
        </w:tc>
      </w:tr>
      <w:tr w:rsidR="00BC4D7C" w:rsidRPr="007F29D0" w14:paraId="2CC18B12" w14:textId="77777777" w:rsidTr="00904C45">
        <w:trPr>
          <w:cnfStyle w:val="000000100000" w:firstRow="0" w:lastRow="0" w:firstColumn="0" w:lastColumn="0" w:oddVBand="0" w:evenVBand="0" w:oddHBand="1" w:evenHBand="0" w:firstRowFirstColumn="0" w:firstRowLastColumn="0" w:lastRowFirstColumn="0" w:lastRowLastColumn="0"/>
          <w:trHeight w:val="268"/>
        </w:trPr>
        <w:tc>
          <w:tcPr>
            <w:tcW w:w="3751" w:type="pct"/>
            <w:hideMark/>
          </w:tcPr>
          <w:p w14:paraId="7035588E" w14:textId="1F11D6FC" w:rsidR="00BC4D7C" w:rsidRPr="007F29D0" w:rsidRDefault="00BC4D7C" w:rsidP="00BC4D7C">
            <w:pPr>
              <w:pStyle w:val="TableBody"/>
              <w:keepNext/>
            </w:pPr>
            <w:r w:rsidRPr="007F29D0">
              <w:t xml:space="preserve">IT Upgrade and </w:t>
            </w:r>
            <w:r w:rsidR="00CA1870">
              <w:t>Five</w:t>
            </w:r>
            <w:r w:rsidRPr="007F29D0">
              <w:t>-minute and global settlement compliance fees</w:t>
            </w:r>
          </w:p>
        </w:tc>
        <w:tc>
          <w:tcPr>
            <w:tcW w:w="1249" w:type="pct"/>
            <w:hideMark/>
          </w:tcPr>
          <w:p w14:paraId="49932364" w14:textId="6E97557F" w:rsidR="00BC4D7C" w:rsidRPr="007F29D0" w:rsidRDefault="00BC4D7C" w:rsidP="00BC4D7C">
            <w:pPr>
              <w:pStyle w:val="TableBody"/>
              <w:keepNext/>
            </w:pPr>
            <w:r w:rsidRPr="007F29D0">
              <w:rPr>
                <w:lang w:val="en-AU"/>
              </w:rPr>
              <w:t>$</w:t>
            </w:r>
            <w:r w:rsidR="008C04F4" w:rsidRPr="007F29D0">
              <w:rPr>
                <w:lang w:val="en-AU"/>
              </w:rPr>
              <w:t>0.11</w:t>
            </w:r>
            <w:r w:rsidRPr="007F29D0">
              <w:rPr>
                <w:lang w:val="en-AU"/>
              </w:rPr>
              <w:t>/MWh</w:t>
            </w:r>
          </w:p>
        </w:tc>
      </w:tr>
      <w:tr w:rsidR="00BC4D7C" w:rsidRPr="007F29D0" w14:paraId="6E56CFC3" w14:textId="77777777" w:rsidTr="00904C45">
        <w:trPr>
          <w:cnfStyle w:val="000000010000" w:firstRow="0" w:lastRow="0" w:firstColumn="0" w:lastColumn="0" w:oddVBand="0" w:evenVBand="0" w:oddHBand="0" w:evenHBand="1" w:firstRowFirstColumn="0" w:firstRowLastColumn="0" w:lastRowFirstColumn="0" w:lastRowLastColumn="0"/>
          <w:trHeight w:val="675"/>
        </w:trPr>
        <w:tc>
          <w:tcPr>
            <w:tcW w:w="3751" w:type="pct"/>
          </w:tcPr>
          <w:p w14:paraId="1800FFEB" w14:textId="6C486CC7" w:rsidR="00BC4D7C" w:rsidRPr="007F29D0" w:rsidRDefault="00BC4D7C" w:rsidP="00BC4D7C">
            <w:pPr>
              <w:pStyle w:val="TableBody"/>
              <w:keepNext/>
            </w:pPr>
            <w:r w:rsidRPr="007F29D0">
              <w:t xml:space="preserve">IT Upgrade and </w:t>
            </w:r>
            <w:r w:rsidR="00CA1870">
              <w:t>Five</w:t>
            </w:r>
            <w:r w:rsidRPr="007F29D0">
              <w:t>-minute and global settlement compliance fees (fixed)</w:t>
            </w:r>
          </w:p>
        </w:tc>
        <w:tc>
          <w:tcPr>
            <w:tcW w:w="1249" w:type="pct"/>
          </w:tcPr>
          <w:p w14:paraId="79668DB2" w14:textId="4999C08D" w:rsidR="00BC4D7C" w:rsidRPr="007F29D0" w:rsidRDefault="00BC4D7C" w:rsidP="00BC4D7C">
            <w:pPr>
              <w:pStyle w:val="TableBody"/>
              <w:keepNext/>
            </w:pPr>
            <w:r w:rsidRPr="007F29D0">
              <w:t>$</w:t>
            </w:r>
            <w:r w:rsidR="008C04F4" w:rsidRPr="007F29D0">
              <w:t>1.82</w:t>
            </w:r>
            <w:r w:rsidRPr="007F29D0">
              <w:t>/customer</w:t>
            </w:r>
          </w:p>
        </w:tc>
      </w:tr>
      <w:tr w:rsidR="00BC4D7C" w:rsidRPr="007F29D0" w14:paraId="72819CFD"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hideMark/>
          </w:tcPr>
          <w:p w14:paraId="136D4D79" w14:textId="77777777" w:rsidR="00BC4D7C" w:rsidRPr="007F29D0" w:rsidRDefault="00BC4D7C" w:rsidP="00BC4D7C">
            <w:pPr>
              <w:pStyle w:val="TableBody"/>
              <w:keepNext/>
            </w:pPr>
            <w:r w:rsidRPr="007F29D0">
              <w:t>Distributed energy resources integration program fees</w:t>
            </w:r>
          </w:p>
        </w:tc>
        <w:tc>
          <w:tcPr>
            <w:tcW w:w="1249" w:type="pct"/>
            <w:hideMark/>
          </w:tcPr>
          <w:p w14:paraId="6341E882" w14:textId="584B73ED" w:rsidR="00BC4D7C" w:rsidRPr="007F29D0" w:rsidRDefault="00BC4D7C" w:rsidP="00BC4D7C">
            <w:pPr>
              <w:pStyle w:val="TableBody"/>
              <w:keepNext/>
            </w:pPr>
            <w:r w:rsidRPr="007F29D0">
              <w:rPr>
                <w:lang w:val="en-AU"/>
              </w:rPr>
              <w:t>$</w:t>
            </w:r>
            <w:r w:rsidR="008C04F4" w:rsidRPr="007F29D0">
              <w:rPr>
                <w:lang w:val="en-AU"/>
              </w:rPr>
              <w:t>0.04</w:t>
            </w:r>
            <w:r w:rsidRPr="007F29D0">
              <w:rPr>
                <w:lang w:val="en-AU"/>
              </w:rPr>
              <w:t>/MWh</w:t>
            </w:r>
          </w:p>
        </w:tc>
      </w:tr>
      <w:tr w:rsidR="00BC4D7C" w:rsidRPr="007F29D0" w14:paraId="132424AE"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717086F9" w14:textId="572A37BA" w:rsidR="00BC4D7C" w:rsidRPr="007F29D0" w:rsidRDefault="00BC4D7C" w:rsidP="00BC4D7C">
            <w:pPr>
              <w:pStyle w:val="TableBody"/>
              <w:keepNext/>
            </w:pPr>
            <w:r w:rsidRPr="007F29D0">
              <w:t>Distributed energy resources integration program fees (fixed)</w:t>
            </w:r>
          </w:p>
        </w:tc>
        <w:tc>
          <w:tcPr>
            <w:tcW w:w="1249" w:type="pct"/>
          </w:tcPr>
          <w:p w14:paraId="04F70269" w14:textId="3C142CD3" w:rsidR="00BC4D7C" w:rsidRPr="007F29D0" w:rsidRDefault="00BC4D7C" w:rsidP="00BC4D7C">
            <w:pPr>
              <w:pStyle w:val="TableBody"/>
              <w:keepNext/>
            </w:pPr>
            <w:r w:rsidRPr="007F29D0">
              <w:t>$</w:t>
            </w:r>
            <w:r w:rsidR="00C7426A" w:rsidRPr="007F29D0">
              <w:t>0.65</w:t>
            </w:r>
            <w:r w:rsidRPr="007F29D0">
              <w:t>/customer</w:t>
            </w:r>
          </w:p>
        </w:tc>
      </w:tr>
      <w:tr w:rsidR="00BC4D7C" w:rsidRPr="007F29D0" w14:paraId="5EC69665"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hideMark/>
          </w:tcPr>
          <w:p w14:paraId="6C9FD2F7" w14:textId="277A1931" w:rsidR="00BC4D7C" w:rsidRPr="007F29D0" w:rsidRDefault="00BC4D7C" w:rsidP="00BC4D7C">
            <w:pPr>
              <w:pStyle w:val="TableBody"/>
              <w:keepNext/>
            </w:pPr>
            <w:r w:rsidRPr="007F29D0">
              <w:t>Energy Consumers Australia (fixed)</w:t>
            </w:r>
          </w:p>
        </w:tc>
        <w:tc>
          <w:tcPr>
            <w:tcW w:w="1249" w:type="pct"/>
            <w:hideMark/>
          </w:tcPr>
          <w:p w14:paraId="4A6D50EE" w14:textId="06FF6FF0" w:rsidR="00BC4D7C" w:rsidRPr="007F29D0" w:rsidRDefault="00BC4D7C" w:rsidP="00BC4D7C">
            <w:pPr>
              <w:pStyle w:val="TableBody"/>
              <w:keepNext/>
            </w:pPr>
            <w:r w:rsidRPr="007F29D0">
              <w:t>$</w:t>
            </w:r>
            <w:r w:rsidR="00C7426A" w:rsidRPr="007F29D0">
              <w:t>1.07</w:t>
            </w:r>
            <w:r w:rsidRPr="007F29D0">
              <w:t>/customer</w:t>
            </w:r>
          </w:p>
        </w:tc>
      </w:tr>
      <w:tr w:rsidR="00BC4D7C" w:rsidRPr="007F29D0" w14:paraId="07BA0EC9" w14:textId="77777777" w:rsidTr="00904C45">
        <w:trPr>
          <w:cnfStyle w:val="000000010000" w:firstRow="0" w:lastRow="0" w:firstColumn="0" w:lastColumn="0" w:oddVBand="0" w:evenVBand="0" w:oddHBand="0" w:evenHBand="1" w:firstRowFirstColumn="0" w:firstRowLastColumn="0" w:lastRowFirstColumn="0" w:lastRowLastColumn="0"/>
          <w:trHeight w:val="300"/>
        </w:trPr>
        <w:tc>
          <w:tcPr>
            <w:tcW w:w="3751" w:type="pct"/>
          </w:tcPr>
          <w:p w14:paraId="03849C07" w14:textId="3FDF908B" w:rsidR="00BC4D7C" w:rsidRPr="007F29D0" w:rsidRDefault="00BC4D7C" w:rsidP="00BC4D7C">
            <w:pPr>
              <w:pStyle w:val="TableBody"/>
              <w:keepNext/>
            </w:pPr>
            <w:r w:rsidRPr="007F29D0">
              <w:t xml:space="preserve">Total per MWh: </w:t>
            </w:r>
          </w:p>
        </w:tc>
        <w:tc>
          <w:tcPr>
            <w:tcW w:w="1249" w:type="pct"/>
          </w:tcPr>
          <w:p w14:paraId="11626B46" w14:textId="55168460" w:rsidR="00BC4D7C" w:rsidRPr="007F29D0" w:rsidRDefault="00BC4D7C" w:rsidP="00BC4D7C">
            <w:pPr>
              <w:pStyle w:val="TableBody"/>
              <w:keepNext/>
            </w:pPr>
            <w:r w:rsidRPr="007F29D0">
              <w:rPr>
                <w:lang w:val="en-AU"/>
              </w:rPr>
              <w:t>$</w:t>
            </w:r>
            <w:r w:rsidR="00C7426A" w:rsidRPr="007F29D0">
              <w:rPr>
                <w:lang w:val="en-AU"/>
              </w:rPr>
              <w:t>1.18</w:t>
            </w:r>
            <w:r w:rsidRPr="007F29D0">
              <w:rPr>
                <w:lang w:val="en-AU"/>
              </w:rPr>
              <w:t>/MWh</w:t>
            </w:r>
          </w:p>
        </w:tc>
      </w:tr>
      <w:tr w:rsidR="00BC4D7C" w:rsidRPr="00377F6D" w14:paraId="23FC1818" w14:textId="77777777" w:rsidTr="00904C45">
        <w:trPr>
          <w:cnfStyle w:val="000000100000" w:firstRow="0" w:lastRow="0" w:firstColumn="0" w:lastColumn="0" w:oddVBand="0" w:evenVBand="0" w:oddHBand="1" w:evenHBand="0" w:firstRowFirstColumn="0" w:firstRowLastColumn="0" w:lastRowFirstColumn="0" w:lastRowLastColumn="0"/>
          <w:trHeight w:val="300"/>
        </w:trPr>
        <w:tc>
          <w:tcPr>
            <w:tcW w:w="3751" w:type="pct"/>
            <w:hideMark/>
          </w:tcPr>
          <w:p w14:paraId="07D5EAE6" w14:textId="57A3A732" w:rsidR="00BC4D7C" w:rsidRPr="007F29D0" w:rsidRDefault="00BC4D7C" w:rsidP="00BC4D7C">
            <w:pPr>
              <w:pStyle w:val="TableBold"/>
              <w:keepNext/>
            </w:pPr>
            <w:r w:rsidRPr="007F29D0">
              <w:t xml:space="preserve">Total per customer: </w:t>
            </w:r>
          </w:p>
        </w:tc>
        <w:tc>
          <w:tcPr>
            <w:tcW w:w="1249" w:type="pct"/>
            <w:hideMark/>
          </w:tcPr>
          <w:p w14:paraId="34A11DAC" w14:textId="76C9ECA6" w:rsidR="00BC4D7C" w:rsidRPr="007F29D0" w:rsidRDefault="00BC4D7C" w:rsidP="00BC4D7C">
            <w:pPr>
              <w:pStyle w:val="TableBold"/>
              <w:keepNext/>
            </w:pPr>
            <w:hyperlink r:id="rId43" w:anchor="RANGE!D127" w:history="1">
              <w:r w:rsidRPr="007F29D0" w:rsidDel="003F2C96">
                <w:t>$</w:t>
              </w:r>
              <w:r w:rsidR="00C7426A" w:rsidRPr="007F29D0">
                <w:t>15.96</w:t>
              </w:r>
              <w:r w:rsidRPr="007F29D0">
                <w:t xml:space="preserve">/customer </w:t>
              </w:r>
            </w:hyperlink>
            <w:r w:rsidRPr="007F29D0">
              <w:rPr>
                <w:rStyle w:val="FootnoteReference"/>
              </w:rPr>
              <w:footnoteReference w:id="181"/>
            </w:r>
          </w:p>
        </w:tc>
      </w:tr>
    </w:tbl>
    <w:p w14:paraId="74513E89" w14:textId="77777777" w:rsidR="00275412" w:rsidRDefault="00275412" w:rsidP="005C6E04">
      <w:pPr>
        <w:sectPr w:rsidR="00275412" w:rsidSect="00806DE8">
          <w:headerReference w:type="even" r:id="rId44"/>
          <w:footerReference w:type="default" r:id="rId45"/>
          <w:headerReference w:type="first" r:id="rId46"/>
          <w:pgSz w:w="11906" w:h="16838" w:code="9"/>
          <w:pgMar w:top="1134" w:right="1134" w:bottom="1134" w:left="1134" w:header="709" w:footer="692" w:gutter="0"/>
          <w:cols w:space="708"/>
          <w:docGrid w:linePitch="360"/>
        </w:sectPr>
      </w:pPr>
    </w:p>
    <w:p w14:paraId="432ECA73" w14:textId="4BD5A492" w:rsidR="00C47364" w:rsidRPr="002E5DDE" w:rsidRDefault="007C6DBF" w:rsidP="009252C8">
      <w:pPr>
        <w:pStyle w:val="Heading1"/>
      </w:pPr>
      <w:bookmarkStart w:id="193" w:name="_Ref188877844"/>
      <w:bookmarkStart w:id="194" w:name="_Toc191027410"/>
      <w:bookmarkStart w:id="195" w:name="_Toc198808348"/>
      <w:r w:rsidRPr="002E5DDE">
        <w:lastRenderedPageBreak/>
        <w:t xml:space="preserve">Appendix B: Network tariffs in the </w:t>
      </w:r>
      <w:r w:rsidR="000002E1" w:rsidRPr="002E5DDE">
        <w:t>cost stack</w:t>
      </w:r>
      <w:bookmarkEnd w:id="193"/>
      <w:bookmarkEnd w:id="194"/>
      <w:bookmarkEnd w:id="195"/>
    </w:p>
    <w:p w14:paraId="2E765252" w14:textId="5E8BD1DE" w:rsidR="00C32566" w:rsidRPr="002E5DDE" w:rsidRDefault="00C32566" w:rsidP="00610F02">
      <w:pPr>
        <w:pStyle w:val="Figure-Table-BoxHeading"/>
      </w:pPr>
      <w:r w:rsidRPr="002E5DDE">
        <w:t>Table B.</w:t>
      </w:r>
      <w:r w:rsidRPr="002E5DDE">
        <w:fldChar w:fldCharType="begin"/>
      </w:r>
      <w:r w:rsidRPr="002E5DDE">
        <w:instrText>SEQ Table \* ARABIC</w:instrText>
      </w:r>
      <w:r w:rsidRPr="002E5DDE">
        <w:fldChar w:fldCharType="separate"/>
      </w:r>
      <w:r w:rsidR="003E1323">
        <w:rPr>
          <w:noProof/>
        </w:rPr>
        <w:t>1</w:t>
      </w:r>
      <w:r w:rsidRPr="002E5DDE">
        <w:fldChar w:fldCharType="end"/>
      </w:r>
      <w:r w:rsidRPr="002E5DDE">
        <w:t xml:space="preserve">: Single network tariff categories </w:t>
      </w:r>
    </w:p>
    <w:tbl>
      <w:tblPr>
        <w:tblW w:w="0" w:type="auto"/>
        <w:tblInd w:w="90" w:type="dxa"/>
        <w:tblCellMar>
          <w:left w:w="0" w:type="dxa"/>
          <w:right w:w="0" w:type="dxa"/>
        </w:tblCellMar>
        <w:tblLook w:val="04A0" w:firstRow="1" w:lastRow="0" w:firstColumn="1" w:lastColumn="0" w:noHBand="0" w:noVBand="1"/>
      </w:tblPr>
      <w:tblGrid>
        <w:gridCol w:w="2037"/>
        <w:gridCol w:w="3855"/>
        <w:gridCol w:w="3656"/>
      </w:tblGrid>
      <w:tr w:rsidR="00C32566" w:rsidRPr="002E5DDE" w14:paraId="0D621DFA" w14:textId="77777777" w:rsidTr="00DA436D">
        <w:trPr>
          <w:tblHeader/>
        </w:trPr>
        <w:tc>
          <w:tcPr>
            <w:tcW w:w="2037" w:type="dxa"/>
            <w:tcBorders>
              <w:bottom w:val="single" w:sz="8" w:space="0" w:color="FFFFFF"/>
            </w:tcBorders>
            <w:shd w:val="clear" w:color="auto" w:fill="4986A0"/>
            <w:tcMar>
              <w:top w:w="90" w:type="dxa"/>
              <w:left w:w="90" w:type="dxa"/>
              <w:bottom w:w="85" w:type="dxa"/>
              <w:right w:w="62" w:type="dxa"/>
            </w:tcMar>
            <w:hideMark/>
          </w:tcPr>
          <w:p w14:paraId="0C40DE32" w14:textId="77777777" w:rsidR="00C32566" w:rsidRPr="00610F02" w:rsidRDefault="00C32566" w:rsidP="00610F02">
            <w:pPr>
              <w:pStyle w:val="TableBold"/>
              <w:rPr>
                <w:color w:val="FFFFFF" w:themeColor="background1"/>
              </w:rPr>
            </w:pPr>
            <w:r w:rsidRPr="00610F02">
              <w:rPr>
                <w:color w:val="FFFFFF" w:themeColor="background1"/>
              </w:rPr>
              <w:t>Distribution zone</w:t>
            </w:r>
          </w:p>
        </w:tc>
        <w:tc>
          <w:tcPr>
            <w:tcW w:w="3855" w:type="dxa"/>
            <w:tcBorders>
              <w:bottom w:val="single" w:sz="8" w:space="0" w:color="FFFFFF"/>
            </w:tcBorders>
            <w:shd w:val="clear" w:color="auto" w:fill="4986A0"/>
            <w:tcMar>
              <w:top w:w="90" w:type="dxa"/>
              <w:left w:w="90" w:type="dxa"/>
              <w:bottom w:w="85" w:type="dxa"/>
              <w:right w:w="62" w:type="dxa"/>
            </w:tcMar>
            <w:hideMark/>
          </w:tcPr>
          <w:p w14:paraId="2F98E5CD" w14:textId="77777777" w:rsidR="00C32566" w:rsidRPr="00610F02" w:rsidRDefault="00C32566" w:rsidP="00610F02">
            <w:pPr>
              <w:pStyle w:val="TableBold"/>
              <w:rPr>
                <w:color w:val="FFFFFF" w:themeColor="background1"/>
              </w:rPr>
            </w:pPr>
            <w:r w:rsidRPr="00610F02">
              <w:rPr>
                <w:color w:val="FFFFFF" w:themeColor="background1"/>
              </w:rPr>
              <w:t>Domestic tariff</w:t>
            </w:r>
          </w:p>
        </w:tc>
        <w:tc>
          <w:tcPr>
            <w:tcW w:w="3656" w:type="dxa"/>
            <w:tcBorders>
              <w:bottom w:val="single" w:sz="8" w:space="0" w:color="FFFFFF"/>
            </w:tcBorders>
            <w:shd w:val="clear" w:color="auto" w:fill="4986A0"/>
            <w:tcMar>
              <w:top w:w="90" w:type="dxa"/>
              <w:left w:w="90" w:type="dxa"/>
              <w:bottom w:w="85" w:type="dxa"/>
              <w:right w:w="62" w:type="dxa"/>
            </w:tcMar>
            <w:hideMark/>
          </w:tcPr>
          <w:p w14:paraId="17B4C7CF" w14:textId="77777777" w:rsidR="00C32566" w:rsidRPr="00610F02" w:rsidRDefault="00C32566" w:rsidP="00610F02">
            <w:pPr>
              <w:pStyle w:val="TableBold"/>
              <w:rPr>
                <w:color w:val="FFFFFF" w:themeColor="background1"/>
              </w:rPr>
            </w:pPr>
            <w:r w:rsidRPr="00610F02">
              <w:rPr>
                <w:color w:val="FFFFFF" w:themeColor="background1"/>
              </w:rPr>
              <w:t>Small business tariff</w:t>
            </w:r>
          </w:p>
        </w:tc>
      </w:tr>
      <w:tr w:rsidR="00C32566" w:rsidRPr="002E5DDE" w14:paraId="177B3475" w14:textId="77777777" w:rsidTr="00DA436D">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824C821" w14:textId="79F09C47" w:rsidR="00C32566" w:rsidRPr="002E5DDE" w:rsidRDefault="00871D0B" w:rsidP="00610F02">
            <w:pPr>
              <w:pStyle w:val="TableBody"/>
            </w:pPr>
            <w:r>
              <w:t>AusNet</w:t>
            </w:r>
            <w:r w:rsidR="00C32566" w:rsidRPr="002E5DDE">
              <w:t xml:space="preserve"> Services</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61E5855" w14:textId="77777777" w:rsidR="00C32566" w:rsidRPr="002E5DDE" w:rsidRDefault="00C32566" w:rsidP="00610F02">
            <w:pPr>
              <w:pStyle w:val="TableBody"/>
            </w:pPr>
            <w:r w:rsidRPr="002E5DDE">
              <w:t>Small residential single rate, NEE11</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552F6D26" w14:textId="77777777" w:rsidR="00C32566" w:rsidRPr="002E5DDE" w:rsidRDefault="00C32566" w:rsidP="00610F02">
            <w:pPr>
              <w:pStyle w:val="TableBody"/>
            </w:pPr>
            <w:r w:rsidRPr="002E5DDE">
              <w:t>Small business single rate, NEE12</w:t>
            </w:r>
          </w:p>
        </w:tc>
      </w:tr>
      <w:tr w:rsidR="00C32566" w:rsidRPr="002E5DDE" w14:paraId="2D4D1F44" w14:textId="77777777" w:rsidTr="00DA436D">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C982453" w14:textId="37F99ADD" w:rsidR="00C32566" w:rsidRPr="002E5DDE" w:rsidRDefault="00871D0B" w:rsidP="00610F02">
            <w:pPr>
              <w:pStyle w:val="TableBody"/>
            </w:pPr>
            <w:r>
              <w:t>CitiPower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3B66A5B" w14:textId="77777777" w:rsidR="00C32566" w:rsidRPr="002E5DDE" w:rsidRDefault="00C32566" w:rsidP="00610F02">
            <w:pPr>
              <w:pStyle w:val="TableBody"/>
            </w:pPr>
            <w:r w:rsidRPr="002E5DDE">
              <w:t>Residential single rate, C1R</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81AF59C" w14:textId="77777777" w:rsidR="00C32566" w:rsidRPr="002E5DDE" w:rsidRDefault="00C32566" w:rsidP="00610F02">
            <w:pPr>
              <w:pStyle w:val="TableBody"/>
            </w:pPr>
            <w:r w:rsidRPr="002E5DDE">
              <w:t>Small business single rate, C1G</w:t>
            </w:r>
          </w:p>
        </w:tc>
      </w:tr>
      <w:tr w:rsidR="00C32566" w:rsidRPr="002E5DDE" w14:paraId="66568689" w14:textId="77777777" w:rsidTr="00DA436D">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2B53306" w14:textId="77777777" w:rsidR="00C32566" w:rsidRPr="002E5DDE" w:rsidRDefault="00C32566" w:rsidP="00610F02">
            <w:pPr>
              <w:pStyle w:val="TableBody"/>
            </w:pPr>
            <w:r w:rsidRPr="002E5DDE">
              <w:t>Jemena</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7C730CF2" w14:textId="77777777" w:rsidR="00C32566" w:rsidRPr="002E5DDE" w:rsidRDefault="00C32566" w:rsidP="00610F02">
            <w:pPr>
              <w:pStyle w:val="TableBody"/>
            </w:pPr>
            <w:r w:rsidRPr="002E5DDE">
              <w:t>Residential single rate, A100/F100</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64C4A0B7" w14:textId="77777777" w:rsidR="00C32566" w:rsidRPr="002E5DDE" w:rsidRDefault="00C32566" w:rsidP="00610F02">
            <w:pPr>
              <w:pStyle w:val="TableBody"/>
            </w:pPr>
            <w:r w:rsidRPr="002E5DDE">
              <w:t>Small business single rate, A200/F200</w:t>
            </w:r>
          </w:p>
        </w:tc>
      </w:tr>
      <w:tr w:rsidR="00C32566" w:rsidRPr="002E5DDE" w14:paraId="35729650" w14:textId="77777777" w:rsidTr="00DA436D">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07431DA" w14:textId="77777777" w:rsidR="00C32566" w:rsidRPr="002E5DDE" w:rsidRDefault="00C32566" w:rsidP="00610F02">
            <w:pPr>
              <w:pStyle w:val="TableBody"/>
            </w:pPr>
            <w:r w:rsidRPr="002E5DDE">
              <w:t>Powercor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4A94A3E" w14:textId="77777777" w:rsidR="00C32566" w:rsidRPr="002E5DDE" w:rsidRDefault="00C32566" w:rsidP="00610F02">
            <w:pPr>
              <w:pStyle w:val="TableBody"/>
            </w:pPr>
            <w:r w:rsidRPr="002E5DDE">
              <w:t>Residential single rate, D1</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0D920265" w14:textId="77777777" w:rsidR="00C32566" w:rsidRPr="002E5DDE" w:rsidRDefault="00C32566" w:rsidP="00610F02">
            <w:pPr>
              <w:pStyle w:val="TableBody"/>
            </w:pPr>
            <w:r w:rsidRPr="002E5DDE">
              <w:t>Small business single rate, ND1</w:t>
            </w:r>
          </w:p>
        </w:tc>
      </w:tr>
      <w:tr w:rsidR="00C32566" w:rsidRPr="002E5DDE" w14:paraId="1D424B10" w14:textId="77777777" w:rsidTr="00DA436D">
        <w:tc>
          <w:tcPr>
            <w:tcW w:w="2037" w:type="dxa"/>
            <w:tcBorders>
              <w:top w:val="single" w:sz="8" w:space="0" w:color="FFFFFF"/>
            </w:tcBorders>
            <w:shd w:val="clear" w:color="auto" w:fill="F2F2F2"/>
            <w:tcMar>
              <w:top w:w="85" w:type="dxa"/>
              <w:left w:w="90" w:type="dxa"/>
              <w:bottom w:w="90" w:type="dxa"/>
              <w:right w:w="62" w:type="dxa"/>
            </w:tcMar>
            <w:hideMark/>
          </w:tcPr>
          <w:p w14:paraId="07FD48B1" w14:textId="77777777" w:rsidR="00C32566" w:rsidRPr="002E5DDE" w:rsidRDefault="00C32566" w:rsidP="00610F02">
            <w:pPr>
              <w:pStyle w:val="TableBody"/>
            </w:pPr>
            <w:r w:rsidRPr="002E5DDE">
              <w:t>United Energy</w:t>
            </w:r>
          </w:p>
        </w:tc>
        <w:tc>
          <w:tcPr>
            <w:tcW w:w="3855" w:type="dxa"/>
            <w:tcBorders>
              <w:top w:val="single" w:sz="8" w:space="0" w:color="FFFFFF"/>
            </w:tcBorders>
            <w:shd w:val="clear" w:color="auto" w:fill="F2F2F2"/>
            <w:tcMar>
              <w:top w:w="85" w:type="dxa"/>
              <w:left w:w="90" w:type="dxa"/>
              <w:bottom w:w="90" w:type="dxa"/>
              <w:right w:w="62" w:type="dxa"/>
            </w:tcMar>
            <w:hideMark/>
          </w:tcPr>
          <w:p w14:paraId="1ADA68AC" w14:textId="77777777" w:rsidR="00C32566" w:rsidRPr="002E5DDE" w:rsidRDefault="00C32566" w:rsidP="00610F02">
            <w:pPr>
              <w:pStyle w:val="TableBody"/>
            </w:pPr>
            <w:r w:rsidRPr="002E5DDE">
              <w:t>Residential single rate, LVS1R</w:t>
            </w:r>
          </w:p>
        </w:tc>
        <w:tc>
          <w:tcPr>
            <w:tcW w:w="3656" w:type="dxa"/>
            <w:tcBorders>
              <w:top w:val="single" w:sz="8" w:space="0" w:color="FFFFFF"/>
            </w:tcBorders>
            <w:shd w:val="clear" w:color="auto" w:fill="F2F2F2"/>
            <w:tcMar>
              <w:top w:w="85" w:type="dxa"/>
              <w:left w:w="90" w:type="dxa"/>
              <w:bottom w:w="90" w:type="dxa"/>
              <w:right w:w="62" w:type="dxa"/>
            </w:tcMar>
            <w:hideMark/>
          </w:tcPr>
          <w:p w14:paraId="47EE5511" w14:textId="77777777" w:rsidR="00C32566" w:rsidRPr="002E5DDE" w:rsidRDefault="00C32566" w:rsidP="00610F02">
            <w:pPr>
              <w:pStyle w:val="TableBody"/>
            </w:pPr>
            <w:r w:rsidRPr="002E5DDE">
              <w:t>Small business single rate, LVM1R</w:t>
            </w:r>
          </w:p>
        </w:tc>
      </w:tr>
    </w:tbl>
    <w:p w14:paraId="13466F25" w14:textId="77777777" w:rsidR="00C32566" w:rsidRPr="002E5DDE" w:rsidRDefault="00C32566" w:rsidP="00610F02">
      <w:pPr>
        <w:pStyle w:val="Figure-Table-BoxHeading"/>
      </w:pPr>
      <w:r w:rsidRPr="002E5DDE">
        <w:t>Table B.2: Two period time of use network tariff categories</w:t>
      </w:r>
    </w:p>
    <w:tbl>
      <w:tblPr>
        <w:tblW w:w="0" w:type="auto"/>
        <w:tblInd w:w="90" w:type="dxa"/>
        <w:tblCellMar>
          <w:left w:w="0" w:type="dxa"/>
          <w:right w:w="0" w:type="dxa"/>
        </w:tblCellMar>
        <w:tblLook w:val="04A0" w:firstRow="1" w:lastRow="0" w:firstColumn="1" w:lastColumn="0" w:noHBand="0" w:noVBand="1"/>
      </w:tblPr>
      <w:tblGrid>
        <w:gridCol w:w="2037"/>
        <w:gridCol w:w="3855"/>
        <w:gridCol w:w="3656"/>
      </w:tblGrid>
      <w:tr w:rsidR="00C32566" w:rsidRPr="002E5DDE" w14:paraId="2E28C0A8" w14:textId="77777777" w:rsidTr="00DA436D">
        <w:trPr>
          <w:tblHeader/>
        </w:trPr>
        <w:tc>
          <w:tcPr>
            <w:tcW w:w="2037" w:type="dxa"/>
            <w:tcBorders>
              <w:bottom w:val="single" w:sz="8" w:space="0" w:color="FFFFFF"/>
            </w:tcBorders>
            <w:shd w:val="clear" w:color="auto" w:fill="4986A0"/>
            <w:tcMar>
              <w:top w:w="90" w:type="dxa"/>
              <w:left w:w="90" w:type="dxa"/>
              <w:bottom w:w="85" w:type="dxa"/>
              <w:right w:w="62" w:type="dxa"/>
            </w:tcMar>
            <w:hideMark/>
          </w:tcPr>
          <w:p w14:paraId="1022991D" w14:textId="77777777" w:rsidR="00C32566" w:rsidRPr="00610F02" w:rsidRDefault="00C32566" w:rsidP="00610F02">
            <w:pPr>
              <w:pStyle w:val="TableBold"/>
              <w:rPr>
                <w:color w:val="FFFFFF" w:themeColor="background1"/>
              </w:rPr>
            </w:pPr>
            <w:r w:rsidRPr="00610F02">
              <w:rPr>
                <w:color w:val="FFFFFF" w:themeColor="background1"/>
              </w:rPr>
              <w:t>Distribution zone</w:t>
            </w:r>
          </w:p>
        </w:tc>
        <w:tc>
          <w:tcPr>
            <w:tcW w:w="3855" w:type="dxa"/>
            <w:tcBorders>
              <w:bottom w:val="single" w:sz="8" w:space="0" w:color="FFFFFF"/>
            </w:tcBorders>
            <w:shd w:val="clear" w:color="auto" w:fill="4986A0"/>
            <w:tcMar>
              <w:top w:w="90" w:type="dxa"/>
              <w:left w:w="90" w:type="dxa"/>
              <w:bottom w:w="85" w:type="dxa"/>
              <w:right w:w="62" w:type="dxa"/>
            </w:tcMar>
            <w:hideMark/>
          </w:tcPr>
          <w:p w14:paraId="1A58A9A1" w14:textId="77777777" w:rsidR="00C32566" w:rsidRPr="00610F02" w:rsidRDefault="00C32566" w:rsidP="00610F02">
            <w:pPr>
              <w:pStyle w:val="TableBold"/>
              <w:rPr>
                <w:color w:val="FFFFFF" w:themeColor="background1"/>
              </w:rPr>
            </w:pPr>
            <w:r w:rsidRPr="00610F02">
              <w:rPr>
                <w:color w:val="FFFFFF" w:themeColor="background1"/>
              </w:rPr>
              <w:t>Domestic tariff</w:t>
            </w:r>
          </w:p>
        </w:tc>
        <w:tc>
          <w:tcPr>
            <w:tcW w:w="3656" w:type="dxa"/>
            <w:tcBorders>
              <w:bottom w:val="single" w:sz="8" w:space="0" w:color="FFFFFF"/>
            </w:tcBorders>
            <w:shd w:val="clear" w:color="auto" w:fill="4986A0"/>
            <w:tcMar>
              <w:top w:w="90" w:type="dxa"/>
              <w:left w:w="90" w:type="dxa"/>
              <w:bottom w:w="85" w:type="dxa"/>
              <w:right w:w="62" w:type="dxa"/>
            </w:tcMar>
            <w:hideMark/>
          </w:tcPr>
          <w:p w14:paraId="567052E3" w14:textId="77777777" w:rsidR="00C32566" w:rsidRPr="00610F02" w:rsidRDefault="00C32566" w:rsidP="00610F02">
            <w:pPr>
              <w:pStyle w:val="TableBold"/>
              <w:rPr>
                <w:color w:val="FFFFFF" w:themeColor="background1"/>
              </w:rPr>
            </w:pPr>
            <w:r w:rsidRPr="00610F02">
              <w:rPr>
                <w:color w:val="FFFFFF" w:themeColor="background1"/>
              </w:rPr>
              <w:t>Small business tariff</w:t>
            </w:r>
          </w:p>
        </w:tc>
      </w:tr>
      <w:tr w:rsidR="00C32566" w:rsidRPr="002E5DDE" w14:paraId="1634430C" w14:textId="77777777" w:rsidTr="00DA436D">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6C73BFF9" w14:textId="3B790B25" w:rsidR="00C32566" w:rsidRPr="002E5DDE" w:rsidRDefault="00871D0B" w:rsidP="00610F02">
            <w:pPr>
              <w:pStyle w:val="TableBody"/>
            </w:pPr>
            <w:r>
              <w:t>AusNet</w:t>
            </w:r>
            <w:r w:rsidR="00C32566" w:rsidRPr="002E5DDE">
              <w:t xml:space="preserve"> Services</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2F98B695" w14:textId="77777777" w:rsidR="00C32566" w:rsidRPr="002E5DDE" w:rsidRDefault="00C32566" w:rsidP="00610F02">
            <w:pPr>
              <w:pStyle w:val="TableBody"/>
            </w:pPr>
            <w:r w:rsidRPr="002E5DDE">
              <w:t>Small residential time of use, NAST11</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10A1472D" w14:textId="77777777" w:rsidR="00C32566" w:rsidRPr="002E5DDE" w:rsidRDefault="00C32566" w:rsidP="00610F02">
            <w:pPr>
              <w:pStyle w:val="TableBody"/>
            </w:pPr>
            <w:r w:rsidRPr="002E5DDE">
              <w:t>Small business time of use, NAST12</w:t>
            </w:r>
          </w:p>
        </w:tc>
      </w:tr>
      <w:tr w:rsidR="00C32566" w:rsidRPr="002E5DDE" w14:paraId="3778AF96" w14:textId="77777777" w:rsidTr="00DA436D">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DFCD196" w14:textId="6CBC653E" w:rsidR="00C32566" w:rsidRPr="002E5DDE" w:rsidRDefault="00871D0B" w:rsidP="00610F02">
            <w:pPr>
              <w:pStyle w:val="TableBody"/>
            </w:pPr>
            <w:r>
              <w:t>CitiPower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17016A78" w14:textId="77777777" w:rsidR="00C32566" w:rsidRPr="002E5DDE" w:rsidRDefault="00C32566" w:rsidP="00610F02">
            <w:pPr>
              <w:pStyle w:val="TableBody"/>
            </w:pPr>
            <w:r w:rsidRPr="002E5DDE">
              <w:t>Residential TOU, CRTOU</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C5E448D" w14:textId="77777777" w:rsidR="00C32566" w:rsidRPr="002E5DDE" w:rsidRDefault="00C32566" w:rsidP="00610F02">
            <w:pPr>
              <w:pStyle w:val="TableBody"/>
            </w:pPr>
            <w:r w:rsidRPr="002E5DDE">
              <w:t>Small business TOU, CGTOU</w:t>
            </w:r>
          </w:p>
        </w:tc>
      </w:tr>
      <w:tr w:rsidR="00C32566" w:rsidRPr="002E5DDE" w14:paraId="10B08E6C" w14:textId="77777777" w:rsidTr="00DA436D">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2BF4E995" w14:textId="77777777" w:rsidR="00C32566" w:rsidRPr="002E5DDE" w:rsidRDefault="00C32566" w:rsidP="00610F02">
            <w:pPr>
              <w:pStyle w:val="TableBody"/>
            </w:pPr>
            <w:r w:rsidRPr="002E5DDE">
              <w:t>Jemena</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6DB1B5AB" w14:textId="77777777" w:rsidR="00C32566" w:rsidRPr="002E5DDE" w:rsidRDefault="00C32566" w:rsidP="00610F02">
            <w:pPr>
              <w:pStyle w:val="TableBody"/>
            </w:pPr>
            <w:r w:rsidRPr="002E5DDE">
              <w:t>Residential TOU, A120/F120</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55935855" w14:textId="77777777" w:rsidR="00C32566" w:rsidRPr="002E5DDE" w:rsidRDefault="00C32566" w:rsidP="00610F02">
            <w:pPr>
              <w:pStyle w:val="TableBody"/>
            </w:pPr>
            <w:r w:rsidRPr="002E5DDE">
              <w:t>Small business TOU weekdays, A210/F210</w:t>
            </w:r>
          </w:p>
        </w:tc>
      </w:tr>
      <w:tr w:rsidR="00C32566" w:rsidRPr="002E5DDE" w14:paraId="22617D71" w14:textId="77777777" w:rsidTr="00DA436D">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0547B08" w14:textId="77777777" w:rsidR="00C32566" w:rsidRPr="002E5DDE" w:rsidRDefault="00C32566" w:rsidP="00610F02">
            <w:pPr>
              <w:pStyle w:val="TableBody"/>
            </w:pPr>
            <w:r w:rsidRPr="002E5DDE">
              <w:t>Powercor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400CBC8" w14:textId="77777777" w:rsidR="00C32566" w:rsidRPr="002E5DDE" w:rsidRDefault="00C32566" w:rsidP="00610F02">
            <w:pPr>
              <w:pStyle w:val="TableBody"/>
            </w:pPr>
            <w:r w:rsidRPr="002E5DDE">
              <w:t>Residential TOU, PRTOU</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4D968462" w14:textId="77777777" w:rsidR="00C32566" w:rsidRPr="002E5DDE" w:rsidRDefault="00C32566" w:rsidP="00610F02">
            <w:pPr>
              <w:pStyle w:val="TableBody"/>
            </w:pPr>
            <w:r w:rsidRPr="002E5DDE">
              <w:t>Small business TOU, NDTOU</w:t>
            </w:r>
          </w:p>
        </w:tc>
      </w:tr>
      <w:tr w:rsidR="00C32566" w:rsidRPr="002E5DDE" w14:paraId="6A042EF3" w14:textId="77777777" w:rsidTr="00DA436D">
        <w:tc>
          <w:tcPr>
            <w:tcW w:w="2037" w:type="dxa"/>
            <w:tcBorders>
              <w:top w:val="single" w:sz="8" w:space="0" w:color="FFFFFF"/>
            </w:tcBorders>
            <w:shd w:val="clear" w:color="auto" w:fill="F2F2F2"/>
            <w:tcMar>
              <w:top w:w="85" w:type="dxa"/>
              <w:left w:w="90" w:type="dxa"/>
              <w:bottom w:w="90" w:type="dxa"/>
              <w:right w:w="62" w:type="dxa"/>
            </w:tcMar>
            <w:hideMark/>
          </w:tcPr>
          <w:p w14:paraId="111629BA" w14:textId="77777777" w:rsidR="00C32566" w:rsidRPr="002E5DDE" w:rsidRDefault="00C32566" w:rsidP="00610F02">
            <w:pPr>
              <w:pStyle w:val="TableBody"/>
            </w:pPr>
            <w:r w:rsidRPr="002E5DDE">
              <w:t>United Energy</w:t>
            </w:r>
          </w:p>
        </w:tc>
        <w:tc>
          <w:tcPr>
            <w:tcW w:w="3855" w:type="dxa"/>
            <w:tcBorders>
              <w:top w:val="single" w:sz="8" w:space="0" w:color="FFFFFF"/>
            </w:tcBorders>
            <w:shd w:val="clear" w:color="auto" w:fill="F2F2F2"/>
            <w:tcMar>
              <w:top w:w="85" w:type="dxa"/>
              <w:left w:w="90" w:type="dxa"/>
              <w:bottom w:w="90" w:type="dxa"/>
              <w:right w:w="62" w:type="dxa"/>
            </w:tcMar>
            <w:hideMark/>
          </w:tcPr>
          <w:p w14:paraId="1A4B7799" w14:textId="77777777" w:rsidR="00C32566" w:rsidRPr="002E5DDE" w:rsidRDefault="00C32566" w:rsidP="00610F02">
            <w:pPr>
              <w:pStyle w:val="TableBody"/>
            </w:pPr>
            <w:r w:rsidRPr="002E5DDE">
              <w:t>Residential TOU, URTOU</w:t>
            </w:r>
          </w:p>
        </w:tc>
        <w:tc>
          <w:tcPr>
            <w:tcW w:w="3656" w:type="dxa"/>
            <w:tcBorders>
              <w:top w:val="single" w:sz="8" w:space="0" w:color="FFFFFF"/>
            </w:tcBorders>
            <w:shd w:val="clear" w:color="auto" w:fill="F2F2F2"/>
            <w:tcMar>
              <w:top w:w="85" w:type="dxa"/>
              <w:left w:w="90" w:type="dxa"/>
              <w:bottom w:w="90" w:type="dxa"/>
              <w:right w:w="62" w:type="dxa"/>
            </w:tcMar>
            <w:hideMark/>
          </w:tcPr>
          <w:p w14:paraId="5C37F6CE" w14:textId="77777777" w:rsidR="00C32566" w:rsidRPr="002E5DDE" w:rsidRDefault="00C32566" w:rsidP="00610F02">
            <w:pPr>
              <w:pStyle w:val="TableBody"/>
            </w:pPr>
            <w:r w:rsidRPr="002E5DDE">
              <w:t>Small business TOU, LVTOU</w:t>
            </w:r>
          </w:p>
        </w:tc>
      </w:tr>
    </w:tbl>
    <w:p w14:paraId="3D8A129E" w14:textId="77777777" w:rsidR="00C32566" w:rsidRPr="002E5DDE" w:rsidRDefault="00C32566" w:rsidP="00044802">
      <w:pPr>
        <w:rPr>
          <w:lang w:val="en-US"/>
        </w:rPr>
      </w:pPr>
    </w:p>
    <w:p w14:paraId="74F91847" w14:textId="77777777" w:rsidR="00C32566" w:rsidRPr="002E5DDE" w:rsidRDefault="00C32566" w:rsidP="00C32566">
      <w:pPr>
        <w:spacing w:before="0" w:line="259" w:lineRule="auto"/>
        <w:rPr>
          <w:rFonts w:asciiTheme="majorHAnsi" w:eastAsiaTheme="majorEastAsia" w:hAnsiTheme="majorHAnsi" w:cstheme="majorBidi"/>
          <w:b/>
          <w:color w:val="4986A0" w:themeColor="text2"/>
          <w:szCs w:val="24"/>
          <w:lang w:val="en-US"/>
        </w:rPr>
      </w:pPr>
      <w:r w:rsidRPr="002E5DDE">
        <w:rPr>
          <w:rFonts w:asciiTheme="majorHAnsi" w:eastAsiaTheme="majorEastAsia" w:hAnsiTheme="majorHAnsi" w:cstheme="majorBidi"/>
          <w:b/>
          <w:color w:val="4986A0" w:themeColor="text2"/>
          <w:szCs w:val="24"/>
          <w:lang w:val="en-US"/>
        </w:rPr>
        <w:br w:type="page"/>
      </w:r>
    </w:p>
    <w:p w14:paraId="132556AE" w14:textId="77777777" w:rsidR="00C32566" w:rsidRPr="002E5DDE" w:rsidRDefault="00C32566" w:rsidP="00610F02">
      <w:pPr>
        <w:pStyle w:val="Figure-Table-BoxHeading"/>
      </w:pPr>
      <w:r w:rsidRPr="002E5DDE">
        <w:lastRenderedPageBreak/>
        <w:t>Table B.3: Controlled load network tariff categories</w:t>
      </w:r>
    </w:p>
    <w:tbl>
      <w:tblPr>
        <w:tblW w:w="4961" w:type="pct"/>
        <w:tblInd w:w="90" w:type="dxa"/>
        <w:tblCellMar>
          <w:left w:w="0" w:type="dxa"/>
          <w:right w:w="0" w:type="dxa"/>
        </w:tblCellMar>
        <w:tblLook w:val="04A0" w:firstRow="1" w:lastRow="0" w:firstColumn="1" w:lastColumn="0" w:noHBand="0" w:noVBand="1"/>
      </w:tblPr>
      <w:tblGrid>
        <w:gridCol w:w="2605"/>
        <w:gridCol w:w="6958"/>
      </w:tblGrid>
      <w:tr w:rsidR="00C32566" w:rsidRPr="002E5DDE" w14:paraId="42CA012F" w14:textId="77777777" w:rsidTr="6ADFC3C8">
        <w:trPr>
          <w:trHeight w:val="524"/>
          <w:tblHeader/>
        </w:trPr>
        <w:tc>
          <w:tcPr>
            <w:tcW w:w="1362" w:type="pct"/>
            <w:tcBorders>
              <w:bottom w:val="single" w:sz="8" w:space="0" w:color="FFFFFF" w:themeColor="background1"/>
            </w:tcBorders>
            <w:shd w:val="clear" w:color="auto" w:fill="4986A0" w:themeFill="accent3"/>
            <w:tcMar>
              <w:top w:w="90" w:type="dxa"/>
              <w:left w:w="90" w:type="dxa"/>
              <w:bottom w:w="85" w:type="dxa"/>
              <w:right w:w="62" w:type="dxa"/>
            </w:tcMar>
            <w:hideMark/>
          </w:tcPr>
          <w:p w14:paraId="1A7B007E" w14:textId="77777777" w:rsidR="00C32566" w:rsidRPr="002E5DDE" w:rsidRDefault="00C32566" w:rsidP="00DA436D">
            <w:pPr>
              <w:keepNext/>
              <w:spacing w:before="0" w:after="0"/>
              <w:rPr>
                <w:color w:val="000000"/>
              </w:rPr>
            </w:pPr>
            <w:r w:rsidRPr="002E5DDE">
              <w:rPr>
                <w:rFonts w:ascii="Arial" w:eastAsia="Arial" w:hAnsi="Arial" w:cs="Arial"/>
                <w:b/>
                <w:bCs/>
                <w:color w:val="FFFFFF"/>
              </w:rPr>
              <w:t>Distribution zone</w:t>
            </w:r>
          </w:p>
        </w:tc>
        <w:tc>
          <w:tcPr>
            <w:tcW w:w="3638" w:type="pct"/>
            <w:tcBorders>
              <w:bottom w:val="single" w:sz="8" w:space="0" w:color="FFFFFF" w:themeColor="background1"/>
            </w:tcBorders>
            <w:shd w:val="clear" w:color="auto" w:fill="4986A0" w:themeFill="accent3"/>
            <w:tcMar>
              <w:top w:w="90" w:type="dxa"/>
              <w:left w:w="90" w:type="dxa"/>
              <w:bottom w:w="85" w:type="dxa"/>
              <w:right w:w="62" w:type="dxa"/>
            </w:tcMar>
            <w:hideMark/>
          </w:tcPr>
          <w:p w14:paraId="7BCEACD9" w14:textId="77777777" w:rsidR="00C32566" w:rsidRPr="002E5DDE" w:rsidRDefault="00C32566" w:rsidP="00DA436D">
            <w:pPr>
              <w:keepNext/>
              <w:spacing w:before="0" w:after="0"/>
              <w:rPr>
                <w:color w:val="000000"/>
              </w:rPr>
            </w:pPr>
            <w:r w:rsidRPr="002E5DDE">
              <w:rPr>
                <w:rFonts w:ascii="Arial" w:eastAsia="Arial" w:hAnsi="Arial" w:cs="Arial"/>
                <w:b/>
                <w:bCs/>
                <w:color w:val="FFFFFF"/>
              </w:rPr>
              <w:t>Domestic controlled load or dedicated circuit tariff code</w:t>
            </w:r>
          </w:p>
        </w:tc>
      </w:tr>
      <w:tr w:rsidR="00C32566" w:rsidRPr="002E5DDE" w14:paraId="30385313" w14:textId="77777777" w:rsidTr="6ADFC3C8">
        <w:trPr>
          <w:trHeight w:val="298"/>
        </w:trPr>
        <w:tc>
          <w:tcPr>
            <w:tcW w:w="1362" w:type="pct"/>
            <w:tcBorders>
              <w:top w:val="single" w:sz="8" w:space="0" w:color="FFFFFF" w:themeColor="background1"/>
              <w:bottom w:val="single" w:sz="8" w:space="0" w:color="FFFFFF" w:themeColor="background1"/>
            </w:tcBorders>
            <w:shd w:val="clear" w:color="auto" w:fill="F2F2F2" w:themeFill="background1" w:themeFillShade="F2"/>
            <w:tcMar>
              <w:top w:w="85" w:type="dxa"/>
              <w:left w:w="90" w:type="dxa"/>
              <w:bottom w:w="85" w:type="dxa"/>
              <w:right w:w="62" w:type="dxa"/>
            </w:tcMar>
            <w:hideMark/>
          </w:tcPr>
          <w:p w14:paraId="5A9C47C2" w14:textId="6D662CED" w:rsidR="00C32566" w:rsidRPr="002E5DDE" w:rsidRDefault="00871D0B" w:rsidP="00610F02">
            <w:pPr>
              <w:pStyle w:val="TableBody"/>
            </w:pPr>
            <w:r w:rsidRPr="00441DFB">
              <w:t>AusNet</w:t>
            </w:r>
            <w:r w:rsidR="00C32566" w:rsidRPr="00441DFB">
              <w:t xml:space="preserve"> Services</w:t>
            </w:r>
          </w:p>
        </w:tc>
        <w:tc>
          <w:tcPr>
            <w:tcW w:w="3638" w:type="pct"/>
            <w:tcBorders>
              <w:top w:val="single" w:sz="8" w:space="0" w:color="FFFFFF" w:themeColor="background1"/>
              <w:bottom w:val="single" w:sz="8" w:space="0" w:color="FFFFFF" w:themeColor="background1"/>
            </w:tcBorders>
            <w:shd w:val="clear" w:color="auto" w:fill="F2F2F2" w:themeFill="background1" w:themeFillShade="F2"/>
            <w:tcMar>
              <w:top w:w="85" w:type="dxa"/>
              <w:left w:w="90" w:type="dxa"/>
              <w:bottom w:w="85" w:type="dxa"/>
              <w:right w:w="62" w:type="dxa"/>
            </w:tcMar>
            <w:hideMark/>
          </w:tcPr>
          <w:p w14:paraId="3879B598" w14:textId="77777777" w:rsidR="00C32566" w:rsidRPr="002E5DDE" w:rsidRDefault="00C32566" w:rsidP="00610F02">
            <w:pPr>
              <w:pStyle w:val="TableBody"/>
            </w:pPr>
            <w:r w:rsidRPr="00441DFB">
              <w:t>NEE13</w:t>
            </w:r>
          </w:p>
        </w:tc>
      </w:tr>
      <w:tr w:rsidR="00C32566" w:rsidRPr="002E5DDE" w14:paraId="46A1356A" w14:textId="77777777" w:rsidTr="6ADFC3C8">
        <w:trPr>
          <w:trHeight w:val="298"/>
        </w:trPr>
        <w:tc>
          <w:tcPr>
            <w:tcW w:w="1362" w:type="pct"/>
            <w:tcBorders>
              <w:top w:val="single" w:sz="8" w:space="0" w:color="FFFFFF" w:themeColor="background1"/>
              <w:bottom w:val="single" w:sz="8" w:space="0" w:color="FFFFFF" w:themeColor="background1"/>
            </w:tcBorders>
            <w:shd w:val="clear" w:color="auto" w:fill="E3E4E4"/>
            <w:tcMar>
              <w:top w:w="85" w:type="dxa"/>
              <w:left w:w="90" w:type="dxa"/>
              <w:bottom w:w="85" w:type="dxa"/>
              <w:right w:w="62" w:type="dxa"/>
            </w:tcMar>
            <w:hideMark/>
          </w:tcPr>
          <w:p w14:paraId="7BD7C4FC" w14:textId="125264FA" w:rsidR="00C32566" w:rsidRPr="002E5DDE" w:rsidRDefault="00871D0B" w:rsidP="00610F02">
            <w:pPr>
              <w:pStyle w:val="TableBody"/>
            </w:pPr>
            <w:r>
              <w:rPr>
                <w:rFonts w:ascii="Arial" w:eastAsia="Arial" w:hAnsi="Arial" w:cs="Arial"/>
              </w:rPr>
              <w:t>CitiPower</w:t>
            </w:r>
          </w:p>
        </w:tc>
        <w:tc>
          <w:tcPr>
            <w:tcW w:w="3638" w:type="pct"/>
            <w:tcBorders>
              <w:top w:val="single" w:sz="8" w:space="0" w:color="FFFFFF" w:themeColor="background1"/>
              <w:bottom w:val="single" w:sz="8" w:space="0" w:color="FFFFFF" w:themeColor="background1"/>
            </w:tcBorders>
            <w:shd w:val="clear" w:color="auto" w:fill="E3E4E4"/>
            <w:tcMar>
              <w:top w:w="85" w:type="dxa"/>
              <w:left w:w="90" w:type="dxa"/>
              <w:bottom w:w="85" w:type="dxa"/>
              <w:right w:w="62" w:type="dxa"/>
            </w:tcMar>
            <w:hideMark/>
          </w:tcPr>
          <w:p w14:paraId="1FACE385" w14:textId="77777777" w:rsidR="00C32566" w:rsidRPr="002E5DDE" w:rsidRDefault="00C32566" w:rsidP="00610F02">
            <w:pPr>
              <w:pStyle w:val="TableBody"/>
            </w:pPr>
            <w:r w:rsidRPr="002E5DDE">
              <w:rPr>
                <w:rFonts w:ascii="Arial" w:eastAsia="Arial" w:hAnsi="Arial" w:cs="Arial"/>
              </w:rPr>
              <w:t>CDS</w:t>
            </w:r>
          </w:p>
        </w:tc>
      </w:tr>
      <w:tr w:rsidR="00C32566" w:rsidRPr="002E5DDE" w14:paraId="71E1FD05" w14:textId="77777777" w:rsidTr="000D60CA">
        <w:trPr>
          <w:trHeight w:val="249"/>
        </w:trPr>
        <w:tc>
          <w:tcPr>
            <w:tcW w:w="1362" w:type="pct"/>
            <w:tcBorders>
              <w:top w:val="single" w:sz="8" w:space="0" w:color="FFFFFF" w:themeColor="background1"/>
              <w:bottom w:val="single" w:sz="8" w:space="0" w:color="FFFFFF" w:themeColor="background1"/>
            </w:tcBorders>
            <w:shd w:val="clear" w:color="auto" w:fill="F2F2F2" w:themeFill="background1" w:themeFillShade="F2"/>
            <w:tcMar>
              <w:top w:w="85" w:type="dxa"/>
              <w:left w:w="90" w:type="dxa"/>
              <w:bottom w:w="85" w:type="dxa"/>
              <w:right w:w="62" w:type="dxa"/>
            </w:tcMar>
            <w:hideMark/>
          </w:tcPr>
          <w:p w14:paraId="318B0404" w14:textId="77777777" w:rsidR="00C32566" w:rsidRPr="002E5DDE" w:rsidRDefault="00C32566" w:rsidP="00610F02">
            <w:pPr>
              <w:pStyle w:val="TableBody"/>
            </w:pPr>
            <w:r w:rsidRPr="00441DFB">
              <w:t>Jemena</w:t>
            </w:r>
          </w:p>
        </w:tc>
        <w:tc>
          <w:tcPr>
            <w:tcW w:w="3638" w:type="pct"/>
            <w:tcBorders>
              <w:top w:val="single" w:sz="8" w:space="0" w:color="FFFFFF" w:themeColor="background1"/>
              <w:bottom w:val="single" w:sz="8" w:space="0" w:color="FFFFFF" w:themeColor="background1"/>
            </w:tcBorders>
            <w:shd w:val="clear" w:color="auto" w:fill="F2F2F2" w:themeFill="background1" w:themeFillShade="F2"/>
            <w:tcMar>
              <w:top w:w="85" w:type="dxa"/>
              <w:left w:w="90" w:type="dxa"/>
              <w:bottom w:w="85" w:type="dxa"/>
              <w:right w:w="62" w:type="dxa"/>
            </w:tcMar>
            <w:hideMark/>
          </w:tcPr>
          <w:p w14:paraId="3D25E57F" w14:textId="77777777" w:rsidR="00C32566" w:rsidRPr="002E5DDE" w:rsidRDefault="00C32566" w:rsidP="00610F02">
            <w:pPr>
              <w:pStyle w:val="TableBody"/>
            </w:pPr>
            <w:r w:rsidRPr="00441DFB">
              <w:t>A180</w:t>
            </w:r>
          </w:p>
        </w:tc>
      </w:tr>
      <w:tr w:rsidR="00C32566" w:rsidRPr="002E5DDE" w14:paraId="4423FEF1" w14:textId="77777777" w:rsidTr="6ADFC3C8">
        <w:trPr>
          <w:trHeight w:val="298"/>
        </w:trPr>
        <w:tc>
          <w:tcPr>
            <w:tcW w:w="1362" w:type="pct"/>
            <w:tcBorders>
              <w:top w:val="single" w:sz="8" w:space="0" w:color="FFFFFF" w:themeColor="background1"/>
              <w:bottom w:val="single" w:sz="8" w:space="0" w:color="FFFFFF" w:themeColor="background1"/>
            </w:tcBorders>
            <w:shd w:val="clear" w:color="auto" w:fill="E3E4E4"/>
            <w:tcMar>
              <w:top w:w="85" w:type="dxa"/>
              <w:left w:w="90" w:type="dxa"/>
              <w:bottom w:w="85" w:type="dxa"/>
              <w:right w:w="62" w:type="dxa"/>
            </w:tcMar>
            <w:hideMark/>
          </w:tcPr>
          <w:p w14:paraId="05B49863" w14:textId="77777777" w:rsidR="00C32566" w:rsidRPr="002E5DDE" w:rsidRDefault="00C32566" w:rsidP="00610F02">
            <w:pPr>
              <w:pStyle w:val="TableBody"/>
            </w:pPr>
            <w:r w:rsidRPr="002E5DDE">
              <w:rPr>
                <w:rFonts w:ascii="Arial" w:eastAsia="Arial" w:hAnsi="Arial" w:cs="Arial"/>
              </w:rPr>
              <w:t>Powercor</w:t>
            </w:r>
          </w:p>
        </w:tc>
        <w:tc>
          <w:tcPr>
            <w:tcW w:w="3638" w:type="pct"/>
            <w:tcBorders>
              <w:top w:val="single" w:sz="8" w:space="0" w:color="FFFFFF" w:themeColor="background1"/>
              <w:bottom w:val="single" w:sz="8" w:space="0" w:color="FFFFFF" w:themeColor="background1"/>
            </w:tcBorders>
            <w:shd w:val="clear" w:color="auto" w:fill="E3E4E4"/>
            <w:tcMar>
              <w:top w:w="85" w:type="dxa"/>
              <w:left w:w="90" w:type="dxa"/>
              <w:bottom w:w="85" w:type="dxa"/>
              <w:right w:w="62" w:type="dxa"/>
            </w:tcMar>
            <w:hideMark/>
          </w:tcPr>
          <w:p w14:paraId="7C46D345" w14:textId="77777777" w:rsidR="00C32566" w:rsidRPr="002E5DDE" w:rsidRDefault="00C32566" w:rsidP="00610F02">
            <w:pPr>
              <w:pStyle w:val="TableBody"/>
            </w:pPr>
            <w:r w:rsidRPr="002E5DDE">
              <w:rPr>
                <w:rFonts w:ascii="Arial" w:eastAsia="Arial" w:hAnsi="Arial" w:cs="Arial"/>
              </w:rPr>
              <w:t>DD1</w:t>
            </w:r>
          </w:p>
        </w:tc>
      </w:tr>
      <w:tr w:rsidR="00C32566" w:rsidRPr="002E5DDE" w14:paraId="3614ECC6" w14:textId="77777777" w:rsidTr="00BC0318">
        <w:trPr>
          <w:trHeight w:val="278"/>
        </w:trPr>
        <w:tc>
          <w:tcPr>
            <w:tcW w:w="1362" w:type="pct"/>
            <w:tcBorders>
              <w:top w:val="single" w:sz="8" w:space="0" w:color="FFFFFF" w:themeColor="background1"/>
            </w:tcBorders>
            <w:shd w:val="clear" w:color="auto" w:fill="F2F2F2" w:themeFill="background1" w:themeFillShade="F2"/>
            <w:tcMar>
              <w:top w:w="85" w:type="dxa"/>
              <w:left w:w="90" w:type="dxa"/>
              <w:bottom w:w="90" w:type="dxa"/>
              <w:right w:w="62" w:type="dxa"/>
            </w:tcMar>
            <w:hideMark/>
          </w:tcPr>
          <w:p w14:paraId="33F84D93" w14:textId="77777777" w:rsidR="00C32566" w:rsidRPr="002E5DDE" w:rsidRDefault="00C32566" w:rsidP="00610F02">
            <w:pPr>
              <w:pStyle w:val="TableBody"/>
            </w:pPr>
            <w:r w:rsidRPr="002E5DDE">
              <w:rPr>
                <w:rFonts w:ascii="Arial" w:eastAsia="Arial" w:hAnsi="Arial" w:cs="Arial"/>
              </w:rPr>
              <w:t>United Energy</w:t>
            </w:r>
          </w:p>
        </w:tc>
        <w:tc>
          <w:tcPr>
            <w:tcW w:w="3638" w:type="pct"/>
            <w:tcBorders>
              <w:top w:val="single" w:sz="8" w:space="0" w:color="FFFFFF" w:themeColor="background1"/>
            </w:tcBorders>
            <w:shd w:val="clear" w:color="auto" w:fill="F2F2F2" w:themeFill="background1" w:themeFillShade="F2"/>
            <w:tcMar>
              <w:top w:w="85" w:type="dxa"/>
              <w:left w:w="90" w:type="dxa"/>
              <w:bottom w:w="90" w:type="dxa"/>
              <w:right w:w="62" w:type="dxa"/>
            </w:tcMar>
            <w:hideMark/>
          </w:tcPr>
          <w:p w14:paraId="57C4DB10" w14:textId="77777777" w:rsidR="00C32566" w:rsidRPr="002E5DDE" w:rsidRDefault="00C32566" w:rsidP="00610F02">
            <w:pPr>
              <w:pStyle w:val="TableBody"/>
              <w:rPr>
                <w:rFonts w:ascii="Arial" w:eastAsia="Arial" w:hAnsi="Arial" w:cs="Arial"/>
                <w:lang w:val="en-AU"/>
              </w:rPr>
            </w:pPr>
            <w:r w:rsidRPr="6ADFC3C8">
              <w:rPr>
                <w:rFonts w:ascii="Arial" w:eastAsia="Arial" w:hAnsi="Arial" w:cs="Arial"/>
                <w:lang w:val="en-AU"/>
              </w:rPr>
              <w:t>LVDed</w:t>
            </w:r>
          </w:p>
        </w:tc>
      </w:tr>
    </w:tbl>
    <w:p w14:paraId="5BCC3A59" w14:textId="77777777" w:rsidR="00C32566" w:rsidRPr="002E5DDE" w:rsidRDefault="00C32566" w:rsidP="00C32566">
      <w:pPr>
        <w:spacing w:before="120" w:after="120" w:line="240" w:lineRule="auto"/>
        <w:rPr>
          <w:rFonts w:asciiTheme="majorHAnsi" w:eastAsiaTheme="majorEastAsia" w:hAnsiTheme="majorHAnsi" w:cstheme="majorBidi"/>
          <w:b/>
          <w:color w:val="4986A0" w:themeColor="text2"/>
          <w:szCs w:val="24"/>
          <w:lang w:val="en-US"/>
        </w:rPr>
      </w:pPr>
    </w:p>
    <w:p w14:paraId="44E7610B" w14:textId="546002E5" w:rsidR="00C32566" w:rsidRPr="002E5DDE" w:rsidRDefault="00C32566" w:rsidP="00610F02">
      <w:pPr>
        <w:pStyle w:val="Figure-Table-BoxHeading"/>
      </w:pPr>
      <w:r w:rsidRPr="002E5DDE">
        <w:t>Table B.4: Metering configurations used to calculate metering costs for each</w:t>
      </w:r>
      <w:r w:rsidR="003A0753">
        <w:t xml:space="preserve"> distributor</w:t>
      </w:r>
      <w:r w:rsidRPr="002E5DDE">
        <w:t xml:space="preserve"> </w:t>
      </w:r>
    </w:p>
    <w:tbl>
      <w:tblPr>
        <w:tblW w:w="9720" w:type="dxa"/>
        <w:tblLook w:val="04A0" w:firstRow="1" w:lastRow="0" w:firstColumn="1" w:lastColumn="0" w:noHBand="0" w:noVBand="1"/>
      </w:tblPr>
      <w:tblGrid>
        <w:gridCol w:w="2700"/>
        <w:gridCol w:w="7020"/>
      </w:tblGrid>
      <w:tr w:rsidR="00C32566" w:rsidRPr="002E5DDE" w14:paraId="4378FA13" w14:textId="77777777" w:rsidTr="00DA436D">
        <w:trPr>
          <w:trHeight w:val="300"/>
        </w:trPr>
        <w:tc>
          <w:tcPr>
            <w:tcW w:w="2700" w:type="dxa"/>
            <w:tcBorders>
              <w:top w:val="nil"/>
              <w:left w:val="nil"/>
              <w:bottom w:val="nil"/>
              <w:right w:val="nil"/>
            </w:tcBorders>
            <w:shd w:val="clear" w:color="000000" w:fill="4986A0"/>
            <w:vAlign w:val="center"/>
            <w:hideMark/>
          </w:tcPr>
          <w:p w14:paraId="7B82AE5F" w14:textId="77777777" w:rsidR="00C32566" w:rsidRPr="002E5DDE" w:rsidRDefault="00C32566" w:rsidP="00DA436D">
            <w:pPr>
              <w:keepNext/>
              <w:spacing w:before="0" w:after="0"/>
              <w:rPr>
                <w:rFonts w:ascii="Arial" w:eastAsia="Arial" w:hAnsi="Arial" w:cs="Arial"/>
                <w:b/>
                <w:color w:val="FFFFFF"/>
              </w:rPr>
            </w:pPr>
            <w:r w:rsidRPr="002E5DDE">
              <w:rPr>
                <w:rFonts w:ascii="Arial" w:eastAsia="Arial" w:hAnsi="Arial" w:cs="Arial"/>
                <w:b/>
                <w:color w:val="FFFFFF"/>
              </w:rPr>
              <w:t>Distributor</w:t>
            </w:r>
          </w:p>
        </w:tc>
        <w:tc>
          <w:tcPr>
            <w:tcW w:w="7020" w:type="dxa"/>
            <w:tcBorders>
              <w:top w:val="nil"/>
              <w:left w:val="nil"/>
              <w:bottom w:val="nil"/>
              <w:right w:val="nil"/>
            </w:tcBorders>
            <w:shd w:val="clear" w:color="000000" w:fill="4986A0"/>
            <w:vAlign w:val="center"/>
            <w:hideMark/>
          </w:tcPr>
          <w:p w14:paraId="5F68685F" w14:textId="29B101AE" w:rsidR="00C32566" w:rsidRPr="002E5DDE" w:rsidRDefault="00C32566" w:rsidP="00DA436D">
            <w:pPr>
              <w:keepNext/>
              <w:spacing w:before="0" w:after="0"/>
              <w:rPr>
                <w:rFonts w:ascii="Arial" w:eastAsia="Arial" w:hAnsi="Arial" w:cs="Arial"/>
                <w:b/>
                <w:color w:val="FFFFFF"/>
              </w:rPr>
            </w:pPr>
            <w:r w:rsidRPr="002E5DDE">
              <w:rPr>
                <w:rFonts w:ascii="Arial" w:eastAsia="Arial" w:hAnsi="Arial" w:cs="Arial"/>
                <w:b/>
                <w:color w:val="FFFFFF"/>
              </w:rPr>
              <w:t xml:space="preserve">Meter </w:t>
            </w:r>
            <w:r w:rsidR="009847E2">
              <w:rPr>
                <w:rFonts w:ascii="Arial" w:eastAsia="Arial" w:hAnsi="Arial" w:cs="Arial"/>
                <w:b/>
                <w:color w:val="FFFFFF"/>
              </w:rPr>
              <w:t>c</w:t>
            </w:r>
            <w:r w:rsidRPr="002E5DDE">
              <w:rPr>
                <w:rFonts w:ascii="Arial" w:eastAsia="Arial" w:hAnsi="Arial" w:cs="Arial"/>
                <w:b/>
                <w:color w:val="FFFFFF"/>
              </w:rPr>
              <w:t>onfiguration</w:t>
            </w:r>
          </w:p>
        </w:tc>
      </w:tr>
      <w:tr w:rsidR="00C32566" w:rsidRPr="002E5DDE" w14:paraId="55B9CE61"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131E8485" w14:textId="522DF362"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AusNet</w:t>
            </w:r>
            <w:r w:rsidR="00C32566" w:rsidRPr="002E5DDE">
              <w:rPr>
                <w:rFonts w:ascii="Arial" w:eastAsia="Arial" w:hAnsi="Arial" w:cs="Arial"/>
                <w:color w:val="000000"/>
              </w:rPr>
              <w:t xml:space="preserve"> Services</w:t>
            </w:r>
          </w:p>
        </w:tc>
        <w:tc>
          <w:tcPr>
            <w:tcW w:w="7020" w:type="dxa"/>
            <w:tcBorders>
              <w:top w:val="single" w:sz="8" w:space="0" w:color="FFFFFF"/>
              <w:left w:val="nil"/>
              <w:bottom w:val="nil"/>
              <w:right w:val="nil"/>
            </w:tcBorders>
            <w:shd w:val="clear" w:color="000000" w:fill="F2F2F2"/>
            <w:vAlign w:val="center"/>
            <w:hideMark/>
          </w:tcPr>
          <w:p w14:paraId="14CE9F16"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Single phase single element</w:t>
            </w:r>
          </w:p>
        </w:tc>
      </w:tr>
      <w:tr w:rsidR="00C32566" w:rsidRPr="002E5DDE" w14:paraId="18099830"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542F52B4" w14:textId="4B95DDB6"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AusNet</w:t>
            </w:r>
            <w:r w:rsidR="00C32566" w:rsidRPr="002E5DDE">
              <w:rPr>
                <w:rFonts w:ascii="Arial" w:eastAsia="Arial" w:hAnsi="Arial" w:cs="Arial"/>
                <w:color w:val="000000"/>
              </w:rPr>
              <w:t xml:space="preserve"> Services</w:t>
            </w:r>
          </w:p>
        </w:tc>
        <w:tc>
          <w:tcPr>
            <w:tcW w:w="7020" w:type="dxa"/>
            <w:tcBorders>
              <w:top w:val="single" w:sz="8" w:space="0" w:color="FFFFFF"/>
              <w:left w:val="nil"/>
              <w:bottom w:val="nil"/>
              <w:right w:val="nil"/>
            </w:tcBorders>
            <w:shd w:val="clear" w:color="000000" w:fill="E3E3E4"/>
            <w:vAlign w:val="center"/>
            <w:hideMark/>
          </w:tcPr>
          <w:p w14:paraId="368499B5" w14:textId="72A54A38"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 xml:space="preserve">Single phase, two </w:t>
            </w:r>
            <w:r w:rsidR="009E10DC" w:rsidRPr="002E5DDE">
              <w:rPr>
                <w:rFonts w:ascii="Arial" w:eastAsia="Arial" w:hAnsi="Arial" w:cs="Arial"/>
                <w:color w:val="000000"/>
              </w:rPr>
              <w:t>elements</w:t>
            </w:r>
            <w:r w:rsidRPr="002E5DDE">
              <w:rPr>
                <w:rFonts w:ascii="Arial" w:eastAsia="Arial" w:hAnsi="Arial" w:cs="Arial"/>
                <w:color w:val="000000"/>
              </w:rPr>
              <w:t xml:space="preserve"> with contactor</w:t>
            </w:r>
          </w:p>
        </w:tc>
      </w:tr>
      <w:tr w:rsidR="00C32566" w:rsidRPr="002E5DDE" w14:paraId="1333DE87"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43201E56" w14:textId="0E192583"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AusNet</w:t>
            </w:r>
            <w:r w:rsidR="00C32566" w:rsidRPr="002E5DDE">
              <w:rPr>
                <w:rFonts w:ascii="Arial" w:eastAsia="Arial" w:hAnsi="Arial" w:cs="Arial"/>
                <w:color w:val="000000"/>
              </w:rPr>
              <w:t xml:space="preserve"> Services</w:t>
            </w:r>
          </w:p>
        </w:tc>
        <w:tc>
          <w:tcPr>
            <w:tcW w:w="7020" w:type="dxa"/>
            <w:tcBorders>
              <w:top w:val="single" w:sz="8" w:space="0" w:color="FFFFFF"/>
              <w:left w:val="nil"/>
              <w:bottom w:val="nil"/>
              <w:right w:val="nil"/>
            </w:tcBorders>
            <w:shd w:val="clear" w:color="000000" w:fill="F2F2F2"/>
            <w:vAlign w:val="center"/>
            <w:hideMark/>
          </w:tcPr>
          <w:p w14:paraId="4238AC39"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Multiphase</w:t>
            </w:r>
          </w:p>
        </w:tc>
      </w:tr>
      <w:tr w:rsidR="00C32566" w:rsidRPr="002E5DDE" w14:paraId="07F588DD"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47EC9006" w14:textId="7DEE9DB1"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AusNet</w:t>
            </w:r>
            <w:r w:rsidR="00C32566" w:rsidRPr="002E5DDE">
              <w:rPr>
                <w:rFonts w:ascii="Arial" w:eastAsia="Arial" w:hAnsi="Arial" w:cs="Arial"/>
                <w:color w:val="000000"/>
              </w:rPr>
              <w:t xml:space="preserve"> Services</w:t>
            </w:r>
          </w:p>
        </w:tc>
        <w:tc>
          <w:tcPr>
            <w:tcW w:w="7020" w:type="dxa"/>
            <w:tcBorders>
              <w:top w:val="single" w:sz="8" w:space="0" w:color="FFFFFF"/>
              <w:left w:val="nil"/>
              <w:bottom w:val="nil"/>
              <w:right w:val="nil"/>
            </w:tcBorders>
            <w:shd w:val="clear" w:color="000000" w:fill="E3E3E4"/>
            <w:vAlign w:val="center"/>
            <w:hideMark/>
          </w:tcPr>
          <w:p w14:paraId="595E0BBF"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Multiphase, direct connected with contactor</w:t>
            </w:r>
          </w:p>
        </w:tc>
      </w:tr>
      <w:tr w:rsidR="00C32566" w:rsidRPr="002E5DDE" w14:paraId="6FE171D2"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71903E07" w14:textId="028E2608"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AusNet</w:t>
            </w:r>
            <w:r w:rsidR="00C32566" w:rsidRPr="002E5DDE">
              <w:rPr>
                <w:rFonts w:ascii="Arial" w:eastAsia="Arial" w:hAnsi="Arial" w:cs="Arial"/>
                <w:color w:val="000000"/>
              </w:rPr>
              <w:t xml:space="preserve"> Services</w:t>
            </w:r>
          </w:p>
        </w:tc>
        <w:tc>
          <w:tcPr>
            <w:tcW w:w="7020" w:type="dxa"/>
            <w:tcBorders>
              <w:top w:val="single" w:sz="8" w:space="0" w:color="FFFFFF"/>
              <w:left w:val="nil"/>
              <w:bottom w:val="nil"/>
              <w:right w:val="nil"/>
            </w:tcBorders>
            <w:shd w:val="clear" w:color="000000" w:fill="F2F2F2"/>
            <w:vAlign w:val="center"/>
            <w:hideMark/>
          </w:tcPr>
          <w:p w14:paraId="45A89824"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Multiphase current transformer connected meter</w:t>
            </w:r>
          </w:p>
        </w:tc>
      </w:tr>
      <w:tr w:rsidR="00C32566" w:rsidRPr="002E5DDE" w14:paraId="51ED9824"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36D86FD7" w14:textId="58804784"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E3E3E4"/>
            <w:vAlign w:val="center"/>
            <w:hideMark/>
          </w:tcPr>
          <w:p w14:paraId="284749F9"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Single Phase</w:t>
            </w:r>
          </w:p>
        </w:tc>
      </w:tr>
      <w:tr w:rsidR="00C32566" w:rsidRPr="002E5DDE" w14:paraId="314C396E"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22F2903F" w14:textId="7ACEB9BB"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F2F2F2"/>
            <w:vAlign w:val="center"/>
            <w:hideMark/>
          </w:tcPr>
          <w:p w14:paraId="4E947B55" w14:textId="77777777" w:rsidR="00C32566" w:rsidRPr="002E5DDE" w:rsidRDefault="00C32566" w:rsidP="00DA436D">
            <w:pPr>
              <w:keepNext/>
              <w:spacing w:before="0" w:after="0"/>
              <w:rPr>
                <w:rFonts w:ascii="Arial" w:eastAsia="Arial" w:hAnsi="Arial" w:cs="Arial"/>
                <w:color w:val="000000"/>
              </w:rPr>
            </w:pPr>
            <w:r w:rsidRPr="002E5DDE">
              <w:rPr>
                <w:rFonts w:ascii="Arial" w:eastAsia="Arial" w:hAnsi="Arial" w:cs="Arial"/>
                <w:color w:val="000000"/>
              </w:rPr>
              <w:t>Three phase direct connected meter</w:t>
            </w:r>
          </w:p>
        </w:tc>
      </w:tr>
      <w:tr w:rsidR="00C32566" w:rsidRPr="008238AA" w14:paraId="5CE6F6F0"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54440AB9" w14:textId="1FDBB565" w:rsidR="00C32566" w:rsidRPr="002E5DDE" w:rsidRDefault="00871D0B" w:rsidP="00DA436D">
            <w:pPr>
              <w:keepNext/>
              <w:spacing w:before="0" w:after="0"/>
              <w:rPr>
                <w:rFonts w:ascii="Arial" w:eastAsia="Arial" w:hAnsi="Arial" w:cs="Arial"/>
                <w:color w:val="000000"/>
              </w:rPr>
            </w:pPr>
            <w:r>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E3E3E4"/>
            <w:vAlign w:val="center"/>
            <w:hideMark/>
          </w:tcPr>
          <w:p w14:paraId="515C4C46" w14:textId="77777777" w:rsidR="00C32566" w:rsidRPr="00BA1AE1" w:rsidRDefault="00C32566" w:rsidP="00DA436D">
            <w:pPr>
              <w:keepNext/>
              <w:spacing w:before="0" w:after="0"/>
              <w:rPr>
                <w:rFonts w:ascii="Arial" w:eastAsia="Arial" w:hAnsi="Arial" w:cs="Arial"/>
                <w:color w:val="000000"/>
              </w:rPr>
            </w:pPr>
            <w:r w:rsidRPr="002E5DDE">
              <w:rPr>
                <w:rFonts w:ascii="Arial" w:eastAsia="Arial" w:hAnsi="Arial" w:cs="Arial"/>
                <w:color w:val="000000"/>
              </w:rPr>
              <w:t>Three phase current transformer connected meter</w:t>
            </w:r>
          </w:p>
        </w:tc>
      </w:tr>
      <w:tr w:rsidR="00C32566" w:rsidRPr="008238AA" w14:paraId="74383DE1"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239C4967"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Jemena</w:t>
            </w:r>
          </w:p>
        </w:tc>
        <w:tc>
          <w:tcPr>
            <w:tcW w:w="7020" w:type="dxa"/>
            <w:tcBorders>
              <w:top w:val="single" w:sz="8" w:space="0" w:color="FFFFFF"/>
              <w:left w:val="nil"/>
              <w:bottom w:val="nil"/>
              <w:right w:val="nil"/>
            </w:tcBorders>
            <w:shd w:val="clear" w:color="000000" w:fill="F2F2F2"/>
            <w:vAlign w:val="center"/>
            <w:hideMark/>
          </w:tcPr>
          <w:p w14:paraId="3DB8C3B1"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Single phase single element meter</w:t>
            </w:r>
          </w:p>
        </w:tc>
      </w:tr>
      <w:tr w:rsidR="00C32566" w:rsidRPr="008238AA" w14:paraId="51DAA18D"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2CAAE61D"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Jemena</w:t>
            </w:r>
          </w:p>
        </w:tc>
        <w:tc>
          <w:tcPr>
            <w:tcW w:w="7020" w:type="dxa"/>
            <w:tcBorders>
              <w:top w:val="single" w:sz="8" w:space="0" w:color="FFFFFF"/>
              <w:left w:val="nil"/>
              <w:bottom w:val="nil"/>
              <w:right w:val="nil"/>
            </w:tcBorders>
            <w:shd w:val="clear" w:color="000000" w:fill="E3E3E4"/>
            <w:vAlign w:val="center"/>
            <w:hideMark/>
          </w:tcPr>
          <w:p w14:paraId="334AA64D"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Single phase single element meter with contactor</w:t>
            </w:r>
          </w:p>
        </w:tc>
      </w:tr>
      <w:tr w:rsidR="00C32566" w:rsidRPr="008238AA" w14:paraId="4D1D38A9"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4B74864C"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Jemena</w:t>
            </w:r>
          </w:p>
        </w:tc>
        <w:tc>
          <w:tcPr>
            <w:tcW w:w="7020" w:type="dxa"/>
            <w:tcBorders>
              <w:top w:val="single" w:sz="8" w:space="0" w:color="FFFFFF"/>
              <w:left w:val="nil"/>
              <w:bottom w:val="nil"/>
              <w:right w:val="nil"/>
            </w:tcBorders>
            <w:shd w:val="clear" w:color="000000" w:fill="F2F2F2"/>
            <w:vAlign w:val="center"/>
            <w:hideMark/>
          </w:tcPr>
          <w:p w14:paraId="5050F6E9"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direct connected meter</w:t>
            </w:r>
          </w:p>
        </w:tc>
      </w:tr>
      <w:tr w:rsidR="00C32566" w:rsidRPr="008238AA" w14:paraId="2720841E"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75139A6F"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Jemena</w:t>
            </w:r>
          </w:p>
        </w:tc>
        <w:tc>
          <w:tcPr>
            <w:tcW w:w="7020" w:type="dxa"/>
            <w:tcBorders>
              <w:top w:val="single" w:sz="8" w:space="0" w:color="FFFFFF"/>
              <w:left w:val="nil"/>
              <w:bottom w:val="nil"/>
              <w:right w:val="nil"/>
            </w:tcBorders>
            <w:shd w:val="clear" w:color="000000" w:fill="E3E3E4"/>
            <w:vAlign w:val="center"/>
            <w:hideMark/>
          </w:tcPr>
          <w:p w14:paraId="0C189BDF"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current transformer connected meter</w:t>
            </w:r>
          </w:p>
        </w:tc>
      </w:tr>
      <w:tr w:rsidR="00C32566" w:rsidRPr="008238AA" w14:paraId="6D66A446"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25793F07"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F2F2F2"/>
            <w:vAlign w:val="center"/>
            <w:hideMark/>
          </w:tcPr>
          <w:p w14:paraId="3773B800"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Single Phase</w:t>
            </w:r>
          </w:p>
        </w:tc>
      </w:tr>
      <w:tr w:rsidR="00C32566" w:rsidRPr="008238AA" w14:paraId="0761D7F9"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15B90E30"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E3E3E4"/>
            <w:vAlign w:val="center"/>
            <w:hideMark/>
          </w:tcPr>
          <w:p w14:paraId="77620B8B"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direct connected meter</w:t>
            </w:r>
          </w:p>
        </w:tc>
      </w:tr>
      <w:tr w:rsidR="00C32566" w:rsidRPr="008238AA" w14:paraId="050111A8"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4FA72454"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F2F2F2"/>
            <w:vAlign w:val="center"/>
            <w:hideMark/>
          </w:tcPr>
          <w:p w14:paraId="5A297F2F"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current transformer connected meter</w:t>
            </w:r>
          </w:p>
        </w:tc>
      </w:tr>
      <w:tr w:rsidR="00C32566" w:rsidRPr="008238AA" w14:paraId="67FFED87" w14:textId="77777777" w:rsidTr="00DA436D">
        <w:trPr>
          <w:trHeight w:val="60"/>
        </w:trPr>
        <w:tc>
          <w:tcPr>
            <w:tcW w:w="2700" w:type="dxa"/>
            <w:tcBorders>
              <w:top w:val="single" w:sz="8" w:space="0" w:color="FFFFFF"/>
              <w:left w:val="nil"/>
              <w:bottom w:val="nil"/>
              <w:right w:val="nil"/>
            </w:tcBorders>
            <w:shd w:val="clear" w:color="000000" w:fill="E3E3E4"/>
            <w:vAlign w:val="center"/>
            <w:hideMark/>
          </w:tcPr>
          <w:p w14:paraId="150F1CDF"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E3E3E4"/>
            <w:vAlign w:val="center"/>
            <w:hideMark/>
          </w:tcPr>
          <w:p w14:paraId="7FD34B62"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Single phase single element meter</w:t>
            </w:r>
          </w:p>
        </w:tc>
      </w:tr>
      <w:tr w:rsidR="00C32566" w:rsidRPr="008238AA" w14:paraId="710355F5" w14:textId="77777777" w:rsidTr="00DA436D">
        <w:trPr>
          <w:trHeight w:val="300"/>
        </w:trPr>
        <w:tc>
          <w:tcPr>
            <w:tcW w:w="2700" w:type="dxa"/>
            <w:tcBorders>
              <w:top w:val="single" w:sz="8" w:space="0" w:color="FFFFFF"/>
              <w:left w:val="nil"/>
              <w:bottom w:val="nil"/>
              <w:right w:val="nil"/>
            </w:tcBorders>
            <w:shd w:val="clear" w:color="000000" w:fill="F2F2F2"/>
            <w:vAlign w:val="center"/>
            <w:hideMark/>
          </w:tcPr>
          <w:p w14:paraId="604848DB"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F2F2F2"/>
            <w:vAlign w:val="center"/>
            <w:hideMark/>
          </w:tcPr>
          <w:p w14:paraId="501FDA37"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Single phase single element meter with contactor</w:t>
            </w:r>
          </w:p>
        </w:tc>
      </w:tr>
      <w:tr w:rsidR="00C32566" w:rsidRPr="008238AA" w14:paraId="634A7D8C" w14:textId="77777777" w:rsidTr="00DA436D">
        <w:trPr>
          <w:trHeight w:val="300"/>
        </w:trPr>
        <w:tc>
          <w:tcPr>
            <w:tcW w:w="2700" w:type="dxa"/>
            <w:tcBorders>
              <w:top w:val="single" w:sz="8" w:space="0" w:color="FFFFFF"/>
              <w:left w:val="nil"/>
              <w:bottom w:val="nil"/>
              <w:right w:val="nil"/>
            </w:tcBorders>
            <w:shd w:val="clear" w:color="000000" w:fill="E3E3E4"/>
            <w:vAlign w:val="center"/>
            <w:hideMark/>
          </w:tcPr>
          <w:p w14:paraId="28057A03"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E3E3E4"/>
            <w:vAlign w:val="center"/>
            <w:hideMark/>
          </w:tcPr>
          <w:p w14:paraId="75268F0B"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direct connected meter</w:t>
            </w:r>
          </w:p>
        </w:tc>
      </w:tr>
      <w:tr w:rsidR="00C32566" w:rsidRPr="00C7293A" w14:paraId="52E84A8E" w14:textId="77777777" w:rsidTr="00DA436D">
        <w:trPr>
          <w:trHeight w:val="290"/>
        </w:trPr>
        <w:tc>
          <w:tcPr>
            <w:tcW w:w="2700" w:type="dxa"/>
            <w:tcBorders>
              <w:top w:val="single" w:sz="8" w:space="0" w:color="FFFFFF"/>
              <w:left w:val="nil"/>
              <w:bottom w:val="nil"/>
              <w:right w:val="nil"/>
            </w:tcBorders>
            <w:shd w:val="clear" w:color="000000" w:fill="F2F2F2"/>
            <w:vAlign w:val="center"/>
            <w:hideMark/>
          </w:tcPr>
          <w:p w14:paraId="3BBF5B12"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F2F2F2"/>
            <w:vAlign w:val="center"/>
            <w:hideMark/>
          </w:tcPr>
          <w:p w14:paraId="37159B01" w14:textId="77777777" w:rsidR="00C32566" w:rsidRPr="00BA1AE1" w:rsidRDefault="00C32566" w:rsidP="00DA436D">
            <w:pPr>
              <w:keepNext/>
              <w:spacing w:before="0" w:after="0"/>
              <w:rPr>
                <w:rFonts w:ascii="Arial" w:eastAsia="Arial" w:hAnsi="Arial" w:cs="Arial"/>
                <w:color w:val="000000"/>
              </w:rPr>
            </w:pPr>
            <w:r w:rsidRPr="00BA1AE1">
              <w:rPr>
                <w:rFonts w:ascii="Arial" w:eastAsia="Arial" w:hAnsi="Arial" w:cs="Arial"/>
                <w:color w:val="000000"/>
              </w:rPr>
              <w:t>Three phase current transformer connected meter</w:t>
            </w:r>
          </w:p>
        </w:tc>
      </w:tr>
    </w:tbl>
    <w:p w14:paraId="34811795" w14:textId="77777777" w:rsidR="00C32566" w:rsidRDefault="00C32566" w:rsidP="00C32566"/>
    <w:p w14:paraId="6E05E99F" w14:textId="77777777" w:rsidR="00EE2CD3" w:rsidRPr="00EE2CD3" w:rsidRDefault="00EE2CD3" w:rsidP="00EE2CD3"/>
    <w:p w14:paraId="1521A5FF" w14:textId="49DDDD10" w:rsidR="008F7087" w:rsidRPr="00A5668E" w:rsidRDefault="008F7087" w:rsidP="00996BDF">
      <w:pPr>
        <w:pStyle w:val="Heading1"/>
        <w:sectPr w:rsidR="008F7087" w:rsidRPr="00A5668E" w:rsidSect="00EC4526">
          <w:headerReference w:type="even" r:id="rId47"/>
          <w:footerReference w:type="default" r:id="rId48"/>
          <w:headerReference w:type="first" r:id="rId49"/>
          <w:pgSz w:w="11906" w:h="16838" w:code="9"/>
          <w:pgMar w:top="1134" w:right="1134" w:bottom="1134" w:left="1134" w:header="709" w:footer="692" w:gutter="0"/>
          <w:cols w:space="708"/>
          <w:docGrid w:linePitch="360"/>
        </w:sectPr>
      </w:pPr>
      <w:bookmarkStart w:id="196" w:name="_Toc480988885"/>
      <w:bookmarkStart w:id="197" w:name="_Toc481138196"/>
      <w:bookmarkStart w:id="198" w:name="_Toc481138404"/>
    </w:p>
    <w:p w14:paraId="46E9E6E0" w14:textId="20213103" w:rsidR="00865ECE" w:rsidRDefault="000002E1" w:rsidP="00A27C06">
      <w:pPr>
        <w:pStyle w:val="Heading1"/>
      </w:pPr>
      <w:bookmarkStart w:id="199" w:name="_Ref188877858"/>
      <w:bookmarkStart w:id="200" w:name="_Toc191027411"/>
      <w:bookmarkStart w:id="201" w:name="_Ref192608412"/>
      <w:bookmarkStart w:id="202" w:name="_Ref192608421"/>
      <w:bookmarkStart w:id="203" w:name="_Ref192608598"/>
      <w:bookmarkStart w:id="204" w:name="_Ref197610586"/>
      <w:bookmarkStart w:id="205" w:name="_Ref198633181"/>
      <w:bookmarkStart w:id="206" w:name="_Toc198808349"/>
      <w:bookmarkEnd w:id="196"/>
      <w:bookmarkEnd w:id="197"/>
      <w:bookmarkEnd w:id="198"/>
      <w:r w:rsidRPr="00D062E0">
        <w:lastRenderedPageBreak/>
        <w:t>Appe</w:t>
      </w:r>
      <w:r w:rsidR="00931CE5">
        <w:t>ndix C</w:t>
      </w:r>
      <w:r>
        <w:t xml:space="preserve">: </w:t>
      </w:r>
      <w:bookmarkEnd w:id="199"/>
      <w:bookmarkEnd w:id="200"/>
      <w:bookmarkEnd w:id="201"/>
      <w:bookmarkEnd w:id="202"/>
      <w:bookmarkEnd w:id="203"/>
      <w:r w:rsidR="00B60E11">
        <w:t>Submissions</w:t>
      </w:r>
      <w:r w:rsidR="004409DA">
        <w:t xml:space="preserve"> on </w:t>
      </w:r>
      <w:bookmarkEnd w:id="204"/>
      <w:r w:rsidR="009847E2">
        <w:t>D</w:t>
      </w:r>
      <w:r w:rsidR="004409DA">
        <w:t xml:space="preserve">raft </w:t>
      </w:r>
      <w:r w:rsidR="009847E2">
        <w:t>De</w:t>
      </w:r>
      <w:r w:rsidR="004409DA">
        <w:t xml:space="preserve">cision </w:t>
      </w:r>
      <w:r w:rsidR="009847E2">
        <w:t>P</w:t>
      </w:r>
      <w:r w:rsidR="004409DA">
        <w:t>aper</w:t>
      </w:r>
      <w:bookmarkEnd w:id="205"/>
      <w:bookmarkEnd w:id="206"/>
      <w:r w:rsidR="007319B7">
        <w:t xml:space="preserve"> </w:t>
      </w:r>
    </w:p>
    <w:tbl>
      <w:tblPr>
        <w:tblStyle w:val="TableGrid"/>
        <w:tblW w:w="9639" w:type="dxa"/>
        <w:tblLook w:val="04A0" w:firstRow="1" w:lastRow="0" w:firstColumn="1" w:lastColumn="0" w:noHBand="0" w:noVBand="1"/>
      </w:tblPr>
      <w:tblGrid>
        <w:gridCol w:w="6663"/>
        <w:gridCol w:w="2976"/>
      </w:tblGrid>
      <w:tr w:rsidR="00E80EA9" w:rsidRPr="00FE2AB9" w14:paraId="4E73E2F3" w14:textId="77777777" w:rsidTr="00DA436D">
        <w:trPr>
          <w:cnfStyle w:val="100000000000" w:firstRow="1" w:lastRow="0" w:firstColumn="0" w:lastColumn="0" w:oddVBand="0" w:evenVBand="0" w:oddHBand="0" w:evenHBand="0" w:firstRowFirstColumn="0" w:firstRowLastColumn="0" w:lastRowFirstColumn="0" w:lastRowLastColumn="0"/>
          <w:trHeight w:val="303"/>
        </w:trPr>
        <w:tc>
          <w:tcPr>
            <w:tcW w:w="6663" w:type="dxa"/>
          </w:tcPr>
          <w:p w14:paraId="6A170313" w14:textId="77777777" w:rsidR="00E80EA9" w:rsidRPr="00880B50" w:rsidRDefault="00E80EA9" w:rsidP="00DA436D">
            <w:pPr>
              <w:pStyle w:val="TableBold"/>
              <w:rPr>
                <w:b/>
                <w:bCs/>
              </w:rPr>
            </w:pPr>
            <w:r w:rsidRPr="00880B50">
              <w:rPr>
                <w:b/>
                <w:bCs/>
              </w:rPr>
              <w:t xml:space="preserve">Name </w:t>
            </w:r>
          </w:p>
        </w:tc>
        <w:tc>
          <w:tcPr>
            <w:tcW w:w="2976" w:type="dxa"/>
          </w:tcPr>
          <w:p w14:paraId="0FDDE3AB" w14:textId="77777777" w:rsidR="00E80EA9" w:rsidRPr="00880B50" w:rsidRDefault="00E80EA9" w:rsidP="00DA436D">
            <w:pPr>
              <w:pStyle w:val="TableBold"/>
              <w:rPr>
                <w:b/>
                <w:bCs/>
              </w:rPr>
            </w:pPr>
            <w:r w:rsidRPr="00880B50">
              <w:rPr>
                <w:b/>
                <w:bCs/>
              </w:rPr>
              <w:t>Date received</w:t>
            </w:r>
          </w:p>
        </w:tc>
      </w:tr>
      <w:tr w:rsidR="00E80EA9" w:rsidRPr="00FE2AB9" w14:paraId="2CB48A7D"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4ED65739" w14:textId="0BA4DB62" w:rsidR="00E80EA9" w:rsidRPr="00880B50" w:rsidRDefault="00842328" w:rsidP="00D072CB">
            <w:pPr>
              <w:pStyle w:val="TableBody"/>
              <w:rPr>
                <w:lang w:eastAsia="en-AU"/>
              </w:rPr>
            </w:pPr>
            <w:r>
              <w:rPr>
                <w:lang w:eastAsia="en-AU"/>
              </w:rPr>
              <w:t>Anonymous 1</w:t>
            </w:r>
          </w:p>
        </w:tc>
        <w:tc>
          <w:tcPr>
            <w:tcW w:w="2976" w:type="dxa"/>
          </w:tcPr>
          <w:p w14:paraId="0FDD0279" w14:textId="6590E085" w:rsidR="00E80EA9" w:rsidRPr="00880B50" w:rsidRDefault="00130592" w:rsidP="00D072CB">
            <w:pPr>
              <w:pStyle w:val="TableBody"/>
              <w:rPr>
                <w:lang w:eastAsia="en-AU"/>
              </w:rPr>
            </w:pPr>
            <w:r>
              <w:rPr>
                <w:lang w:eastAsia="en-AU"/>
              </w:rPr>
              <w:t>02 April 2025</w:t>
            </w:r>
          </w:p>
        </w:tc>
      </w:tr>
      <w:tr w:rsidR="00E80EA9" w:rsidRPr="00FE2AB9" w14:paraId="58931362"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2531AF89" w14:textId="4D2B3B79" w:rsidR="00E80EA9" w:rsidRPr="00880B50" w:rsidRDefault="00130592" w:rsidP="00D072CB">
            <w:pPr>
              <w:pStyle w:val="TableBody"/>
              <w:rPr>
                <w:lang w:val="en-AU" w:eastAsia="en-AU"/>
              </w:rPr>
            </w:pPr>
            <w:r w:rsidRPr="5D04DC1A">
              <w:rPr>
                <w:lang w:val="en-AU" w:eastAsia="en-AU"/>
              </w:rPr>
              <w:t>GloBird Energy</w:t>
            </w:r>
          </w:p>
        </w:tc>
        <w:tc>
          <w:tcPr>
            <w:tcW w:w="2976" w:type="dxa"/>
          </w:tcPr>
          <w:p w14:paraId="7E27D13D" w14:textId="57310035" w:rsidR="00E80EA9" w:rsidRPr="00880B50" w:rsidRDefault="002E2958" w:rsidP="00D072CB">
            <w:pPr>
              <w:pStyle w:val="TableBody"/>
              <w:rPr>
                <w:lang w:eastAsia="en-AU"/>
              </w:rPr>
            </w:pPr>
            <w:r>
              <w:rPr>
                <w:lang w:eastAsia="en-AU"/>
              </w:rPr>
              <w:t>07 April 2025</w:t>
            </w:r>
          </w:p>
        </w:tc>
      </w:tr>
      <w:tr w:rsidR="00E80EA9" w:rsidRPr="00FE2AB9" w14:paraId="57DD83AC"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1D5B8B1E" w14:textId="4A650CDF" w:rsidR="00E80EA9" w:rsidRPr="00880B50" w:rsidRDefault="008E0205" w:rsidP="00D072CB">
            <w:pPr>
              <w:pStyle w:val="TableBody"/>
              <w:rPr>
                <w:lang w:eastAsia="en-AU"/>
              </w:rPr>
            </w:pPr>
            <w:r>
              <w:rPr>
                <w:lang w:eastAsia="en-AU"/>
              </w:rPr>
              <w:t>Consumer Action Law Centre (CALC)</w:t>
            </w:r>
          </w:p>
        </w:tc>
        <w:tc>
          <w:tcPr>
            <w:tcW w:w="2976" w:type="dxa"/>
          </w:tcPr>
          <w:p w14:paraId="5BF4C2AE" w14:textId="6C788DD1" w:rsidR="00E80EA9" w:rsidRPr="00880B50" w:rsidRDefault="005F5886" w:rsidP="00D072CB">
            <w:pPr>
              <w:pStyle w:val="TableBody"/>
              <w:rPr>
                <w:lang w:eastAsia="en-AU"/>
              </w:rPr>
            </w:pPr>
            <w:r>
              <w:rPr>
                <w:lang w:eastAsia="en-AU"/>
              </w:rPr>
              <w:t>10 April 2025</w:t>
            </w:r>
          </w:p>
        </w:tc>
      </w:tr>
      <w:tr w:rsidR="00E80EA9" w:rsidRPr="00FE2AB9" w14:paraId="7D99144F"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68113DFD" w14:textId="5810D02F" w:rsidR="00E80EA9" w:rsidRPr="00880B50" w:rsidRDefault="005F5886" w:rsidP="00D072CB">
            <w:pPr>
              <w:pStyle w:val="TableBody"/>
              <w:rPr>
                <w:lang w:eastAsia="en-AU"/>
              </w:rPr>
            </w:pPr>
            <w:r>
              <w:rPr>
                <w:lang w:eastAsia="en-AU"/>
              </w:rPr>
              <w:t>1</w:t>
            </w:r>
            <w:r w:rsidRPr="00700C70">
              <w:rPr>
                <w:vertAlign w:val="superscript"/>
                <w:lang w:eastAsia="en-AU"/>
              </w:rPr>
              <w:t>st</w:t>
            </w:r>
            <w:r>
              <w:rPr>
                <w:lang w:eastAsia="en-AU"/>
              </w:rPr>
              <w:t xml:space="preserve"> Energy</w:t>
            </w:r>
          </w:p>
        </w:tc>
        <w:tc>
          <w:tcPr>
            <w:tcW w:w="2976" w:type="dxa"/>
          </w:tcPr>
          <w:p w14:paraId="78841150" w14:textId="5CAF5A90" w:rsidR="00E80EA9" w:rsidRPr="00880B50" w:rsidRDefault="005F5886" w:rsidP="00D072CB">
            <w:pPr>
              <w:pStyle w:val="TableBody"/>
              <w:rPr>
                <w:lang w:eastAsia="en-AU"/>
              </w:rPr>
            </w:pPr>
            <w:r>
              <w:rPr>
                <w:lang w:eastAsia="en-AU"/>
              </w:rPr>
              <w:t>11 April 2025</w:t>
            </w:r>
          </w:p>
        </w:tc>
      </w:tr>
      <w:tr w:rsidR="00E80EA9" w:rsidRPr="00FE2AB9" w14:paraId="0F74173F"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74AD0A6A" w14:textId="096D9E13" w:rsidR="00E80EA9" w:rsidRPr="00880B50" w:rsidRDefault="00E742B2" w:rsidP="00D072CB">
            <w:pPr>
              <w:pStyle w:val="TableBody"/>
              <w:rPr>
                <w:lang w:eastAsia="en-AU"/>
              </w:rPr>
            </w:pPr>
            <w:r>
              <w:rPr>
                <w:lang w:eastAsia="en-AU"/>
              </w:rPr>
              <w:t>Australian Energy Council (AEC)</w:t>
            </w:r>
          </w:p>
        </w:tc>
        <w:tc>
          <w:tcPr>
            <w:tcW w:w="2976" w:type="dxa"/>
          </w:tcPr>
          <w:p w14:paraId="2D757E1E" w14:textId="1C0EBAD2" w:rsidR="00E80EA9" w:rsidRPr="00880B50" w:rsidRDefault="00E742B2" w:rsidP="00D072CB">
            <w:pPr>
              <w:pStyle w:val="TableBody"/>
              <w:rPr>
                <w:lang w:eastAsia="en-AU"/>
              </w:rPr>
            </w:pPr>
            <w:r>
              <w:rPr>
                <w:lang w:eastAsia="en-AU"/>
              </w:rPr>
              <w:t>11 April 2025</w:t>
            </w:r>
          </w:p>
        </w:tc>
      </w:tr>
      <w:tr w:rsidR="00E80EA9" w:rsidRPr="00FE2AB9" w14:paraId="436D2917"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73AC9743" w14:textId="2F8A36AD" w:rsidR="00E80EA9" w:rsidRPr="00880B50" w:rsidRDefault="00E742B2" w:rsidP="00D072CB">
            <w:pPr>
              <w:pStyle w:val="TableBody"/>
              <w:rPr>
                <w:lang w:eastAsia="en-AU"/>
              </w:rPr>
            </w:pPr>
            <w:r>
              <w:rPr>
                <w:lang w:eastAsia="en-AU"/>
              </w:rPr>
              <w:t>Alinta Energy</w:t>
            </w:r>
          </w:p>
        </w:tc>
        <w:tc>
          <w:tcPr>
            <w:tcW w:w="2976" w:type="dxa"/>
          </w:tcPr>
          <w:p w14:paraId="3F33DB34" w14:textId="5BC797DF" w:rsidR="00E80EA9" w:rsidRPr="00880B50" w:rsidRDefault="002D3009" w:rsidP="00D072CB">
            <w:pPr>
              <w:pStyle w:val="TableBody"/>
              <w:rPr>
                <w:lang w:eastAsia="en-AU"/>
              </w:rPr>
            </w:pPr>
            <w:r>
              <w:rPr>
                <w:lang w:eastAsia="en-AU"/>
              </w:rPr>
              <w:t>11 April 2025</w:t>
            </w:r>
          </w:p>
        </w:tc>
      </w:tr>
      <w:tr w:rsidR="00E80EA9" w:rsidRPr="00FE2AB9" w14:paraId="0A85D977"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4DCE30F8" w14:textId="1310BFFE" w:rsidR="00E80EA9" w:rsidRPr="00880B50" w:rsidRDefault="002D3009" w:rsidP="00D072CB">
            <w:pPr>
              <w:pStyle w:val="TableBody"/>
              <w:rPr>
                <w:lang w:eastAsia="en-AU"/>
              </w:rPr>
            </w:pPr>
            <w:r>
              <w:rPr>
                <w:lang w:eastAsia="en-AU"/>
              </w:rPr>
              <w:t>ENGIE</w:t>
            </w:r>
          </w:p>
        </w:tc>
        <w:tc>
          <w:tcPr>
            <w:tcW w:w="2976" w:type="dxa"/>
          </w:tcPr>
          <w:p w14:paraId="7A397D38" w14:textId="67C7A12E" w:rsidR="00E80EA9" w:rsidRPr="00880B50" w:rsidRDefault="002D3009" w:rsidP="00D072CB">
            <w:pPr>
              <w:pStyle w:val="TableBody"/>
              <w:rPr>
                <w:lang w:eastAsia="en-AU"/>
              </w:rPr>
            </w:pPr>
            <w:r>
              <w:rPr>
                <w:lang w:eastAsia="en-AU"/>
              </w:rPr>
              <w:t>11 April 2025</w:t>
            </w:r>
          </w:p>
        </w:tc>
      </w:tr>
      <w:tr w:rsidR="00E80EA9" w:rsidRPr="00FE2AB9" w14:paraId="76B6435A"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4BF4511E" w14:textId="2599589A" w:rsidR="00E80EA9" w:rsidRPr="00880B50" w:rsidRDefault="00277B74" w:rsidP="00D072CB">
            <w:pPr>
              <w:pStyle w:val="TableBody"/>
              <w:rPr>
                <w:lang w:val="en-AU" w:eastAsia="en-AU"/>
              </w:rPr>
            </w:pPr>
            <w:r>
              <w:rPr>
                <w:lang w:val="en-AU" w:eastAsia="en-AU"/>
              </w:rPr>
              <w:t xml:space="preserve">Origin </w:t>
            </w:r>
            <w:r w:rsidR="005C42F6">
              <w:rPr>
                <w:lang w:val="en-AU" w:eastAsia="en-AU"/>
              </w:rPr>
              <w:t>Energy</w:t>
            </w:r>
          </w:p>
        </w:tc>
        <w:tc>
          <w:tcPr>
            <w:tcW w:w="2976" w:type="dxa"/>
          </w:tcPr>
          <w:p w14:paraId="76D8D026" w14:textId="0B9C0D54" w:rsidR="00E80EA9" w:rsidRPr="00880B50" w:rsidRDefault="00277B74" w:rsidP="00D072CB">
            <w:pPr>
              <w:pStyle w:val="TableBody"/>
              <w:rPr>
                <w:lang w:eastAsia="en-AU"/>
              </w:rPr>
            </w:pPr>
            <w:r>
              <w:rPr>
                <w:lang w:eastAsia="en-AU"/>
              </w:rPr>
              <w:t>11 April 2025</w:t>
            </w:r>
          </w:p>
        </w:tc>
      </w:tr>
      <w:tr w:rsidR="00E80EA9" w:rsidRPr="00FE2AB9" w14:paraId="349B030D" w14:textId="77777777" w:rsidTr="00DA436D">
        <w:trPr>
          <w:cnfStyle w:val="000000100000" w:firstRow="0" w:lastRow="0" w:firstColumn="0" w:lastColumn="0" w:oddVBand="0" w:evenVBand="0" w:oddHBand="1" w:evenHBand="0" w:firstRowFirstColumn="0" w:firstRowLastColumn="0" w:lastRowFirstColumn="0" w:lastRowLastColumn="0"/>
          <w:trHeight w:val="22"/>
        </w:trPr>
        <w:tc>
          <w:tcPr>
            <w:tcW w:w="6663" w:type="dxa"/>
          </w:tcPr>
          <w:p w14:paraId="4942D625" w14:textId="195894BD" w:rsidR="00E80EA9" w:rsidRPr="00880B50" w:rsidRDefault="00CB7937" w:rsidP="00D072CB">
            <w:pPr>
              <w:pStyle w:val="TableBody"/>
              <w:rPr>
                <w:lang w:val="en-AU" w:eastAsia="en-AU"/>
              </w:rPr>
            </w:pPr>
            <w:r w:rsidRPr="009E4C43">
              <w:t xml:space="preserve">Joint submission from Victorian Council of Social Service, Brotherhood of St Laurence, Consumer Action Law Centre, Council </w:t>
            </w:r>
            <w:r w:rsidR="00D2282E" w:rsidRPr="009E4C43">
              <w:t>o</w:t>
            </w:r>
            <w:r w:rsidR="009847E2">
              <w:t>n</w:t>
            </w:r>
            <w:r w:rsidRPr="009E4C43">
              <w:t xml:space="preserve"> </w:t>
            </w:r>
            <w:r w:rsidR="009847E2">
              <w:t>t</w:t>
            </w:r>
            <w:r w:rsidRPr="009E4C43">
              <w:t>he Ageing Victoria, Energy Consumers Australia, Financial Counselling Victoria Inc</w:t>
            </w:r>
            <w:r w:rsidR="00464C55">
              <w:t>.</w:t>
            </w:r>
            <w:r w:rsidRPr="009E4C43">
              <w:t>, Uniting</w:t>
            </w:r>
          </w:p>
        </w:tc>
        <w:tc>
          <w:tcPr>
            <w:tcW w:w="2976" w:type="dxa"/>
          </w:tcPr>
          <w:p w14:paraId="241E2C6C" w14:textId="043FD5BD" w:rsidR="00E80EA9" w:rsidRPr="00880B50" w:rsidRDefault="004A51B9" w:rsidP="00D072CB">
            <w:pPr>
              <w:pStyle w:val="TableBody"/>
              <w:rPr>
                <w:lang w:eastAsia="en-AU"/>
              </w:rPr>
            </w:pPr>
            <w:r>
              <w:rPr>
                <w:lang w:eastAsia="en-AU"/>
              </w:rPr>
              <w:t>11 April 2025</w:t>
            </w:r>
          </w:p>
        </w:tc>
      </w:tr>
      <w:tr w:rsidR="00E80EA9" w:rsidRPr="00FE2AB9" w14:paraId="32C7B77F"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39D0DF11" w14:textId="7E8D014B" w:rsidR="00E80EA9" w:rsidRPr="00880B50" w:rsidRDefault="004A51B9" w:rsidP="00D072CB">
            <w:pPr>
              <w:pStyle w:val="TableBody"/>
              <w:rPr>
                <w:lang w:val="en-AU" w:eastAsia="en-AU"/>
              </w:rPr>
            </w:pPr>
            <w:r w:rsidRPr="7E36AE1C">
              <w:rPr>
                <w:lang w:val="en-AU" w:eastAsia="en-AU"/>
              </w:rPr>
              <w:t>Energy</w:t>
            </w:r>
            <w:r w:rsidR="004F69EC">
              <w:rPr>
                <w:lang w:val="en-AU" w:eastAsia="en-AU"/>
              </w:rPr>
              <w:t xml:space="preserve"> </w:t>
            </w:r>
            <w:r w:rsidRPr="7E36AE1C">
              <w:rPr>
                <w:lang w:val="en-AU" w:eastAsia="en-AU"/>
              </w:rPr>
              <w:t>Locals</w:t>
            </w:r>
          </w:p>
        </w:tc>
        <w:tc>
          <w:tcPr>
            <w:tcW w:w="2976" w:type="dxa"/>
          </w:tcPr>
          <w:p w14:paraId="1D0A64BF" w14:textId="0FE9AF12" w:rsidR="004A51B9" w:rsidRPr="00880B50" w:rsidRDefault="004A51B9" w:rsidP="00D072CB">
            <w:pPr>
              <w:pStyle w:val="TableBody"/>
              <w:rPr>
                <w:lang w:eastAsia="en-AU"/>
              </w:rPr>
            </w:pPr>
            <w:r>
              <w:rPr>
                <w:lang w:eastAsia="en-AU"/>
              </w:rPr>
              <w:t>11 April 2025</w:t>
            </w:r>
          </w:p>
        </w:tc>
      </w:tr>
      <w:tr w:rsidR="00E80EA9" w:rsidRPr="00FE2AB9" w14:paraId="0EC4B2EF"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32D7613F" w14:textId="20DD9217" w:rsidR="00E80EA9" w:rsidRPr="00880B50" w:rsidRDefault="004A51B9" w:rsidP="00D072CB">
            <w:pPr>
              <w:pStyle w:val="TableBody"/>
              <w:rPr>
                <w:lang w:eastAsia="en-AU"/>
              </w:rPr>
            </w:pPr>
            <w:r>
              <w:rPr>
                <w:lang w:eastAsia="en-AU"/>
              </w:rPr>
              <w:t>AGL</w:t>
            </w:r>
            <w:r w:rsidR="007035F9">
              <w:rPr>
                <w:lang w:eastAsia="en-AU"/>
              </w:rPr>
              <w:t xml:space="preserve"> Energy</w:t>
            </w:r>
          </w:p>
        </w:tc>
        <w:tc>
          <w:tcPr>
            <w:tcW w:w="2976" w:type="dxa"/>
          </w:tcPr>
          <w:p w14:paraId="0BBA8D20" w14:textId="09C3ED18" w:rsidR="00E80EA9" w:rsidRPr="00880B50" w:rsidRDefault="004A51B9" w:rsidP="00D072CB">
            <w:pPr>
              <w:pStyle w:val="TableBody"/>
              <w:rPr>
                <w:lang w:eastAsia="en-AU"/>
              </w:rPr>
            </w:pPr>
            <w:r>
              <w:rPr>
                <w:lang w:eastAsia="en-AU"/>
              </w:rPr>
              <w:t>14 April 2025</w:t>
            </w:r>
          </w:p>
        </w:tc>
      </w:tr>
      <w:tr w:rsidR="00E80EA9" w:rsidRPr="00FE2AB9" w14:paraId="61B5861E"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2B11380B" w14:textId="57FD9D90" w:rsidR="00E80EA9" w:rsidRPr="00880B50" w:rsidRDefault="004A51B9" w:rsidP="00D072CB">
            <w:pPr>
              <w:pStyle w:val="TableBody"/>
              <w:rPr>
                <w:lang w:val="en-AU" w:eastAsia="en-AU"/>
              </w:rPr>
            </w:pPr>
            <w:r>
              <w:rPr>
                <w:lang w:val="en-AU" w:eastAsia="en-AU"/>
              </w:rPr>
              <w:t>EnergyAustralia</w:t>
            </w:r>
          </w:p>
        </w:tc>
        <w:tc>
          <w:tcPr>
            <w:tcW w:w="2976" w:type="dxa"/>
          </w:tcPr>
          <w:p w14:paraId="4E9FC0D5" w14:textId="06460B3D" w:rsidR="00E80EA9" w:rsidRPr="00880B50" w:rsidRDefault="0036020D" w:rsidP="00D072CB">
            <w:pPr>
              <w:pStyle w:val="TableBody"/>
              <w:rPr>
                <w:lang w:eastAsia="en-AU"/>
              </w:rPr>
            </w:pPr>
            <w:r>
              <w:rPr>
                <w:lang w:eastAsia="en-AU"/>
              </w:rPr>
              <w:t>15 April 2025</w:t>
            </w:r>
          </w:p>
        </w:tc>
      </w:tr>
      <w:tr w:rsidR="00E80EA9" w:rsidRPr="00FE2AB9" w14:paraId="23885821" w14:textId="77777777" w:rsidTr="00DA436D">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0BE70578" w14:textId="5E24B31C" w:rsidR="00E80EA9" w:rsidRPr="00880B50" w:rsidRDefault="0036020D" w:rsidP="00D072CB">
            <w:pPr>
              <w:pStyle w:val="TableBody"/>
              <w:rPr>
                <w:lang w:eastAsia="en-AU"/>
              </w:rPr>
            </w:pPr>
            <w:r>
              <w:rPr>
                <w:lang w:eastAsia="en-AU"/>
              </w:rPr>
              <w:t>Powershop</w:t>
            </w:r>
          </w:p>
        </w:tc>
        <w:tc>
          <w:tcPr>
            <w:tcW w:w="2976" w:type="dxa"/>
          </w:tcPr>
          <w:p w14:paraId="38C97488" w14:textId="2102BB58" w:rsidR="00E80EA9" w:rsidRPr="00880B50" w:rsidRDefault="0036020D" w:rsidP="00D072CB">
            <w:pPr>
              <w:pStyle w:val="TableBody"/>
              <w:rPr>
                <w:lang w:eastAsia="en-AU"/>
              </w:rPr>
            </w:pPr>
            <w:r>
              <w:rPr>
                <w:lang w:eastAsia="en-AU"/>
              </w:rPr>
              <w:t>16 April 2025</w:t>
            </w:r>
          </w:p>
        </w:tc>
      </w:tr>
      <w:tr w:rsidR="00700C70" w:rsidRPr="00FE2AB9" w14:paraId="4DDB8C91" w14:textId="77777777" w:rsidTr="00DA436D">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40A9B1D8" w14:textId="6838960F" w:rsidR="00700C70" w:rsidRPr="00880B50" w:rsidRDefault="00A81140" w:rsidP="00D072CB">
            <w:pPr>
              <w:pStyle w:val="TableBody"/>
              <w:rPr>
                <w:lang w:eastAsia="en-AU"/>
              </w:rPr>
            </w:pPr>
            <w:r>
              <w:rPr>
                <w:lang w:eastAsia="en-AU"/>
              </w:rPr>
              <w:t>Red Energy and Lumo Energy</w:t>
            </w:r>
          </w:p>
        </w:tc>
        <w:tc>
          <w:tcPr>
            <w:tcW w:w="2976" w:type="dxa"/>
          </w:tcPr>
          <w:p w14:paraId="49188CBA" w14:textId="6B75E0C2" w:rsidR="00700C70" w:rsidRPr="00880B50" w:rsidRDefault="00A81140" w:rsidP="00D072CB">
            <w:pPr>
              <w:pStyle w:val="TableBody"/>
              <w:rPr>
                <w:lang w:eastAsia="en-AU"/>
              </w:rPr>
            </w:pPr>
            <w:r>
              <w:rPr>
                <w:lang w:eastAsia="en-AU"/>
              </w:rPr>
              <w:t>30 April 2025</w:t>
            </w:r>
          </w:p>
        </w:tc>
      </w:tr>
    </w:tbl>
    <w:p w14:paraId="463B6D6C" w14:textId="77777777" w:rsidR="006F203F" w:rsidRDefault="006F203F">
      <w:pPr>
        <w:spacing w:line="259" w:lineRule="auto"/>
        <w:sectPr w:rsidR="006F203F" w:rsidSect="00A90C3B">
          <w:headerReference w:type="even" r:id="rId50"/>
          <w:footerReference w:type="default" r:id="rId51"/>
          <w:headerReference w:type="first" r:id="rId52"/>
          <w:type w:val="continuous"/>
          <w:pgSz w:w="11906" w:h="16838" w:code="9"/>
          <w:pgMar w:top="1134" w:right="1134" w:bottom="1134" w:left="1134" w:header="709" w:footer="692" w:gutter="0"/>
          <w:cols w:space="708"/>
          <w:docGrid w:linePitch="360"/>
        </w:sectPr>
      </w:pPr>
      <w:bookmarkStart w:id="207" w:name="_Toc480988886"/>
      <w:bookmarkStart w:id="208" w:name="_Toc481138197"/>
      <w:bookmarkStart w:id="209" w:name="_Toc481138405"/>
    </w:p>
    <w:p w14:paraId="0B55A122" w14:textId="64FC542B" w:rsidR="00AF41B8" w:rsidRDefault="00AF41B8">
      <w:pPr>
        <w:spacing w:line="259" w:lineRule="auto"/>
      </w:pPr>
    </w:p>
    <w:p w14:paraId="26C7D358" w14:textId="77777777" w:rsidR="00052A98" w:rsidRPr="00052A98" w:rsidRDefault="00052A98" w:rsidP="00052A98"/>
    <w:p w14:paraId="36669519" w14:textId="77777777" w:rsidR="00052A98" w:rsidRPr="00052A98" w:rsidRDefault="00052A98" w:rsidP="00052A98"/>
    <w:p w14:paraId="0333F158" w14:textId="77777777" w:rsidR="00052A98" w:rsidRPr="00052A98" w:rsidRDefault="00052A98" w:rsidP="00052A98"/>
    <w:p w14:paraId="755FE8EF" w14:textId="77777777" w:rsidR="00052A98" w:rsidRPr="00052A98" w:rsidRDefault="00052A98" w:rsidP="00052A98"/>
    <w:p w14:paraId="46069A16" w14:textId="77777777" w:rsidR="00052A98" w:rsidRPr="00052A98" w:rsidRDefault="00052A98" w:rsidP="00052A98"/>
    <w:p w14:paraId="18B37DAC" w14:textId="77777777" w:rsidR="00052A98" w:rsidRPr="00052A98" w:rsidRDefault="00052A98" w:rsidP="00052A98"/>
    <w:p w14:paraId="59C50420" w14:textId="77777777" w:rsidR="00052A98" w:rsidRPr="00052A98" w:rsidRDefault="00052A98" w:rsidP="00052A98"/>
    <w:p w14:paraId="00B4FBE6" w14:textId="4DAE5A4C" w:rsidR="00865ECE" w:rsidRPr="002E5DDE" w:rsidRDefault="000002E1" w:rsidP="005E2A78">
      <w:pPr>
        <w:pStyle w:val="Heading1"/>
      </w:pPr>
      <w:bookmarkStart w:id="210" w:name="_Ref188877891"/>
      <w:bookmarkStart w:id="211" w:name="_Toc191027412"/>
      <w:bookmarkStart w:id="212" w:name="_Ref192608612"/>
      <w:bookmarkStart w:id="213" w:name="_Toc198808350"/>
      <w:bookmarkEnd w:id="207"/>
      <w:bookmarkEnd w:id="208"/>
      <w:bookmarkEnd w:id="209"/>
      <w:r>
        <w:lastRenderedPageBreak/>
        <w:t xml:space="preserve">Appendix D: </w:t>
      </w:r>
      <w:r w:rsidRPr="002E5DDE">
        <w:t xml:space="preserve">Changes to cost </w:t>
      </w:r>
      <w:bookmarkEnd w:id="210"/>
      <w:bookmarkEnd w:id="211"/>
      <w:r w:rsidR="00AA192C">
        <w:t>component</w:t>
      </w:r>
      <w:r w:rsidR="0056766B">
        <w:t xml:space="preserve"> methodology</w:t>
      </w:r>
      <w:bookmarkEnd w:id="212"/>
      <w:bookmarkEnd w:id="213"/>
    </w:p>
    <w:p w14:paraId="1B4E4024" w14:textId="1A5550EA" w:rsidR="00100539" w:rsidRPr="002E5DDE" w:rsidRDefault="00100539" w:rsidP="00100539">
      <w:bookmarkStart w:id="214" w:name="_Hlk92714888"/>
      <w:r w:rsidRPr="002E5DDE">
        <w:t xml:space="preserve">Table D.1 shows how our </w:t>
      </w:r>
      <w:r w:rsidR="00431717" w:rsidRPr="002E5DDE">
        <w:t xml:space="preserve">approach to estimating </w:t>
      </w:r>
      <w:r w:rsidR="0056766B">
        <w:t xml:space="preserve">cost </w:t>
      </w:r>
      <w:r w:rsidR="008210B2" w:rsidRPr="002E5DDE">
        <w:t xml:space="preserve">components </w:t>
      </w:r>
      <w:r w:rsidRPr="002E5DDE">
        <w:t xml:space="preserve">has changed </w:t>
      </w:r>
      <w:r w:rsidR="00B32EB6">
        <w:t xml:space="preserve">in this </w:t>
      </w:r>
      <w:r w:rsidR="00857494">
        <w:t>final</w:t>
      </w:r>
      <w:r w:rsidR="00B32EB6">
        <w:t xml:space="preserve"> decision </w:t>
      </w:r>
      <w:r w:rsidRPr="002E5DDE">
        <w:t>compared to the 2024–25 Victorian Default Offer</w:t>
      </w:r>
      <w:r w:rsidR="00876114" w:rsidRPr="002E5DDE">
        <w:t xml:space="preserve">. </w:t>
      </w:r>
    </w:p>
    <w:p w14:paraId="23FF6020" w14:textId="4005D5AB" w:rsidR="00100539" w:rsidRPr="002E5DDE" w:rsidRDefault="00100539" w:rsidP="00100539">
      <w:pPr>
        <w:pStyle w:val="Figure-Table-BoxHeading"/>
      </w:pPr>
      <w:r w:rsidRPr="002E5DDE">
        <w:t xml:space="preserve">Table D.1: Comparison of 2024–25 Default Offer </w:t>
      </w:r>
      <w:r w:rsidR="00BF6FE0" w:rsidRPr="002E5DDE">
        <w:t xml:space="preserve">final decision </w:t>
      </w:r>
      <w:r w:rsidRPr="002E5DDE">
        <w:t xml:space="preserve">and 2025–26 Default Offer </w:t>
      </w:r>
      <w:r w:rsidR="00857494">
        <w:t>final</w:t>
      </w:r>
      <w:r w:rsidRPr="002E5DDE">
        <w:t xml:space="preserve"> decision</w:t>
      </w:r>
    </w:p>
    <w:tbl>
      <w:tblPr>
        <w:tblStyle w:val="TableGrid"/>
        <w:tblW w:w="5000" w:type="pct"/>
        <w:tblLook w:val="04A0" w:firstRow="1" w:lastRow="0" w:firstColumn="1" w:lastColumn="0" w:noHBand="0" w:noVBand="1"/>
      </w:tblPr>
      <w:tblGrid>
        <w:gridCol w:w="2997"/>
        <w:gridCol w:w="3100"/>
        <w:gridCol w:w="3541"/>
      </w:tblGrid>
      <w:tr w:rsidR="00100539" w:rsidRPr="002E5DDE" w14:paraId="06A1B4FA" w14:textId="77777777" w:rsidTr="4EB6CF14">
        <w:trPr>
          <w:cnfStyle w:val="100000000000" w:firstRow="1" w:lastRow="0" w:firstColumn="0" w:lastColumn="0" w:oddVBand="0" w:evenVBand="0" w:oddHBand="0" w:evenHBand="0" w:firstRowFirstColumn="0" w:firstRowLastColumn="0" w:lastRowFirstColumn="0" w:lastRowLastColumn="0"/>
          <w:tblHeader/>
        </w:trPr>
        <w:tc>
          <w:tcPr>
            <w:tcW w:w="1555" w:type="pct"/>
          </w:tcPr>
          <w:p w14:paraId="17176433" w14:textId="77777777" w:rsidR="00100539" w:rsidRPr="002E5DDE" w:rsidRDefault="00100539" w:rsidP="00DA436D">
            <w:pPr>
              <w:spacing w:before="0" w:line="240" w:lineRule="auto"/>
              <w:rPr>
                <w:lang w:val="en-US"/>
              </w:rPr>
            </w:pPr>
            <w:r w:rsidRPr="002E5DDE">
              <w:rPr>
                <w:lang w:val="en-US"/>
              </w:rPr>
              <w:t>Item</w:t>
            </w:r>
          </w:p>
        </w:tc>
        <w:tc>
          <w:tcPr>
            <w:tcW w:w="1608" w:type="pct"/>
          </w:tcPr>
          <w:p w14:paraId="776BB152" w14:textId="77777777" w:rsidR="00100539" w:rsidRPr="002E5DDE" w:rsidRDefault="00100539" w:rsidP="00DA436D">
            <w:pPr>
              <w:spacing w:before="0" w:line="240" w:lineRule="auto"/>
              <w:rPr>
                <w:lang w:val="en-US"/>
              </w:rPr>
            </w:pPr>
            <w:r w:rsidRPr="002E5DDE">
              <w:rPr>
                <w:lang w:val="en-US"/>
              </w:rPr>
              <w:t>2024–25 Victorian Default Offer final decision</w:t>
            </w:r>
          </w:p>
        </w:tc>
        <w:tc>
          <w:tcPr>
            <w:tcW w:w="1837" w:type="pct"/>
          </w:tcPr>
          <w:p w14:paraId="797E8ADA" w14:textId="3294CCEF" w:rsidR="00100539" w:rsidRPr="002E5DDE" w:rsidRDefault="00100539" w:rsidP="00DA436D">
            <w:pPr>
              <w:spacing w:before="0" w:line="240" w:lineRule="auto"/>
              <w:rPr>
                <w:lang w:val="en-US"/>
              </w:rPr>
            </w:pPr>
            <w:r w:rsidRPr="002E5DDE">
              <w:rPr>
                <w:lang w:val="en-US"/>
              </w:rPr>
              <w:t xml:space="preserve">2025–26 Victorian Default Offer </w:t>
            </w:r>
            <w:r w:rsidR="00857494">
              <w:rPr>
                <w:lang w:val="en-US"/>
              </w:rPr>
              <w:t>final</w:t>
            </w:r>
            <w:r w:rsidRPr="002E5DDE">
              <w:rPr>
                <w:lang w:val="en-US"/>
              </w:rPr>
              <w:t xml:space="preserve"> decision</w:t>
            </w:r>
          </w:p>
        </w:tc>
      </w:tr>
      <w:tr w:rsidR="00100539" w:rsidRPr="002E5DDE" w14:paraId="4EF52779" w14:textId="77777777" w:rsidTr="4EB6CF14">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04A87DF7" w14:textId="77777777" w:rsidR="00100539" w:rsidRPr="002E5DDE" w:rsidRDefault="00100539" w:rsidP="00DA436D">
            <w:pPr>
              <w:spacing w:before="0" w:line="240" w:lineRule="auto"/>
              <w:rPr>
                <w:lang w:val="en-US"/>
              </w:rPr>
            </w:pPr>
            <w:r w:rsidRPr="002E5DDE">
              <w:rPr>
                <w:b/>
                <w:lang w:val="en-US"/>
              </w:rPr>
              <w:t>Victorian Default Offer costs</w:t>
            </w:r>
          </w:p>
        </w:tc>
      </w:tr>
      <w:bookmarkEnd w:id="214"/>
      <w:tr w:rsidR="00100539" w:rsidRPr="002E5DDE" w14:paraId="4200D025"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2DF83662" w14:textId="77777777" w:rsidR="00100539" w:rsidRPr="002E5DDE" w:rsidRDefault="00100539" w:rsidP="00DA436D">
            <w:pPr>
              <w:spacing w:before="0" w:line="240" w:lineRule="auto"/>
              <w:rPr>
                <w:lang w:val="en-US"/>
              </w:rPr>
            </w:pPr>
            <w:r w:rsidRPr="002E5DDE">
              <w:rPr>
                <w:lang w:val="en-US"/>
              </w:rPr>
              <w:t>Wholesale electricity costs</w:t>
            </w:r>
          </w:p>
        </w:tc>
        <w:tc>
          <w:tcPr>
            <w:tcW w:w="1608" w:type="pct"/>
          </w:tcPr>
          <w:p w14:paraId="7FCC35A6" w14:textId="74FA468F" w:rsidR="00F64FAA" w:rsidRPr="002E5DDE" w:rsidRDefault="003B0F52" w:rsidP="00F64FAA">
            <w:pPr>
              <w:pStyle w:val="TableBody"/>
            </w:pPr>
            <w:r w:rsidRPr="002E5DDE">
              <w:t xml:space="preserve">A </w:t>
            </w:r>
            <w:r w:rsidR="00100539" w:rsidRPr="002E5DDE">
              <w:t>12-month trade</w:t>
            </w:r>
            <w:r w:rsidR="00E471A3">
              <w:t>-</w:t>
            </w:r>
            <w:r w:rsidR="0046570B" w:rsidRPr="002E5DDE">
              <w:t>weight</w:t>
            </w:r>
            <w:r w:rsidR="00100539" w:rsidRPr="002E5DDE">
              <w:t xml:space="preserve"> contract price </w:t>
            </w:r>
            <w:r w:rsidR="009847E2">
              <w:t>was</w:t>
            </w:r>
            <w:r w:rsidR="00100539" w:rsidRPr="002E5DDE">
              <w:t xml:space="preserve"> calculated from the daily settlement price for each day in the period </w:t>
            </w:r>
            <w:r w:rsidR="00F64FAA">
              <w:t>(</w:t>
            </w:r>
            <w:r w:rsidR="00F64FAA" w:rsidRPr="002E5DDE">
              <w:t>except the date that options contracts are exercised</w:t>
            </w:r>
            <w:r w:rsidR="00F64FAA">
              <w:t>)</w:t>
            </w:r>
            <w:r w:rsidR="00F64FAA" w:rsidRPr="002E5DDE">
              <w:t>.</w:t>
            </w:r>
          </w:p>
          <w:p w14:paraId="41B70BFF" w14:textId="58331B23" w:rsidR="00100539" w:rsidRPr="002E5DDE" w:rsidRDefault="00100539" w:rsidP="00DA436D">
            <w:pPr>
              <w:spacing w:before="0" w:line="240" w:lineRule="auto"/>
              <w:rPr>
                <w:lang w:val="en-US"/>
              </w:rPr>
            </w:pPr>
          </w:p>
          <w:p w14:paraId="26540C68" w14:textId="310C19DF" w:rsidR="00100539" w:rsidRPr="002E5DDE" w:rsidRDefault="00100539" w:rsidP="00DA436D">
            <w:pPr>
              <w:spacing w:before="0" w:line="240" w:lineRule="auto"/>
              <w:rPr>
                <w:lang w:val="en-US"/>
              </w:rPr>
            </w:pPr>
            <w:r w:rsidRPr="002E5DDE">
              <w:rPr>
                <w:lang w:val="en-US"/>
              </w:rPr>
              <w:t>Final reading last Friday of April</w:t>
            </w:r>
            <w:r w:rsidR="0096435C">
              <w:rPr>
                <w:lang w:val="en-US"/>
              </w:rPr>
              <w:t xml:space="preserve"> 2024</w:t>
            </w:r>
            <w:r w:rsidRPr="002E5DDE">
              <w:rPr>
                <w:lang w:val="en-US"/>
              </w:rPr>
              <w:t>.</w:t>
            </w:r>
          </w:p>
        </w:tc>
        <w:tc>
          <w:tcPr>
            <w:tcW w:w="1837" w:type="pct"/>
          </w:tcPr>
          <w:p w14:paraId="69D439E6" w14:textId="0263568B" w:rsidR="00104349" w:rsidRPr="004A0BEC" w:rsidRDefault="00104349" w:rsidP="00DA436D">
            <w:pPr>
              <w:spacing w:before="0" w:line="240" w:lineRule="auto"/>
              <w:rPr>
                <w:lang w:val="en-US"/>
              </w:rPr>
            </w:pPr>
            <w:r w:rsidRPr="004A0BEC">
              <w:rPr>
                <w:lang w:val="en-US"/>
              </w:rPr>
              <w:t xml:space="preserve">Retained the </w:t>
            </w:r>
            <w:r w:rsidR="00FB1253" w:rsidRPr="004A0BEC">
              <w:rPr>
                <w:lang w:val="en-US"/>
              </w:rPr>
              <w:t xml:space="preserve">futures approach, but </w:t>
            </w:r>
          </w:p>
          <w:p w14:paraId="7544FA3E" w14:textId="5A426DB0" w:rsidR="00100539" w:rsidRPr="004A0BEC" w:rsidRDefault="00F279E1" w:rsidP="00DA436D">
            <w:pPr>
              <w:spacing w:before="0" w:line="240" w:lineRule="auto"/>
              <w:rPr>
                <w:lang w:val="en-US"/>
              </w:rPr>
            </w:pPr>
            <w:r w:rsidRPr="004A0BEC">
              <w:rPr>
                <w:lang w:val="en-US"/>
              </w:rPr>
              <w:t>c</w:t>
            </w:r>
            <w:r w:rsidR="00F061FD" w:rsidRPr="004A0BEC">
              <w:rPr>
                <w:lang w:val="en-US"/>
              </w:rPr>
              <w:t>hange</w:t>
            </w:r>
            <w:r w:rsidRPr="004A0BEC">
              <w:rPr>
                <w:lang w:val="en-US"/>
              </w:rPr>
              <w:t>d</w:t>
            </w:r>
            <w:r w:rsidR="00F061FD" w:rsidRPr="004A0BEC">
              <w:rPr>
                <w:lang w:val="en-US"/>
              </w:rPr>
              <w:t xml:space="preserve"> load profile from a balance position (imports and exports at the end of each interval) to load only. </w:t>
            </w:r>
          </w:p>
          <w:p w14:paraId="50790E87" w14:textId="12344A3C" w:rsidR="00D04DD8" w:rsidRPr="004A0BEC" w:rsidRDefault="00D04DD8" w:rsidP="00DA436D">
            <w:pPr>
              <w:spacing w:before="0" w:line="240" w:lineRule="auto"/>
              <w:rPr>
                <w:lang w:val="en-US"/>
              </w:rPr>
            </w:pPr>
          </w:p>
          <w:p w14:paraId="1386CD6C" w14:textId="6EE52CA9" w:rsidR="00F279E1" w:rsidRPr="004A0BEC" w:rsidRDefault="00C04050" w:rsidP="00DA436D">
            <w:pPr>
              <w:spacing w:before="0" w:line="240" w:lineRule="auto"/>
              <w:rPr>
                <w:lang w:val="en-US"/>
              </w:rPr>
            </w:pPr>
            <w:r>
              <w:rPr>
                <w:lang w:val="en-US"/>
              </w:rPr>
              <w:t>Our</w:t>
            </w:r>
            <w:r w:rsidR="005F3E2D" w:rsidRPr="004A0BEC">
              <w:rPr>
                <w:lang w:val="en-US"/>
              </w:rPr>
              <w:t xml:space="preserve"> final decision </w:t>
            </w:r>
            <w:r w:rsidR="007E53FE" w:rsidRPr="004A0BEC">
              <w:rPr>
                <w:lang w:val="en-US"/>
              </w:rPr>
              <w:t>i</w:t>
            </w:r>
            <w:r w:rsidR="00F279E1" w:rsidRPr="004A0BEC">
              <w:rPr>
                <w:lang w:val="en-US"/>
              </w:rPr>
              <w:t xml:space="preserve">ncluded </w:t>
            </w:r>
            <w:r w:rsidR="00B539BE">
              <w:rPr>
                <w:lang w:val="en-US"/>
              </w:rPr>
              <w:t>a</w:t>
            </w:r>
            <w:r w:rsidR="00B0469C" w:rsidRPr="004A0BEC">
              <w:rPr>
                <w:lang w:val="en-US"/>
              </w:rPr>
              <w:t xml:space="preserve"> </w:t>
            </w:r>
            <w:r w:rsidR="00F279E1" w:rsidRPr="004A0BEC">
              <w:rPr>
                <w:lang w:val="en-US"/>
              </w:rPr>
              <w:t xml:space="preserve">wholesale </w:t>
            </w:r>
            <w:r w:rsidR="00B539BE">
              <w:rPr>
                <w:lang w:val="en-US"/>
              </w:rPr>
              <w:t xml:space="preserve">electricity </w:t>
            </w:r>
            <w:r w:rsidR="00F279E1" w:rsidRPr="004A0BEC">
              <w:rPr>
                <w:lang w:val="en-US"/>
              </w:rPr>
              <w:t xml:space="preserve">cost </w:t>
            </w:r>
            <w:r w:rsidR="00357A0F">
              <w:rPr>
                <w:lang w:val="en-US"/>
              </w:rPr>
              <w:t>of</w:t>
            </w:r>
            <w:r w:rsidR="00F279E1" w:rsidRPr="004A0BEC">
              <w:rPr>
                <w:lang w:val="en-US"/>
              </w:rPr>
              <w:t xml:space="preserve"> exports</w:t>
            </w:r>
            <w:r w:rsidR="00602BC6" w:rsidRPr="004A0BEC">
              <w:rPr>
                <w:lang w:val="en-US"/>
              </w:rPr>
              <w:t>.</w:t>
            </w:r>
          </w:p>
          <w:p w14:paraId="01919E99" w14:textId="77777777" w:rsidR="00FC615D" w:rsidRPr="004A0BEC" w:rsidRDefault="00FC615D" w:rsidP="00DA436D">
            <w:pPr>
              <w:spacing w:before="0" w:line="240" w:lineRule="auto"/>
              <w:rPr>
                <w:lang w:val="en-US"/>
              </w:rPr>
            </w:pPr>
          </w:p>
          <w:p w14:paraId="016CB24C" w14:textId="40DD7CBB" w:rsidR="00100539" w:rsidRPr="004A0BEC" w:rsidRDefault="008A2DF9" w:rsidP="00DA436D">
            <w:pPr>
              <w:spacing w:before="0" w:line="240" w:lineRule="auto"/>
              <w:rPr>
                <w:lang w:val="en-US"/>
              </w:rPr>
            </w:pPr>
            <w:r w:rsidRPr="004A0BEC">
              <w:rPr>
                <w:lang w:val="en-US"/>
              </w:rPr>
              <w:t>The final</w:t>
            </w:r>
            <w:r w:rsidR="00B44F0C" w:rsidRPr="004A0BEC">
              <w:rPr>
                <w:lang w:val="en-US"/>
              </w:rPr>
              <w:t xml:space="preserve"> reading was taken </w:t>
            </w:r>
            <w:r w:rsidR="00B0469C" w:rsidRPr="004A0BEC">
              <w:rPr>
                <w:lang w:val="en-US"/>
              </w:rPr>
              <w:t>16</w:t>
            </w:r>
            <w:r w:rsidR="00B44F0C" w:rsidRPr="004A0BEC">
              <w:rPr>
                <w:lang w:val="en-US"/>
              </w:rPr>
              <w:t xml:space="preserve"> April</w:t>
            </w:r>
            <w:r w:rsidR="0096435C">
              <w:rPr>
                <w:lang w:val="en-US"/>
              </w:rPr>
              <w:t xml:space="preserve"> 2025</w:t>
            </w:r>
            <w:r w:rsidR="0046570B">
              <w:rPr>
                <w:lang w:val="en-US"/>
              </w:rPr>
              <w:t>.</w:t>
            </w:r>
          </w:p>
        </w:tc>
      </w:tr>
      <w:tr w:rsidR="00100539" w:rsidRPr="002E5DDE" w14:paraId="11B85876"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343E00AC" w14:textId="77777777" w:rsidR="00100539" w:rsidRPr="002E5DDE" w:rsidRDefault="00100539" w:rsidP="00DA436D">
            <w:pPr>
              <w:spacing w:before="0" w:line="240" w:lineRule="auto"/>
              <w:rPr>
                <w:lang w:val="en-US"/>
              </w:rPr>
            </w:pPr>
            <w:r w:rsidRPr="002E5DDE">
              <w:rPr>
                <w:lang w:val="en-US"/>
              </w:rPr>
              <w:t>Network costs</w:t>
            </w:r>
          </w:p>
        </w:tc>
        <w:tc>
          <w:tcPr>
            <w:tcW w:w="1608" w:type="pct"/>
          </w:tcPr>
          <w:p w14:paraId="49AC94A2" w14:textId="3DC8B946" w:rsidR="00100539" w:rsidRPr="002E5DDE" w:rsidRDefault="00100539" w:rsidP="00DA436D">
            <w:pPr>
              <w:spacing w:before="0" w:line="240" w:lineRule="auto"/>
              <w:rPr>
                <w:lang w:val="en-US"/>
              </w:rPr>
            </w:pPr>
            <w:r w:rsidRPr="002E5DDE">
              <w:rPr>
                <w:lang w:val="en-US"/>
              </w:rPr>
              <w:t xml:space="preserve">Australian Energy Regulator’s approved network tariffs are treated as </w:t>
            </w:r>
            <w:r w:rsidRPr="004D3F40">
              <w:t>pass</w:t>
            </w:r>
            <w:r w:rsidR="001D16B6">
              <w:t>-</w:t>
            </w:r>
            <w:r w:rsidRPr="004D3F40">
              <w:t>through</w:t>
            </w:r>
            <w:r>
              <w:t xml:space="preserve"> </w:t>
            </w:r>
            <w:r w:rsidRPr="002E5DDE">
              <w:rPr>
                <w:lang w:val="en-US"/>
              </w:rPr>
              <w:t>costs.</w:t>
            </w:r>
          </w:p>
          <w:p w14:paraId="7CCEF5FF" w14:textId="77777777" w:rsidR="00100539" w:rsidRPr="002E5DDE" w:rsidRDefault="00100539" w:rsidP="00DA436D">
            <w:pPr>
              <w:spacing w:before="0" w:line="240" w:lineRule="auto"/>
              <w:rPr>
                <w:lang w:val="en-US"/>
              </w:rPr>
            </w:pPr>
          </w:p>
          <w:p w14:paraId="2AC02E1A" w14:textId="4E5C66CC" w:rsidR="00100539" w:rsidRPr="002E5DDE" w:rsidRDefault="00100539" w:rsidP="00DA436D">
            <w:pPr>
              <w:spacing w:before="0" w:line="240" w:lineRule="auto"/>
              <w:rPr>
                <w:lang w:val="en-US"/>
              </w:rPr>
            </w:pPr>
            <w:r w:rsidRPr="002E5DDE">
              <w:rPr>
                <w:lang w:val="en-US"/>
              </w:rPr>
              <w:t>Metering costs based on customer</w:t>
            </w:r>
            <w:r w:rsidR="005A2C93">
              <w:rPr>
                <w:lang w:val="en-US"/>
              </w:rPr>
              <w:t>-</w:t>
            </w:r>
            <w:r w:rsidRPr="002E5DDE">
              <w:rPr>
                <w:lang w:val="en-US"/>
              </w:rPr>
              <w:t xml:space="preserve">weighted average metering costs. </w:t>
            </w:r>
          </w:p>
        </w:tc>
        <w:tc>
          <w:tcPr>
            <w:tcW w:w="1837" w:type="pct"/>
          </w:tcPr>
          <w:p w14:paraId="3348FA55" w14:textId="66227C98" w:rsidR="00100539" w:rsidRPr="004A0BEC" w:rsidRDefault="004A0BEC" w:rsidP="00DA436D">
            <w:pPr>
              <w:spacing w:before="0" w:line="240" w:lineRule="auto"/>
              <w:rPr>
                <w:lang w:val="en-US"/>
              </w:rPr>
            </w:pPr>
            <w:r w:rsidRPr="004A0BEC">
              <w:rPr>
                <w:lang w:val="en-US"/>
              </w:rPr>
              <w:t xml:space="preserve">Used </w:t>
            </w:r>
            <w:r w:rsidR="00100539" w:rsidRPr="004A0BEC">
              <w:rPr>
                <w:lang w:val="en-US"/>
              </w:rPr>
              <w:t xml:space="preserve">the network </w:t>
            </w:r>
            <w:r w:rsidR="0019650C" w:rsidRPr="004A0BEC">
              <w:rPr>
                <w:lang w:val="en-US"/>
              </w:rPr>
              <w:t>tariffs and metering charges</w:t>
            </w:r>
            <w:r w:rsidR="00100539" w:rsidRPr="004A0BEC">
              <w:rPr>
                <w:lang w:val="en-US"/>
              </w:rPr>
              <w:t xml:space="preserve"> approved by the Australian Energy Regulator.</w:t>
            </w:r>
          </w:p>
        </w:tc>
      </w:tr>
      <w:tr w:rsidR="00100539" w:rsidRPr="002E5DDE" w14:paraId="5EAD45D8"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68266894" w14:textId="77777777" w:rsidR="00100539" w:rsidRPr="002E5DDE" w:rsidRDefault="00100539" w:rsidP="00DA436D">
            <w:pPr>
              <w:spacing w:before="0" w:line="240" w:lineRule="auto"/>
              <w:rPr>
                <w:i/>
                <w:iCs/>
                <w:lang w:val="en-US"/>
              </w:rPr>
            </w:pPr>
            <w:r w:rsidRPr="002E5DDE">
              <w:rPr>
                <w:i/>
                <w:iCs/>
                <w:lang w:val="en-US"/>
              </w:rPr>
              <w:t>Environmental costs</w:t>
            </w:r>
          </w:p>
        </w:tc>
        <w:tc>
          <w:tcPr>
            <w:tcW w:w="1608" w:type="pct"/>
          </w:tcPr>
          <w:p w14:paraId="2486DB12" w14:textId="77777777" w:rsidR="00100539" w:rsidRPr="002E5DDE" w:rsidRDefault="00100539" w:rsidP="00DA436D">
            <w:pPr>
              <w:spacing w:before="0" w:line="240" w:lineRule="auto"/>
              <w:rPr>
                <w:lang w:val="en-US"/>
              </w:rPr>
            </w:pPr>
          </w:p>
        </w:tc>
        <w:tc>
          <w:tcPr>
            <w:tcW w:w="1837" w:type="pct"/>
          </w:tcPr>
          <w:p w14:paraId="648F0B31" w14:textId="77777777" w:rsidR="00100539" w:rsidRPr="00857494" w:rsidRDefault="00100539" w:rsidP="00DA436D">
            <w:pPr>
              <w:spacing w:before="0" w:line="240" w:lineRule="auto"/>
              <w:rPr>
                <w:highlight w:val="yellow"/>
                <w:lang w:val="en-US"/>
              </w:rPr>
            </w:pPr>
          </w:p>
        </w:tc>
      </w:tr>
      <w:tr w:rsidR="00100539" w:rsidRPr="002E5DDE" w14:paraId="2E442C18"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385D50A7" w14:textId="77777777" w:rsidR="00100539" w:rsidRPr="002E5DDE" w:rsidRDefault="00100539" w:rsidP="00DA436D">
            <w:pPr>
              <w:spacing w:before="0" w:line="240" w:lineRule="auto"/>
              <w:rPr>
                <w:lang w:val="en-US"/>
              </w:rPr>
            </w:pPr>
            <w:r w:rsidRPr="002E5DDE">
              <w:rPr>
                <w:lang w:val="en-US"/>
              </w:rPr>
              <w:t xml:space="preserve">Large-scale Renewable Energy Target </w:t>
            </w:r>
          </w:p>
          <w:p w14:paraId="6EEBE0B2" w14:textId="77777777" w:rsidR="00100539" w:rsidRPr="002E5DDE" w:rsidRDefault="00100539" w:rsidP="00DA436D">
            <w:pPr>
              <w:spacing w:before="0" w:line="240" w:lineRule="auto"/>
              <w:rPr>
                <w:lang w:val="en-US"/>
              </w:rPr>
            </w:pPr>
          </w:p>
        </w:tc>
        <w:tc>
          <w:tcPr>
            <w:tcW w:w="1608" w:type="pct"/>
          </w:tcPr>
          <w:p w14:paraId="6A17F82F" w14:textId="3BB442B0" w:rsidR="00100539" w:rsidRPr="002E5DDE" w:rsidRDefault="00100539" w:rsidP="00DA436D">
            <w:pPr>
              <w:spacing w:before="0" w:line="240" w:lineRule="auto"/>
              <w:rPr>
                <w:lang w:val="en-US"/>
              </w:rPr>
            </w:pPr>
            <w:r w:rsidRPr="002E5DDE">
              <w:rPr>
                <w:lang w:val="en-US"/>
              </w:rPr>
              <w:t>Estimated based on the 202</w:t>
            </w:r>
            <w:r w:rsidR="00485469">
              <w:rPr>
                <w:lang w:val="en-US"/>
              </w:rPr>
              <w:t>4</w:t>
            </w:r>
            <w:r w:rsidRPr="002E5DDE">
              <w:rPr>
                <w:lang w:val="en-US"/>
              </w:rPr>
              <w:t xml:space="preserve"> renewable power percentage (RPP) multiplied by the futures market price for large-scale generation certificates for 202</w:t>
            </w:r>
            <w:r w:rsidR="00955BEE">
              <w:rPr>
                <w:lang w:val="en-US"/>
              </w:rPr>
              <w:t>4</w:t>
            </w:r>
            <w:r w:rsidRPr="002E5DDE">
              <w:rPr>
                <w:lang w:val="en-US"/>
              </w:rPr>
              <w:t>–2</w:t>
            </w:r>
            <w:r w:rsidR="00955BEE">
              <w:rPr>
                <w:lang w:val="en-US"/>
              </w:rPr>
              <w:t>5</w:t>
            </w:r>
            <w:r w:rsidRPr="002E5DDE">
              <w:rPr>
                <w:lang w:val="en-US"/>
              </w:rPr>
              <w:t>.</w:t>
            </w:r>
          </w:p>
          <w:p w14:paraId="34991617" w14:textId="77777777" w:rsidR="00100539" w:rsidRPr="002E5DDE" w:rsidRDefault="00100539" w:rsidP="00DA436D">
            <w:pPr>
              <w:spacing w:before="0" w:line="240" w:lineRule="auto"/>
              <w:rPr>
                <w:lang w:val="en-US"/>
              </w:rPr>
            </w:pPr>
          </w:p>
          <w:p w14:paraId="6FF14339" w14:textId="7549ADE8" w:rsidR="00100539" w:rsidRPr="002E5DDE" w:rsidRDefault="00E97FE0" w:rsidP="00DA436D">
            <w:pPr>
              <w:spacing w:before="0" w:line="240" w:lineRule="auto"/>
              <w:rPr>
                <w:lang w:val="en-US"/>
              </w:rPr>
            </w:pPr>
            <w:r>
              <w:rPr>
                <w:lang w:val="en-US"/>
              </w:rPr>
              <w:t>Adjustment</w:t>
            </w:r>
            <w:r w:rsidR="00100539" w:rsidRPr="002E5DDE">
              <w:rPr>
                <w:lang w:val="en-US"/>
              </w:rPr>
              <w:t xml:space="preserve"> included to account for difference between 202</w:t>
            </w:r>
            <w:r w:rsidR="00861E6E">
              <w:rPr>
                <w:lang w:val="en-US"/>
              </w:rPr>
              <w:t>3</w:t>
            </w:r>
            <w:r w:rsidR="00100539" w:rsidRPr="002E5DDE">
              <w:rPr>
                <w:lang w:val="en-US"/>
              </w:rPr>
              <w:t xml:space="preserve"> RPP, used in 202</w:t>
            </w:r>
            <w:r w:rsidR="00A41F81">
              <w:rPr>
                <w:lang w:val="en-US"/>
              </w:rPr>
              <w:t>3</w:t>
            </w:r>
            <w:r w:rsidR="00100539" w:rsidRPr="002E5DDE">
              <w:rPr>
                <w:lang w:val="en-US"/>
              </w:rPr>
              <w:t>–2</w:t>
            </w:r>
            <w:r w:rsidR="00A41F81">
              <w:rPr>
                <w:lang w:val="en-US"/>
              </w:rPr>
              <w:t>4</w:t>
            </w:r>
            <w:r w:rsidR="00100539" w:rsidRPr="002E5DDE">
              <w:rPr>
                <w:lang w:val="en-US"/>
              </w:rPr>
              <w:t xml:space="preserve"> Victorian Default Offer final decision, and the midpoint between 202</w:t>
            </w:r>
            <w:r w:rsidR="00A41F81">
              <w:rPr>
                <w:lang w:val="en-US"/>
              </w:rPr>
              <w:t>3</w:t>
            </w:r>
            <w:r w:rsidR="00100539" w:rsidRPr="002E5DDE">
              <w:rPr>
                <w:lang w:val="en-US"/>
              </w:rPr>
              <w:t xml:space="preserve"> and 202</w:t>
            </w:r>
            <w:r w:rsidR="00A41F81">
              <w:rPr>
                <w:lang w:val="en-US"/>
              </w:rPr>
              <w:t>4</w:t>
            </w:r>
            <w:r w:rsidR="00100539" w:rsidRPr="002E5DDE">
              <w:rPr>
                <w:lang w:val="en-US"/>
              </w:rPr>
              <w:t xml:space="preserve"> RPP’s.</w:t>
            </w:r>
          </w:p>
        </w:tc>
        <w:tc>
          <w:tcPr>
            <w:tcW w:w="1837" w:type="pct"/>
          </w:tcPr>
          <w:p w14:paraId="15ACDDDE" w14:textId="6D138CAE" w:rsidR="00100539" w:rsidRPr="0006760B" w:rsidRDefault="00100539" w:rsidP="00DA436D">
            <w:pPr>
              <w:spacing w:before="0" w:line="240" w:lineRule="auto"/>
              <w:rPr>
                <w:lang w:val="en-US"/>
              </w:rPr>
            </w:pPr>
            <w:r w:rsidRPr="0006760B">
              <w:rPr>
                <w:lang w:val="en-US"/>
              </w:rPr>
              <w:t>No change in approach. 202</w:t>
            </w:r>
            <w:r w:rsidR="00C96589" w:rsidRPr="0006760B">
              <w:rPr>
                <w:lang w:val="en-US"/>
              </w:rPr>
              <w:t>5</w:t>
            </w:r>
            <w:r w:rsidRPr="0006760B">
              <w:rPr>
                <w:lang w:val="en-US"/>
              </w:rPr>
              <w:t xml:space="preserve"> Renewable power percentage (RPP) multiplied by the futures market price for large-scale generation certificates for 202</w:t>
            </w:r>
            <w:r w:rsidR="00420389">
              <w:rPr>
                <w:lang w:val="en-US"/>
              </w:rPr>
              <w:t>5</w:t>
            </w:r>
            <w:r w:rsidRPr="0006760B">
              <w:rPr>
                <w:lang w:val="en-US"/>
              </w:rPr>
              <w:t>–2</w:t>
            </w:r>
            <w:r w:rsidR="00420389">
              <w:rPr>
                <w:lang w:val="en-US"/>
              </w:rPr>
              <w:t>6</w:t>
            </w:r>
            <w:r w:rsidRPr="0006760B">
              <w:rPr>
                <w:lang w:val="en-US"/>
              </w:rPr>
              <w:t xml:space="preserve">. </w:t>
            </w:r>
          </w:p>
          <w:p w14:paraId="23C84060" w14:textId="77777777" w:rsidR="00100539" w:rsidRPr="00857494" w:rsidRDefault="00100539" w:rsidP="00DA436D">
            <w:pPr>
              <w:spacing w:before="0" w:line="240" w:lineRule="auto"/>
              <w:rPr>
                <w:highlight w:val="yellow"/>
                <w:lang w:val="en-US"/>
              </w:rPr>
            </w:pPr>
          </w:p>
          <w:p w14:paraId="545A7B97" w14:textId="2BB89F22" w:rsidR="00100539" w:rsidRPr="00564EE5" w:rsidRDefault="002152A2" w:rsidP="00DA436D">
            <w:pPr>
              <w:spacing w:before="0" w:line="240" w:lineRule="auto"/>
              <w:rPr>
                <w:lang w:val="en-US"/>
              </w:rPr>
            </w:pPr>
            <w:r>
              <w:rPr>
                <w:lang w:val="en-US"/>
              </w:rPr>
              <w:t>Adjustment</w:t>
            </w:r>
            <w:r w:rsidRPr="002E5DDE">
              <w:rPr>
                <w:lang w:val="en-US"/>
              </w:rPr>
              <w:t xml:space="preserve"> included to account for difference between 202</w:t>
            </w:r>
            <w:r w:rsidR="000659C3">
              <w:rPr>
                <w:lang w:val="en-US"/>
              </w:rPr>
              <w:t>4</w:t>
            </w:r>
            <w:r w:rsidRPr="002E5DDE">
              <w:rPr>
                <w:lang w:val="en-US"/>
              </w:rPr>
              <w:t xml:space="preserve"> RPP, used in 202</w:t>
            </w:r>
            <w:r w:rsidR="00A2278B">
              <w:rPr>
                <w:lang w:val="en-US"/>
              </w:rPr>
              <w:t>4</w:t>
            </w:r>
            <w:r w:rsidRPr="002E5DDE">
              <w:rPr>
                <w:lang w:val="en-US"/>
              </w:rPr>
              <w:t>–2</w:t>
            </w:r>
            <w:r w:rsidR="00A2278B">
              <w:rPr>
                <w:lang w:val="en-US"/>
              </w:rPr>
              <w:t>5</w:t>
            </w:r>
            <w:r w:rsidRPr="002E5DDE">
              <w:rPr>
                <w:lang w:val="en-US"/>
              </w:rPr>
              <w:t xml:space="preserve"> Victorian Default Offer final decision, and the midpoint between 202</w:t>
            </w:r>
            <w:r w:rsidR="00A2278B">
              <w:rPr>
                <w:lang w:val="en-US"/>
              </w:rPr>
              <w:t>4</w:t>
            </w:r>
            <w:r w:rsidRPr="002E5DDE">
              <w:rPr>
                <w:lang w:val="en-US"/>
              </w:rPr>
              <w:t xml:space="preserve"> and 202</w:t>
            </w:r>
            <w:r w:rsidR="00A2278B">
              <w:rPr>
                <w:lang w:val="en-US"/>
              </w:rPr>
              <w:t>5</w:t>
            </w:r>
            <w:r w:rsidRPr="002E5DDE">
              <w:rPr>
                <w:lang w:val="en-US"/>
              </w:rPr>
              <w:t xml:space="preserve"> RPP’s.</w:t>
            </w:r>
          </w:p>
        </w:tc>
      </w:tr>
      <w:tr w:rsidR="00100539" w:rsidRPr="002E5DDE" w14:paraId="6BC7EFE0"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085C5F34" w14:textId="77777777" w:rsidR="00100539" w:rsidRPr="002E5DDE" w:rsidRDefault="00100539" w:rsidP="00DA436D">
            <w:pPr>
              <w:spacing w:before="0" w:line="240" w:lineRule="auto"/>
              <w:rPr>
                <w:lang w:val="en-US"/>
              </w:rPr>
            </w:pPr>
            <w:r w:rsidRPr="002E5DDE">
              <w:rPr>
                <w:lang w:val="en-US"/>
              </w:rPr>
              <w:lastRenderedPageBreak/>
              <w:t xml:space="preserve">Small-scale Renewable Energy Scheme </w:t>
            </w:r>
          </w:p>
          <w:p w14:paraId="5ABCF022" w14:textId="77777777" w:rsidR="00100539" w:rsidRPr="002E5DDE" w:rsidDel="00AE3AFC" w:rsidRDefault="00100539" w:rsidP="00DA436D">
            <w:pPr>
              <w:spacing w:before="0" w:line="240" w:lineRule="auto"/>
              <w:rPr>
                <w:lang w:val="en-US"/>
              </w:rPr>
            </w:pPr>
          </w:p>
        </w:tc>
        <w:tc>
          <w:tcPr>
            <w:tcW w:w="1608" w:type="pct"/>
          </w:tcPr>
          <w:p w14:paraId="1D552291" w14:textId="2276A089" w:rsidR="00100539" w:rsidRPr="002E5DDE" w:rsidRDefault="00100539" w:rsidP="00DA436D">
            <w:pPr>
              <w:spacing w:before="0" w:line="240" w:lineRule="auto"/>
              <w:rPr>
                <w:lang w:val="en-US"/>
              </w:rPr>
            </w:pPr>
            <w:r w:rsidRPr="002E5DDE">
              <w:rPr>
                <w:lang w:val="en-US"/>
              </w:rPr>
              <w:t>Estimated based on mid-point between 202</w:t>
            </w:r>
            <w:r w:rsidR="003F79EF">
              <w:rPr>
                <w:lang w:val="en-US"/>
              </w:rPr>
              <w:t>4</w:t>
            </w:r>
            <w:r w:rsidRPr="002E5DDE">
              <w:rPr>
                <w:lang w:val="en-US"/>
              </w:rPr>
              <w:t xml:space="preserve"> binding and 202</w:t>
            </w:r>
            <w:r w:rsidR="003F79EF">
              <w:rPr>
                <w:lang w:val="en-US"/>
              </w:rPr>
              <w:t>5</w:t>
            </w:r>
            <w:r w:rsidRPr="002E5DDE">
              <w:rPr>
                <w:lang w:val="en-US"/>
              </w:rPr>
              <w:t xml:space="preserve"> non-binding small-scale technology percentage multiplied by the clearing house price for small-scale technology certificates. </w:t>
            </w:r>
          </w:p>
          <w:p w14:paraId="661BE2D3" w14:textId="77777777" w:rsidR="00100539" w:rsidRPr="002E5DDE" w:rsidRDefault="00100539" w:rsidP="00DA436D">
            <w:pPr>
              <w:spacing w:before="0" w:line="240" w:lineRule="auto"/>
              <w:rPr>
                <w:lang w:val="en-US"/>
              </w:rPr>
            </w:pPr>
          </w:p>
          <w:p w14:paraId="56D9A3CC" w14:textId="3CAD7F48" w:rsidR="00100539" w:rsidRPr="002E5DDE" w:rsidRDefault="0087105D" w:rsidP="00DA436D">
            <w:pPr>
              <w:spacing w:before="0" w:line="240" w:lineRule="auto"/>
              <w:rPr>
                <w:lang w:val="en-US"/>
              </w:rPr>
            </w:pPr>
            <w:r>
              <w:rPr>
                <w:lang w:val="en-US"/>
              </w:rPr>
              <w:t>Adjustment</w:t>
            </w:r>
            <w:r w:rsidR="00100539" w:rsidRPr="002E5DDE">
              <w:rPr>
                <w:lang w:val="en-US"/>
              </w:rPr>
              <w:t xml:space="preserve"> included to account for the difference between the 202</w:t>
            </w:r>
            <w:r w:rsidR="003F79EF">
              <w:rPr>
                <w:lang w:val="en-US"/>
              </w:rPr>
              <w:t>4</w:t>
            </w:r>
            <w:r w:rsidR="00100539" w:rsidRPr="002E5DDE">
              <w:rPr>
                <w:lang w:val="en-US"/>
              </w:rPr>
              <w:t xml:space="preserve"> non-binding, used in the 202</w:t>
            </w:r>
            <w:r w:rsidR="004A622B">
              <w:rPr>
                <w:lang w:val="en-US"/>
              </w:rPr>
              <w:t>3</w:t>
            </w:r>
            <w:r w:rsidR="00100539" w:rsidRPr="002E5DDE">
              <w:rPr>
                <w:lang w:val="en-US"/>
              </w:rPr>
              <w:t>–2</w:t>
            </w:r>
            <w:r w:rsidR="004A622B">
              <w:rPr>
                <w:lang w:val="en-US"/>
              </w:rPr>
              <w:t>4</w:t>
            </w:r>
            <w:r w:rsidR="00100539" w:rsidRPr="002E5DDE">
              <w:rPr>
                <w:lang w:val="en-US"/>
              </w:rPr>
              <w:t xml:space="preserve"> Victorian Default Offer final decision, and the 202</w:t>
            </w:r>
            <w:r w:rsidR="00700AA4">
              <w:rPr>
                <w:lang w:val="en-US"/>
              </w:rPr>
              <w:t>4</w:t>
            </w:r>
            <w:r w:rsidR="00100539" w:rsidRPr="002E5DDE">
              <w:rPr>
                <w:lang w:val="en-US"/>
              </w:rPr>
              <w:t xml:space="preserve"> binding percentage. </w:t>
            </w:r>
          </w:p>
        </w:tc>
        <w:tc>
          <w:tcPr>
            <w:tcW w:w="1837" w:type="pct"/>
          </w:tcPr>
          <w:p w14:paraId="766DBF91" w14:textId="01964322" w:rsidR="00100539" w:rsidRPr="0046323D" w:rsidRDefault="00100539" w:rsidP="00DA436D">
            <w:pPr>
              <w:spacing w:before="0" w:line="240" w:lineRule="auto"/>
              <w:rPr>
                <w:lang w:val="en-US"/>
              </w:rPr>
            </w:pPr>
            <w:r w:rsidRPr="0046323D">
              <w:rPr>
                <w:lang w:val="en-US"/>
              </w:rPr>
              <w:t>No change in approach but updated small-scale technology percentage to reflect midpoint between the 202</w:t>
            </w:r>
            <w:r w:rsidR="0093268A" w:rsidRPr="0046323D">
              <w:rPr>
                <w:lang w:val="en-US"/>
              </w:rPr>
              <w:t>5</w:t>
            </w:r>
            <w:r w:rsidRPr="0046323D">
              <w:rPr>
                <w:lang w:val="en-US"/>
              </w:rPr>
              <w:t xml:space="preserve"> binding and 202</w:t>
            </w:r>
            <w:r w:rsidR="00436963" w:rsidRPr="0046323D">
              <w:rPr>
                <w:lang w:val="en-US"/>
              </w:rPr>
              <w:t>6</w:t>
            </w:r>
            <w:r w:rsidRPr="0046323D">
              <w:rPr>
                <w:lang w:val="en-US"/>
              </w:rPr>
              <w:t xml:space="preserve"> non-binding percentages. </w:t>
            </w:r>
          </w:p>
          <w:p w14:paraId="6B5B248B" w14:textId="77777777" w:rsidR="00100539" w:rsidRPr="0046323D" w:rsidRDefault="00100539" w:rsidP="00DA436D">
            <w:pPr>
              <w:spacing w:before="0" w:line="240" w:lineRule="auto"/>
              <w:rPr>
                <w:lang w:val="en-US"/>
              </w:rPr>
            </w:pPr>
          </w:p>
          <w:p w14:paraId="48FA2D6D" w14:textId="77777777" w:rsidR="00100539" w:rsidRDefault="0087105D" w:rsidP="00DA436D">
            <w:pPr>
              <w:spacing w:before="0" w:line="240" w:lineRule="auto"/>
              <w:rPr>
                <w:lang w:val="en-US"/>
              </w:rPr>
            </w:pPr>
            <w:r w:rsidRPr="0046323D">
              <w:rPr>
                <w:lang w:val="en-US"/>
              </w:rPr>
              <w:t>Adjustment</w:t>
            </w:r>
            <w:r w:rsidR="00100539" w:rsidRPr="0046323D">
              <w:rPr>
                <w:lang w:val="en-US"/>
              </w:rPr>
              <w:t xml:space="preserve"> was performed </w:t>
            </w:r>
            <w:r w:rsidR="00750FC2" w:rsidRPr="0046323D">
              <w:rPr>
                <w:lang w:val="en-US"/>
              </w:rPr>
              <w:t>and included in the</w:t>
            </w:r>
            <w:r w:rsidR="00100539" w:rsidRPr="0046323D">
              <w:rPr>
                <w:lang w:val="en-US"/>
              </w:rPr>
              <w:t xml:space="preserve"> final decision.</w:t>
            </w:r>
          </w:p>
          <w:p w14:paraId="031806F3" w14:textId="77777777" w:rsidR="004A622B" w:rsidRDefault="004A622B" w:rsidP="00DA436D">
            <w:pPr>
              <w:spacing w:before="0" w:line="240" w:lineRule="auto"/>
              <w:rPr>
                <w:lang w:val="en-US"/>
              </w:rPr>
            </w:pPr>
          </w:p>
          <w:p w14:paraId="2295E6E7" w14:textId="6FD1155D" w:rsidR="00100539" w:rsidRPr="00857494" w:rsidRDefault="00ED4262" w:rsidP="00DA436D">
            <w:pPr>
              <w:spacing w:before="0" w:line="240" w:lineRule="auto"/>
              <w:rPr>
                <w:highlight w:val="yellow"/>
                <w:lang w:val="en-US"/>
              </w:rPr>
            </w:pPr>
            <w:r>
              <w:rPr>
                <w:lang w:val="en-US"/>
              </w:rPr>
              <w:t>Adjustment</w:t>
            </w:r>
            <w:r w:rsidRPr="002E5DDE">
              <w:rPr>
                <w:lang w:val="en-US"/>
              </w:rPr>
              <w:t xml:space="preserve"> included to account for the difference between the 202</w:t>
            </w:r>
            <w:r>
              <w:rPr>
                <w:lang w:val="en-US"/>
              </w:rPr>
              <w:t>5</w:t>
            </w:r>
            <w:r w:rsidRPr="002E5DDE">
              <w:rPr>
                <w:lang w:val="en-US"/>
              </w:rPr>
              <w:t xml:space="preserve"> non-binding, used in the 202</w:t>
            </w:r>
            <w:r>
              <w:rPr>
                <w:lang w:val="en-US"/>
              </w:rPr>
              <w:t>4</w:t>
            </w:r>
            <w:r w:rsidRPr="002E5DDE">
              <w:rPr>
                <w:lang w:val="en-US"/>
              </w:rPr>
              <w:t>–2</w:t>
            </w:r>
            <w:r>
              <w:rPr>
                <w:lang w:val="en-US"/>
              </w:rPr>
              <w:t>5</w:t>
            </w:r>
            <w:r w:rsidRPr="002E5DDE">
              <w:rPr>
                <w:lang w:val="en-US"/>
              </w:rPr>
              <w:t xml:space="preserve"> Victorian Default Offer final decision, and the 202</w:t>
            </w:r>
            <w:r w:rsidR="00541691">
              <w:rPr>
                <w:lang w:val="en-US"/>
              </w:rPr>
              <w:t>5</w:t>
            </w:r>
            <w:r w:rsidRPr="002E5DDE">
              <w:rPr>
                <w:lang w:val="en-US"/>
              </w:rPr>
              <w:t xml:space="preserve"> binding percentage.</w:t>
            </w:r>
          </w:p>
        </w:tc>
      </w:tr>
      <w:tr w:rsidR="00100539" w:rsidRPr="002E5DDE" w14:paraId="2F4C1C10"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704A5AE9" w14:textId="42B56FF5" w:rsidR="00100539" w:rsidRPr="002E5DDE" w:rsidDel="00AE3AFC" w:rsidRDefault="00100539" w:rsidP="00DA436D">
            <w:pPr>
              <w:spacing w:before="0" w:line="240" w:lineRule="auto"/>
              <w:rPr>
                <w:lang w:val="en-US"/>
              </w:rPr>
            </w:pPr>
            <w:r w:rsidRPr="002E5DDE">
              <w:rPr>
                <w:lang w:val="en-US"/>
              </w:rPr>
              <w:t>Victorian Energy Upgrades</w:t>
            </w:r>
            <w:r w:rsidR="005A3684">
              <w:rPr>
                <w:lang w:val="en-US"/>
              </w:rPr>
              <w:t xml:space="preserve"> program</w:t>
            </w:r>
          </w:p>
        </w:tc>
        <w:tc>
          <w:tcPr>
            <w:tcW w:w="1608" w:type="pct"/>
          </w:tcPr>
          <w:p w14:paraId="6F8E8445" w14:textId="3BB30640" w:rsidR="00100539" w:rsidRPr="002E5DDE" w:rsidRDefault="00100539" w:rsidP="00DA436D">
            <w:pPr>
              <w:spacing w:before="0" w:line="240" w:lineRule="auto"/>
              <w:rPr>
                <w:lang w:val="en-US"/>
              </w:rPr>
            </w:pPr>
            <w:r w:rsidRPr="002E5DDE">
              <w:rPr>
                <w:lang w:val="en-US"/>
              </w:rPr>
              <w:t>Estimated based on the 202</w:t>
            </w:r>
            <w:r w:rsidR="00035FBA">
              <w:rPr>
                <w:lang w:val="en-US"/>
              </w:rPr>
              <w:t>4</w:t>
            </w:r>
            <w:r w:rsidRPr="002E5DDE">
              <w:rPr>
                <w:lang w:val="en-US"/>
              </w:rPr>
              <w:t xml:space="preserve"> greenhouse reduction rate for electricity multiplied by the historic 12-month trade-weighted average price for Victorian </w:t>
            </w:r>
            <w:r w:rsidR="00702447">
              <w:rPr>
                <w:lang w:val="en-US"/>
              </w:rPr>
              <w:t>E</w:t>
            </w:r>
            <w:r w:rsidRPr="002E5DDE">
              <w:rPr>
                <w:lang w:val="en-US"/>
              </w:rPr>
              <w:t xml:space="preserve">nergy </w:t>
            </w:r>
            <w:r w:rsidR="00702447">
              <w:rPr>
                <w:lang w:val="en-US"/>
              </w:rPr>
              <w:t>E</w:t>
            </w:r>
            <w:r w:rsidRPr="002E5DDE">
              <w:rPr>
                <w:lang w:val="en-US"/>
              </w:rPr>
              <w:t xml:space="preserve">fficiency </w:t>
            </w:r>
            <w:r w:rsidR="00702447">
              <w:rPr>
                <w:lang w:val="en-US"/>
              </w:rPr>
              <w:t>C</w:t>
            </w:r>
            <w:r w:rsidRPr="002E5DDE">
              <w:rPr>
                <w:lang w:val="en-US"/>
              </w:rPr>
              <w:t xml:space="preserve">ertificates. </w:t>
            </w:r>
          </w:p>
        </w:tc>
        <w:tc>
          <w:tcPr>
            <w:tcW w:w="1837" w:type="pct"/>
          </w:tcPr>
          <w:p w14:paraId="5A9B6324" w14:textId="77777777" w:rsidR="00100539" w:rsidRPr="003E7419" w:rsidRDefault="00100539" w:rsidP="00DA436D">
            <w:pPr>
              <w:spacing w:before="0" w:line="240" w:lineRule="auto"/>
              <w:rPr>
                <w:lang w:val="en-US"/>
              </w:rPr>
            </w:pPr>
            <w:r w:rsidRPr="003E7419">
              <w:rPr>
                <w:lang w:val="en-US"/>
              </w:rPr>
              <w:t>No change in approach but used 202</w:t>
            </w:r>
            <w:r w:rsidR="00702447" w:rsidRPr="003E7419">
              <w:rPr>
                <w:lang w:val="en-US"/>
              </w:rPr>
              <w:t>5</w:t>
            </w:r>
            <w:r w:rsidRPr="003E7419">
              <w:rPr>
                <w:lang w:val="en-US"/>
              </w:rPr>
              <w:t xml:space="preserve"> greenhouse reduction rate and used more recent 12-month Victorian </w:t>
            </w:r>
            <w:r w:rsidR="00702447" w:rsidRPr="003E7419">
              <w:rPr>
                <w:lang w:val="en-US"/>
              </w:rPr>
              <w:t>E</w:t>
            </w:r>
            <w:r w:rsidRPr="003E7419">
              <w:rPr>
                <w:lang w:val="en-US"/>
              </w:rPr>
              <w:t xml:space="preserve">nergy </w:t>
            </w:r>
            <w:r w:rsidR="00702447" w:rsidRPr="003E7419">
              <w:rPr>
                <w:lang w:val="en-US"/>
              </w:rPr>
              <w:t>E</w:t>
            </w:r>
            <w:r w:rsidRPr="003E7419">
              <w:rPr>
                <w:lang w:val="en-US"/>
              </w:rPr>
              <w:t xml:space="preserve">fficiency </w:t>
            </w:r>
            <w:r w:rsidR="00702447" w:rsidRPr="003E7419">
              <w:rPr>
                <w:lang w:val="en-US"/>
              </w:rPr>
              <w:br/>
              <w:t>C</w:t>
            </w:r>
            <w:r w:rsidRPr="003E7419">
              <w:rPr>
                <w:lang w:val="en-US"/>
              </w:rPr>
              <w:t xml:space="preserve">ertificates prices and trade volumes. </w:t>
            </w:r>
          </w:p>
          <w:p w14:paraId="0BFC56B2" w14:textId="77777777" w:rsidR="00CF261F" w:rsidRPr="003E7419" w:rsidRDefault="00CF261F" w:rsidP="00DA436D">
            <w:pPr>
              <w:spacing w:before="0" w:line="240" w:lineRule="auto"/>
              <w:rPr>
                <w:lang w:val="en-US"/>
              </w:rPr>
            </w:pPr>
          </w:p>
          <w:p w14:paraId="49752CFF" w14:textId="285D4D00" w:rsidR="00100539" w:rsidRPr="00857494" w:rsidRDefault="00CF261F" w:rsidP="00DA436D">
            <w:pPr>
              <w:spacing w:before="0" w:line="240" w:lineRule="auto"/>
              <w:rPr>
                <w:highlight w:val="yellow"/>
                <w:lang w:val="en-US"/>
              </w:rPr>
            </w:pPr>
            <w:r w:rsidRPr="003E7419">
              <w:rPr>
                <w:lang w:val="en-US"/>
              </w:rPr>
              <w:t xml:space="preserve">Volume weighted trades </w:t>
            </w:r>
            <w:proofErr w:type="gramStart"/>
            <w:r w:rsidRPr="003E7419">
              <w:rPr>
                <w:lang w:val="en-US"/>
              </w:rPr>
              <w:t>taken</w:t>
            </w:r>
            <w:proofErr w:type="gramEnd"/>
            <w:r w:rsidRPr="003E7419">
              <w:rPr>
                <w:lang w:val="en-US"/>
              </w:rPr>
              <w:t xml:space="preserve"> up until 14 April</w:t>
            </w:r>
            <w:r w:rsidR="00BC6E95">
              <w:rPr>
                <w:lang w:val="en-US"/>
              </w:rPr>
              <w:t xml:space="preserve"> 2025</w:t>
            </w:r>
            <w:r w:rsidRPr="003E7419">
              <w:rPr>
                <w:lang w:val="en-US"/>
              </w:rPr>
              <w:t xml:space="preserve">. </w:t>
            </w:r>
          </w:p>
        </w:tc>
      </w:tr>
      <w:tr w:rsidR="00100539" w:rsidRPr="002E5DDE" w14:paraId="755E910C"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15DD5B18" w14:textId="77777777" w:rsidR="00100539" w:rsidRPr="002E5DDE" w:rsidDel="00AE3AFC" w:rsidRDefault="00100539" w:rsidP="00DA436D">
            <w:pPr>
              <w:spacing w:before="0" w:line="240" w:lineRule="auto"/>
              <w:rPr>
                <w:lang w:val="en-US"/>
              </w:rPr>
            </w:pPr>
            <w:r w:rsidRPr="002E5DDE">
              <w:rPr>
                <w:lang w:val="en-US"/>
              </w:rPr>
              <w:t>Minimum feed-in tariff (social costs of carbon)</w:t>
            </w:r>
          </w:p>
        </w:tc>
        <w:tc>
          <w:tcPr>
            <w:tcW w:w="1608" w:type="pct"/>
          </w:tcPr>
          <w:p w14:paraId="67FC73EB" w14:textId="43A5F699" w:rsidR="00100539" w:rsidRPr="002E5DDE" w:rsidDel="00AE3AFC" w:rsidRDefault="00100539" w:rsidP="00DA436D">
            <w:pPr>
              <w:spacing w:before="0" w:line="240" w:lineRule="auto"/>
              <w:rPr>
                <w:lang w:val="en-US"/>
              </w:rPr>
            </w:pPr>
            <w:r w:rsidRPr="002E5DDE">
              <w:rPr>
                <w:lang w:val="en-US"/>
              </w:rPr>
              <w:t>Estimated based on total renewable exports for the 202</w:t>
            </w:r>
            <w:r w:rsidR="00193E26">
              <w:rPr>
                <w:lang w:val="en-US"/>
              </w:rPr>
              <w:t>3</w:t>
            </w:r>
            <w:r w:rsidRPr="002E5DDE">
              <w:rPr>
                <w:lang w:val="en-US"/>
              </w:rPr>
              <w:t xml:space="preserve"> calendar year, multiplied by the social cost of carbon</w:t>
            </w:r>
            <w:r w:rsidR="00874363">
              <w:rPr>
                <w:lang w:val="en-US"/>
              </w:rPr>
              <w:t xml:space="preserve"> applied to consumption</w:t>
            </w:r>
            <w:r w:rsidRPr="002E5DDE">
              <w:rPr>
                <w:lang w:val="en-US"/>
              </w:rPr>
              <w:t xml:space="preserve">. </w:t>
            </w:r>
          </w:p>
        </w:tc>
        <w:tc>
          <w:tcPr>
            <w:tcW w:w="1837" w:type="pct"/>
          </w:tcPr>
          <w:p w14:paraId="5AF7F428" w14:textId="08E07B87" w:rsidR="00100539" w:rsidRPr="00857494" w:rsidRDefault="007B129F" w:rsidP="00DA436D">
            <w:pPr>
              <w:spacing w:before="0" w:line="240" w:lineRule="auto"/>
              <w:rPr>
                <w:highlight w:val="yellow"/>
                <w:lang w:val="en-US"/>
              </w:rPr>
            </w:pPr>
            <w:r w:rsidRPr="00AA1A9F">
              <w:rPr>
                <w:lang w:val="en-US"/>
              </w:rPr>
              <w:t xml:space="preserve">The </w:t>
            </w:r>
            <w:r w:rsidR="001577B1" w:rsidRPr="00AA1A9F">
              <w:rPr>
                <w:lang w:val="en-US"/>
              </w:rPr>
              <w:t>minimum feed-in</w:t>
            </w:r>
            <w:r w:rsidR="00366865" w:rsidRPr="00AA1A9F">
              <w:rPr>
                <w:lang w:val="en-US"/>
              </w:rPr>
              <w:t xml:space="preserve"> tariff has been deregulated</w:t>
            </w:r>
            <w:r w:rsidR="00605E79" w:rsidRPr="00AA1A9F">
              <w:rPr>
                <w:lang w:val="en-US"/>
              </w:rPr>
              <w:t>. There is no require</w:t>
            </w:r>
            <w:r w:rsidR="00455E38" w:rsidRPr="00AA1A9F">
              <w:rPr>
                <w:lang w:val="en-US"/>
              </w:rPr>
              <w:t>ment for ret</w:t>
            </w:r>
            <w:r w:rsidR="005D5069" w:rsidRPr="00AA1A9F">
              <w:rPr>
                <w:lang w:val="en-US"/>
              </w:rPr>
              <w:t xml:space="preserve">ailers to pay the social cost of carbon. This </w:t>
            </w:r>
            <w:r w:rsidR="00FB687D" w:rsidRPr="00AA1A9F">
              <w:rPr>
                <w:lang w:val="en-US"/>
              </w:rPr>
              <w:t>has</w:t>
            </w:r>
            <w:r w:rsidR="005D5069" w:rsidRPr="00AA1A9F">
              <w:rPr>
                <w:lang w:val="en-US"/>
              </w:rPr>
              <w:t xml:space="preserve"> been re</w:t>
            </w:r>
            <w:r w:rsidR="005525CC" w:rsidRPr="00AA1A9F">
              <w:rPr>
                <w:lang w:val="en-US"/>
              </w:rPr>
              <w:t>moved from the cost sta</w:t>
            </w:r>
            <w:r w:rsidR="00015FF9" w:rsidRPr="00AA1A9F">
              <w:rPr>
                <w:lang w:val="en-US"/>
              </w:rPr>
              <w:t>ck</w:t>
            </w:r>
            <w:r w:rsidR="005525CC" w:rsidRPr="00AA1A9F">
              <w:rPr>
                <w:lang w:val="en-US"/>
              </w:rPr>
              <w:t>.</w:t>
            </w:r>
          </w:p>
        </w:tc>
      </w:tr>
      <w:tr w:rsidR="00100539" w:rsidRPr="002E5DDE" w14:paraId="1BD716E2"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47EF767D" w14:textId="77777777" w:rsidR="00100539" w:rsidRPr="002E5DDE" w:rsidRDefault="00100539" w:rsidP="00DA436D">
            <w:pPr>
              <w:spacing w:before="0" w:line="240" w:lineRule="auto"/>
              <w:rPr>
                <w:lang w:val="en-US"/>
              </w:rPr>
            </w:pPr>
            <w:r w:rsidRPr="002E5DDE">
              <w:rPr>
                <w:lang w:val="en-US"/>
              </w:rPr>
              <w:t>Retail operating costs</w:t>
            </w:r>
          </w:p>
        </w:tc>
        <w:tc>
          <w:tcPr>
            <w:tcW w:w="1608" w:type="pct"/>
          </w:tcPr>
          <w:p w14:paraId="48A18070" w14:textId="2BCAFC12" w:rsidR="00100539" w:rsidRPr="002E5DDE" w:rsidRDefault="00100539" w:rsidP="00DA436D">
            <w:pPr>
              <w:spacing w:before="0" w:line="240" w:lineRule="auto"/>
              <w:rPr>
                <w:lang w:val="en-US"/>
              </w:rPr>
            </w:pPr>
            <w:r w:rsidRPr="002E5DDE">
              <w:rPr>
                <w:lang w:val="en-US"/>
              </w:rPr>
              <w:t>Estimated based on a benchmark, set by taking the customer</w:t>
            </w:r>
            <w:r w:rsidR="007A41F6" w:rsidRPr="007A41F6">
              <w:rPr>
                <w:lang w:val="en-US"/>
              </w:rPr>
              <w:t>-</w:t>
            </w:r>
            <w:r w:rsidRPr="002E5DDE">
              <w:rPr>
                <w:lang w:val="en-US"/>
              </w:rPr>
              <w:t>weighted average of retailers’ actual operating cost data from financial year 2022</w:t>
            </w:r>
            <w:r w:rsidR="007A41F6" w:rsidRPr="007A41F6">
              <w:rPr>
                <w:lang w:val="en-US"/>
              </w:rPr>
              <w:t>–-</w:t>
            </w:r>
            <w:r w:rsidRPr="002E5DDE">
              <w:rPr>
                <w:lang w:val="en-US"/>
              </w:rPr>
              <w:t xml:space="preserve">23 and </w:t>
            </w:r>
            <w:r w:rsidR="007A41F6" w:rsidRPr="007A41F6">
              <w:rPr>
                <w:lang w:val="en-US"/>
              </w:rPr>
              <w:t xml:space="preserve">adjusted </w:t>
            </w:r>
            <w:r w:rsidRPr="002E5DDE">
              <w:rPr>
                <w:lang w:val="en-US"/>
              </w:rPr>
              <w:t>for the change in consumer price index since June 2023.</w:t>
            </w:r>
          </w:p>
        </w:tc>
        <w:tc>
          <w:tcPr>
            <w:tcW w:w="1837" w:type="pct"/>
          </w:tcPr>
          <w:p w14:paraId="76C91928" w14:textId="5D1FAF6C" w:rsidR="00100539" w:rsidRPr="00857494" w:rsidRDefault="00100539" w:rsidP="00DA436D">
            <w:pPr>
              <w:spacing w:before="0" w:line="240" w:lineRule="auto"/>
              <w:rPr>
                <w:highlight w:val="yellow"/>
                <w:lang w:val="en-US"/>
              </w:rPr>
            </w:pPr>
            <w:r w:rsidRPr="0005717E">
              <w:rPr>
                <w:lang w:val="en-US"/>
              </w:rPr>
              <w:t xml:space="preserve">Estimated based on </w:t>
            </w:r>
            <w:r w:rsidR="00A74B00" w:rsidRPr="0005717E">
              <w:rPr>
                <w:lang w:val="en-US"/>
              </w:rPr>
              <w:t>a benchmark</w:t>
            </w:r>
            <w:r w:rsidRPr="0005717E">
              <w:rPr>
                <w:lang w:val="en-US"/>
              </w:rPr>
              <w:t>, set by taking the customer weighted average of retailers’ actual operating cost data from financial year 2023</w:t>
            </w:r>
            <w:r w:rsidR="00EB6A4F" w:rsidRPr="0005717E">
              <w:rPr>
                <w:rStyle w:val="ui-provider"/>
                <w:i/>
              </w:rPr>
              <w:t>–</w:t>
            </w:r>
            <w:r w:rsidRPr="0005717E">
              <w:rPr>
                <w:lang w:val="en-US"/>
              </w:rPr>
              <w:t>24</w:t>
            </w:r>
            <w:r w:rsidR="00A74B00" w:rsidRPr="0005717E">
              <w:rPr>
                <w:lang w:val="en-US"/>
              </w:rPr>
              <w:t xml:space="preserve"> and adjust</w:t>
            </w:r>
            <w:r w:rsidR="00224F82">
              <w:rPr>
                <w:lang w:val="en-US"/>
              </w:rPr>
              <w:t>ed</w:t>
            </w:r>
            <w:r w:rsidRPr="0005717E">
              <w:rPr>
                <w:lang w:val="en-US"/>
              </w:rPr>
              <w:t xml:space="preserve"> for the change in consumer price index </w:t>
            </w:r>
            <w:r w:rsidR="49ECB0F2" w:rsidRPr="55325F0D">
              <w:rPr>
                <w:lang w:val="en-US"/>
              </w:rPr>
              <w:t>from</w:t>
            </w:r>
            <w:r w:rsidRPr="0005717E">
              <w:rPr>
                <w:lang w:val="en-US"/>
              </w:rPr>
              <w:t xml:space="preserve"> June </w:t>
            </w:r>
            <w:r w:rsidRPr="00987A3A">
              <w:rPr>
                <w:lang w:val="en-US"/>
              </w:rPr>
              <w:t>2024</w:t>
            </w:r>
            <w:r w:rsidR="00A04AF5" w:rsidRPr="00987A3A">
              <w:rPr>
                <w:lang w:val="en-US"/>
              </w:rPr>
              <w:t xml:space="preserve"> to </w:t>
            </w:r>
            <w:r w:rsidR="00A751C4" w:rsidRPr="00987A3A">
              <w:rPr>
                <w:lang w:val="en-US"/>
              </w:rPr>
              <w:t>Mar 2025</w:t>
            </w:r>
            <w:r w:rsidR="00A04AF5" w:rsidRPr="00987A3A">
              <w:rPr>
                <w:lang w:val="en-US"/>
              </w:rPr>
              <w:t>.</w:t>
            </w:r>
          </w:p>
        </w:tc>
      </w:tr>
      <w:tr w:rsidR="00100539" w:rsidRPr="002E5DDE" w14:paraId="730BB4F4"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25959F9D" w14:textId="77777777" w:rsidR="00100539" w:rsidRPr="002E5DDE" w:rsidRDefault="00100539" w:rsidP="00DA436D">
            <w:pPr>
              <w:spacing w:before="0" w:line="240" w:lineRule="auto"/>
              <w:rPr>
                <w:lang w:val="en-US"/>
              </w:rPr>
            </w:pPr>
            <w:r w:rsidRPr="002E5DDE">
              <w:rPr>
                <w:lang w:val="en-US"/>
              </w:rPr>
              <w:t>Modest customer acquisition and retention costs</w:t>
            </w:r>
          </w:p>
        </w:tc>
        <w:tc>
          <w:tcPr>
            <w:tcW w:w="1608" w:type="pct"/>
          </w:tcPr>
          <w:p w14:paraId="781916C2" w14:textId="7C542FC3" w:rsidR="00100539" w:rsidRPr="002E5DDE" w:rsidRDefault="00100539" w:rsidP="00DA436D">
            <w:pPr>
              <w:spacing w:before="0" w:line="240" w:lineRule="auto"/>
              <w:rPr>
                <w:lang w:val="en-US"/>
              </w:rPr>
            </w:pPr>
            <w:r w:rsidRPr="002E5DDE">
              <w:t xml:space="preserve">Estimated based on cost levels from the Australian Competition and Consumer Commission’s retail and electricity pricing inquiry’s </w:t>
            </w:r>
            <w:r w:rsidRPr="002E5DDE">
              <w:lastRenderedPageBreak/>
              <w:t>final report</w:t>
            </w:r>
            <w:r w:rsidR="001C3EDB">
              <w:t>,</w:t>
            </w:r>
            <w:r w:rsidRPr="002E5DDE">
              <w:t xml:space="preserve"> updated for inflation.</w:t>
            </w:r>
            <w:r w:rsidRPr="002E5DDE">
              <w:rPr>
                <w:rStyle w:val="FootnoteReference"/>
              </w:rPr>
              <w:footnoteReference w:id="182"/>
            </w:r>
          </w:p>
        </w:tc>
        <w:tc>
          <w:tcPr>
            <w:tcW w:w="1837" w:type="pct"/>
          </w:tcPr>
          <w:p w14:paraId="758B10AD" w14:textId="77777777" w:rsidR="00100539" w:rsidRPr="00CE345B" w:rsidRDefault="00100539" w:rsidP="00DA436D">
            <w:pPr>
              <w:spacing w:before="0" w:line="240" w:lineRule="auto"/>
              <w:rPr>
                <w:lang w:val="en-US"/>
              </w:rPr>
            </w:pPr>
            <w:r w:rsidRPr="00CE345B">
              <w:rPr>
                <w:lang w:val="en-US"/>
              </w:rPr>
              <w:lastRenderedPageBreak/>
              <w:t>No change in approach. Updated for inflation.</w:t>
            </w:r>
          </w:p>
        </w:tc>
      </w:tr>
      <w:tr w:rsidR="00100539" w:rsidRPr="002E5DDE" w14:paraId="679A181B"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2329FB70" w14:textId="77777777" w:rsidR="00100539" w:rsidRPr="002E5DDE" w:rsidRDefault="00100539" w:rsidP="00DA436D">
            <w:pPr>
              <w:spacing w:before="0" w:line="240" w:lineRule="auto"/>
              <w:rPr>
                <w:lang w:val="en-US"/>
              </w:rPr>
            </w:pPr>
            <w:r w:rsidRPr="002E5DDE">
              <w:rPr>
                <w:lang w:val="en-US"/>
              </w:rPr>
              <w:t>Other costs</w:t>
            </w:r>
          </w:p>
        </w:tc>
        <w:tc>
          <w:tcPr>
            <w:tcW w:w="1608" w:type="pct"/>
          </w:tcPr>
          <w:p w14:paraId="1C9FC8D6" w14:textId="14282D3B" w:rsidR="00100539" w:rsidRPr="002E5DDE" w:rsidRDefault="00100539" w:rsidP="00DA436D">
            <w:pPr>
              <w:spacing w:before="0" w:line="240" w:lineRule="auto"/>
              <w:rPr>
                <w:lang w:val="en-US"/>
              </w:rPr>
            </w:pPr>
            <w:r w:rsidRPr="4EB6CF14">
              <w:rPr>
                <w:lang w:val="en-US"/>
              </w:rPr>
              <w:t xml:space="preserve">Estimated and updated based on the latest available information on the: Australian Energy Market Operator’s compensation updates, fees and charges; </w:t>
            </w:r>
            <w:r w:rsidR="001C3EDB">
              <w:rPr>
                <w:lang w:val="en-US"/>
              </w:rPr>
              <w:t>R</w:t>
            </w:r>
            <w:r w:rsidRPr="4EB6CF14">
              <w:rPr>
                <w:lang w:val="en-US"/>
              </w:rPr>
              <w:t xml:space="preserve">eliability and </w:t>
            </w:r>
            <w:r w:rsidR="001C3EDB">
              <w:rPr>
                <w:lang w:val="en-US"/>
              </w:rPr>
              <w:t>E</w:t>
            </w:r>
            <w:r w:rsidRPr="4EB6CF14">
              <w:rPr>
                <w:lang w:val="en-US"/>
              </w:rPr>
              <w:t xml:space="preserve">mergency </w:t>
            </w:r>
            <w:r w:rsidR="001C3EDB">
              <w:rPr>
                <w:lang w:val="en-US"/>
              </w:rPr>
              <w:t>R</w:t>
            </w:r>
            <w:r w:rsidRPr="4EB6CF14">
              <w:rPr>
                <w:lang w:val="en-US"/>
              </w:rPr>
              <w:t xml:space="preserve">eserve </w:t>
            </w:r>
            <w:r w:rsidR="001C3EDB">
              <w:rPr>
                <w:lang w:val="en-US"/>
              </w:rPr>
              <w:t>T</w:t>
            </w:r>
            <w:r w:rsidRPr="4EB6CF14">
              <w:rPr>
                <w:lang w:val="en-US"/>
              </w:rPr>
              <w:t xml:space="preserve">rader costs; and Essential Services Commission </w:t>
            </w:r>
            <w:r w:rsidR="34418A8A" w:rsidRPr="4EB6CF14">
              <w:rPr>
                <w:lang w:val="en-US"/>
              </w:rPr>
              <w:t>licen</w:t>
            </w:r>
            <w:r w:rsidR="003902EA">
              <w:rPr>
                <w:lang w:val="en-US"/>
              </w:rPr>
              <w:t>c</w:t>
            </w:r>
            <w:r w:rsidR="34418A8A" w:rsidRPr="4EB6CF14">
              <w:rPr>
                <w:lang w:val="en-US"/>
              </w:rPr>
              <w:t>e</w:t>
            </w:r>
            <w:r w:rsidRPr="4EB6CF14">
              <w:rPr>
                <w:lang w:val="en-US"/>
              </w:rPr>
              <w:t xml:space="preserve"> fees.</w:t>
            </w:r>
          </w:p>
          <w:p w14:paraId="38E888B8" w14:textId="77777777" w:rsidR="00100539" w:rsidRPr="002E5DDE" w:rsidRDefault="00100539" w:rsidP="00DA436D">
            <w:pPr>
              <w:spacing w:before="0" w:line="240" w:lineRule="auto"/>
              <w:rPr>
                <w:lang w:val="en-US"/>
              </w:rPr>
            </w:pPr>
          </w:p>
          <w:p w14:paraId="4BD1BF8D" w14:textId="0A6CDAB1" w:rsidR="00100539" w:rsidRPr="002E5DDE" w:rsidRDefault="00100539" w:rsidP="00DA436D">
            <w:pPr>
              <w:spacing w:before="0" w:line="240" w:lineRule="auto"/>
              <w:rPr>
                <w:lang w:val="en-US"/>
              </w:rPr>
            </w:pPr>
            <w:r w:rsidRPr="002E5DDE">
              <w:rPr>
                <w:lang w:val="en-US"/>
              </w:rPr>
              <w:t>Included amounts to reflect known market intervention compensations amounts determined by the Australia</w:t>
            </w:r>
            <w:r w:rsidR="000C4433">
              <w:rPr>
                <w:lang w:val="en-US"/>
              </w:rPr>
              <w:t>n</w:t>
            </w:r>
            <w:r w:rsidRPr="002E5DDE">
              <w:rPr>
                <w:lang w:val="en-US"/>
              </w:rPr>
              <w:t xml:space="preserve"> Energy Market Operator for directions, suspension pricing (provisional and revision amounts) and administered pricing compensations claims as of 28 April 2023 relating to the June 2022 market intervention event. </w:t>
            </w:r>
          </w:p>
        </w:tc>
        <w:tc>
          <w:tcPr>
            <w:tcW w:w="1837" w:type="pct"/>
          </w:tcPr>
          <w:p w14:paraId="48AE73B7" w14:textId="43CF67AE" w:rsidR="00100539" w:rsidRPr="00857494" w:rsidRDefault="00100539" w:rsidP="00DA436D">
            <w:pPr>
              <w:spacing w:before="0" w:line="240" w:lineRule="auto"/>
              <w:rPr>
                <w:highlight w:val="yellow"/>
                <w:lang w:val="en-US"/>
              </w:rPr>
            </w:pPr>
            <w:r w:rsidRPr="00987A3A">
              <w:rPr>
                <w:lang w:val="en-US"/>
              </w:rPr>
              <w:t>No change in approach but used more recent Australian Energy Market Operator</w:t>
            </w:r>
            <w:r w:rsidR="001C3EDB">
              <w:rPr>
                <w:lang w:val="en-US"/>
              </w:rPr>
              <w:t>’</w:t>
            </w:r>
            <w:r w:rsidRPr="00987A3A">
              <w:rPr>
                <w:lang w:val="en-US"/>
              </w:rPr>
              <w:t xml:space="preserve">s final budget and fees and included known costs recovered due to market intervention events. </w:t>
            </w:r>
          </w:p>
        </w:tc>
      </w:tr>
      <w:tr w:rsidR="00100539" w:rsidRPr="002E5DDE" w14:paraId="73F70BA4"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1D9BC1D7" w14:textId="77777777" w:rsidR="00100539" w:rsidRPr="002E5DDE" w:rsidRDefault="00100539" w:rsidP="00DA436D">
            <w:pPr>
              <w:spacing w:before="0" w:line="240" w:lineRule="auto"/>
              <w:rPr>
                <w:lang w:val="en-US"/>
              </w:rPr>
            </w:pPr>
            <w:r w:rsidRPr="002E5DDE">
              <w:rPr>
                <w:lang w:val="en-US"/>
              </w:rPr>
              <w:t>Retail operating margin</w:t>
            </w:r>
          </w:p>
        </w:tc>
        <w:tc>
          <w:tcPr>
            <w:tcW w:w="1608" w:type="pct"/>
          </w:tcPr>
          <w:p w14:paraId="7B681C82" w14:textId="77777777" w:rsidR="00100539" w:rsidRPr="002E5DDE" w:rsidRDefault="00100539" w:rsidP="00DA436D">
            <w:pPr>
              <w:spacing w:before="0" w:line="240" w:lineRule="auto"/>
              <w:rPr>
                <w:lang w:val="en-US"/>
              </w:rPr>
            </w:pPr>
            <w:r w:rsidRPr="002E5DDE">
              <w:rPr>
                <w:lang w:val="en-US"/>
              </w:rPr>
              <w:t>Set at 5.3% of cost stack having regard to benchmarks set by other regulators and the expected returns model.</w:t>
            </w:r>
          </w:p>
          <w:p w14:paraId="641AAB66" w14:textId="77777777" w:rsidR="00100539" w:rsidRPr="002E5DDE" w:rsidRDefault="00100539" w:rsidP="00DA436D">
            <w:pPr>
              <w:spacing w:before="0" w:line="240" w:lineRule="auto"/>
              <w:rPr>
                <w:lang w:val="en-US"/>
              </w:rPr>
            </w:pPr>
          </w:p>
          <w:p w14:paraId="6E2E51C7" w14:textId="4864F4F0" w:rsidR="00100539" w:rsidRPr="00581852" w:rsidRDefault="00100539" w:rsidP="00DA436D">
            <w:pPr>
              <w:spacing w:before="0" w:line="240" w:lineRule="auto"/>
            </w:pPr>
          </w:p>
        </w:tc>
        <w:tc>
          <w:tcPr>
            <w:tcW w:w="1837" w:type="pct"/>
          </w:tcPr>
          <w:p w14:paraId="02042473" w14:textId="33245C74" w:rsidR="00100539" w:rsidRPr="00857494" w:rsidRDefault="00100539" w:rsidP="00DA436D">
            <w:pPr>
              <w:spacing w:before="0" w:line="240" w:lineRule="auto"/>
              <w:rPr>
                <w:highlight w:val="yellow"/>
                <w:lang w:val="en-US"/>
              </w:rPr>
            </w:pPr>
            <w:r w:rsidRPr="0039508B">
              <w:rPr>
                <w:lang w:val="en-US"/>
              </w:rPr>
              <w:t>No change in approach</w:t>
            </w:r>
            <w:r w:rsidR="00C27275" w:rsidRPr="0039508B">
              <w:rPr>
                <w:lang w:val="en-US"/>
              </w:rPr>
              <w:t xml:space="preserve"> </w:t>
            </w:r>
            <w:r w:rsidR="00967E16" w:rsidRPr="0039508B">
              <w:rPr>
                <w:lang w:val="en-US"/>
              </w:rPr>
              <w:t xml:space="preserve">but </w:t>
            </w:r>
            <w:r w:rsidR="00734044" w:rsidRPr="0039508B">
              <w:rPr>
                <w:lang w:val="en-US"/>
              </w:rPr>
              <w:t xml:space="preserve">margin </w:t>
            </w:r>
            <w:r w:rsidR="006D7737" w:rsidRPr="0039508B">
              <w:rPr>
                <w:lang w:val="en-US"/>
              </w:rPr>
              <w:t>changed</w:t>
            </w:r>
            <w:r w:rsidR="00967E16" w:rsidRPr="0039508B">
              <w:rPr>
                <w:lang w:val="en-US"/>
              </w:rPr>
              <w:t xml:space="preserve"> to</w:t>
            </w:r>
            <w:r w:rsidR="00C27275" w:rsidRPr="0039508B">
              <w:rPr>
                <w:lang w:val="en-US"/>
              </w:rPr>
              <w:t xml:space="preserve"> </w:t>
            </w:r>
            <w:r w:rsidR="00D4568F" w:rsidRPr="0039508B">
              <w:rPr>
                <w:lang w:val="en-US"/>
              </w:rPr>
              <w:t>5</w:t>
            </w:r>
            <w:r w:rsidR="00C27275" w:rsidRPr="0039508B">
              <w:rPr>
                <w:lang w:val="en-US"/>
              </w:rPr>
              <w:t xml:space="preserve">% of </w:t>
            </w:r>
            <w:r w:rsidR="004E1F10" w:rsidRPr="0039508B">
              <w:rPr>
                <w:lang w:val="en-US"/>
              </w:rPr>
              <w:t xml:space="preserve">cost stack </w:t>
            </w:r>
            <w:r w:rsidR="00FE5F7B" w:rsidRPr="0039508B">
              <w:rPr>
                <w:lang w:val="en-US"/>
              </w:rPr>
              <w:t>having regard to benchmarks set by other regulators</w:t>
            </w:r>
            <w:r w:rsidR="00C701D6" w:rsidRPr="0039508B">
              <w:rPr>
                <w:lang w:val="en-US"/>
              </w:rPr>
              <w:t xml:space="preserve">, </w:t>
            </w:r>
            <w:r w:rsidR="00CD0281" w:rsidRPr="0039508B">
              <w:rPr>
                <w:lang w:val="en-US"/>
              </w:rPr>
              <w:t xml:space="preserve">the expected returns approach, </w:t>
            </w:r>
            <w:r w:rsidR="00231EB2" w:rsidRPr="0039508B">
              <w:rPr>
                <w:lang w:val="en-US"/>
              </w:rPr>
              <w:t>market offer prices relative to default offer prices</w:t>
            </w:r>
            <w:r w:rsidR="00BF1297" w:rsidRPr="0039508B">
              <w:rPr>
                <w:lang w:val="en-US"/>
              </w:rPr>
              <w:t xml:space="preserve"> </w:t>
            </w:r>
            <w:r w:rsidR="00231EB2" w:rsidRPr="0039508B">
              <w:rPr>
                <w:lang w:val="en-US"/>
              </w:rPr>
              <w:t>and retailers’ actual margins</w:t>
            </w:r>
            <w:r w:rsidR="00B02DB4" w:rsidRPr="0039508B">
              <w:rPr>
                <w:lang w:val="en-US"/>
              </w:rPr>
              <w:t>.</w:t>
            </w:r>
            <w:r w:rsidR="006F4AA7" w:rsidRPr="0039508B">
              <w:rPr>
                <w:lang w:val="en-US"/>
              </w:rPr>
              <w:t xml:space="preserve"> </w:t>
            </w:r>
          </w:p>
        </w:tc>
      </w:tr>
      <w:tr w:rsidR="00100539" w:rsidRPr="002E5DDE" w14:paraId="6302BD6A"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678697CD" w14:textId="77777777" w:rsidR="00100539" w:rsidRPr="002E5DDE" w:rsidRDefault="00100539" w:rsidP="00DA436D">
            <w:pPr>
              <w:spacing w:before="0" w:line="240" w:lineRule="auto"/>
              <w:rPr>
                <w:b/>
                <w:lang w:val="en-US"/>
              </w:rPr>
            </w:pPr>
            <w:r w:rsidRPr="002E5DDE">
              <w:rPr>
                <w:b/>
                <w:lang w:val="en-US"/>
              </w:rPr>
              <w:t>Other matters</w:t>
            </w:r>
          </w:p>
        </w:tc>
        <w:tc>
          <w:tcPr>
            <w:tcW w:w="1608" w:type="pct"/>
          </w:tcPr>
          <w:p w14:paraId="317A82BE" w14:textId="77777777" w:rsidR="00100539" w:rsidRPr="002E5DDE" w:rsidRDefault="00100539" w:rsidP="00DA436D">
            <w:pPr>
              <w:spacing w:before="0" w:line="240" w:lineRule="auto"/>
              <w:rPr>
                <w:lang w:val="en-US"/>
              </w:rPr>
            </w:pPr>
          </w:p>
        </w:tc>
        <w:tc>
          <w:tcPr>
            <w:tcW w:w="1837" w:type="pct"/>
          </w:tcPr>
          <w:p w14:paraId="43F682BF" w14:textId="77777777" w:rsidR="00100539" w:rsidRPr="00857494" w:rsidRDefault="00100539" w:rsidP="00DA436D">
            <w:pPr>
              <w:spacing w:before="0" w:line="240" w:lineRule="auto"/>
              <w:rPr>
                <w:highlight w:val="yellow"/>
                <w:lang w:val="en-US"/>
              </w:rPr>
            </w:pPr>
          </w:p>
        </w:tc>
      </w:tr>
      <w:tr w:rsidR="00100539" w:rsidRPr="002E5DDE" w14:paraId="43244A5F"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7B297827" w14:textId="77777777" w:rsidR="00100539" w:rsidRPr="002E5DDE" w:rsidRDefault="00100539" w:rsidP="00DA436D">
            <w:pPr>
              <w:spacing w:before="0" w:line="240" w:lineRule="auto"/>
              <w:rPr>
                <w:lang w:val="en-US"/>
              </w:rPr>
            </w:pPr>
            <w:r w:rsidRPr="002E5DDE">
              <w:rPr>
                <w:lang w:val="en-US"/>
              </w:rPr>
              <w:t>Tariffs and structure</w:t>
            </w:r>
          </w:p>
        </w:tc>
        <w:tc>
          <w:tcPr>
            <w:tcW w:w="1608" w:type="pct"/>
          </w:tcPr>
          <w:p w14:paraId="00F3588C" w14:textId="6A7BDC74" w:rsidR="00100539" w:rsidRPr="002E5DDE" w:rsidRDefault="00100539" w:rsidP="00DA436D">
            <w:pPr>
              <w:spacing w:before="0" w:line="240" w:lineRule="auto"/>
              <w:rPr>
                <w:lang w:val="en-US"/>
              </w:rPr>
            </w:pPr>
            <w:r w:rsidRPr="002E5DDE">
              <w:rPr>
                <w:lang w:val="en-US"/>
              </w:rPr>
              <w:t>Flat tariffs</w:t>
            </w:r>
            <w:r w:rsidR="00F510D1">
              <w:rPr>
                <w:lang w:val="en-US"/>
              </w:rPr>
              <w:t>.</w:t>
            </w:r>
          </w:p>
          <w:p w14:paraId="1298A763" w14:textId="77777777" w:rsidR="00100539" w:rsidRPr="002E5DDE" w:rsidRDefault="00100539" w:rsidP="00DA436D">
            <w:pPr>
              <w:spacing w:before="0" w:line="240" w:lineRule="auto"/>
              <w:rPr>
                <w:lang w:val="en-US"/>
              </w:rPr>
            </w:pPr>
          </w:p>
          <w:p w14:paraId="055A411C" w14:textId="2CC54FEB" w:rsidR="00100539" w:rsidRPr="002E5DDE" w:rsidRDefault="00100539" w:rsidP="00DA436D">
            <w:pPr>
              <w:spacing w:before="0" w:line="240" w:lineRule="auto"/>
              <w:rPr>
                <w:lang w:val="en-US"/>
              </w:rPr>
            </w:pPr>
            <w:r w:rsidRPr="002E5DDE">
              <w:rPr>
                <w:lang w:val="en-US"/>
              </w:rPr>
              <w:t>Two</w:t>
            </w:r>
            <w:r w:rsidR="00292EF8">
              <w:rPr>
                <w:lang w:val="en-US"/>
              </w:rPr>
              <w:t>-</w:t>
            </w:r>
            <w:r w:rsidRPr="002E5DDE">
              <w:rPr>
                <w:lang w:val="en-US"/>
              </w:rPr>
              <w:t>period time-of use tariffs</w:t>
            </w:r>
            <w:r w:rsidR="00F510D1">
              <w:rPr>
                <w:lang w:val="en-US"/>
              </w:rPr>
              <w:t>.</w:t>
            </w:r>
          </w:p>
          <w:p w14:paraId="72807A5E" w14:textId="77777777" w:rsidR="00100539" w:rsidRPr="002E5DDE" w:rsidRDefault="00100539" w:rsidP="00DA436D">
            <w:pPr>
              <w:spacing w:before="0" w:line="240" w:lineRule="auto"/>
              <w:rPr>
                <w:lang w:val="en-US"/>
              </w:rPr>
            </w:pPr>
          </w:p>
          <w:p w14:paraId="45E34A44" w14:textId="57533C44" w:rsidR="00100539" w:rsidRPr="002E5DDE" w:rsidRDefault="00100539" w:rsidP="00DA436D">
            <w:pPr>
              <w:spacing w:before="0" w:line="240" w:lineRule="auto"/>
              <w:rPr>
                <w:lang w:val="en-US"/>
              </w:rPr>
            </w:pPr>
            <w:r w:rsidRPr="002E5DDE">
              <w:rPr>
                <w:lang w:val="en-US"/>
              </w:rPr>
              <w:t>Compliant maximum annual bill based on two</w:t>
            </w:r>
            <w:r w:rsidR="00C04BFD">
              <w:rPr>
                <w:lang w:val="en-US"/>
              </w:rPr>
              <w:t>-</w:t>
            </w:r>
            <w:r w:rsidRPr="002E5DDE">
              <w:rPr>
                <w:lang w:val="en-US"/>
              </w:rPr>
              <w:t>period time-of use tariffs</w:t>
            </w:r>
            <w:r w:rsidR="00F510D1">
              <w:rPr>
                <w:lang w:val="en-US"/>
              </w:rPr>
              <w:t>.</w:t>
            </w:r>
          </w:p>
        </w:tc>
        <w:tc>
          <w:tcPr>
            <w:tcW w:w="1837" w:type="pct"/>
          </w:tcPr>
          <w:p w14:paraId="550E30EB" w14:textId="77777777" w:rsidR="00DA11A4" w:rsidRPr="002E5DDE" w:rsidRDefault="00DA11A4" w:rsidP="00DA11A4">
            <w:pPr>
              <w:spacing w:before="0" w:line="240" w:lineRule="auto"/>
              <w:rPr>
                <w:lang w:val="en-US"/>
              </w:rPr>
            </w:pPr>
            <w:r w:rsidRPr="002E5DDE">
              <w:rPr>
                <w:lang w:val="en-US"/>
              </w:rPr>
              <w:t>Flat tariffs</w:t>
            </w:r>
            <w:r>
              <w:rPr>
                <w:lang w:val="en-US"/>
              </w:rPr>
              <w:t>.</w:t>
            </w:r>
          </w:p>
          <w:p w14:paraId="1C77876F" w14:textId="77777777" w:rsidR="00DA11A4" w:rsidRPr="002E5DDE" w:rsidRDefault="00DA11A4" w:rsidP="00DA11A4">
            <w:pPr>
              <w:spacing w:before="0" w:line="240" w:lineRule="auto"/>
              <w:rPr>
                <w:lang w:val="en-US"/>
              </w:rPr>
            </w:pPr>
          </w:p>
          <w:p w14:paraId="30935B8E" w14:textId="77777777" w:rsidR="00DA11A4" w:rsidRPr="002E5DDE" w:rsidRDefault="00DA11A4" w:rsidP="00DA11A4">
            <w:pPr>
              <w:spacing w:before="0" w:line="240" w:lineRule="auto"/>
              <w:rPr>
                <w:lang w:val="en-US"/>
              </w:rPr>
            </w:pPr>
            <w:r w:rsidRPr="002E5DDE">
              <w:rPr>
                <w:lang w:val="en-US"/>
              </w:rPr>
              <w:t>Two</w:t>
            </w:r>
            <w:r>
              <w:rPr>
                <w:lang w:val="en-US"/>
              </w:rPr>
              <w:t>-</w:t>
            </w:r>
            <w:r w:rsidRPr="002E5DDE">
              <w:rPr>
                <w:lang w:val="en-US"/>
              </w:rPr>
              <w:t>period time-of use tariffs</w:t>
            </w:r>
            <w:r>
              <w:rPr>
                <w:lang w:val="en-US"/>
              </w:rPr>
              <w:t>.</w:t>
            </w:r>
          </w:p>
          <w:p w14:paraId="0F7D4D61" w14:textId="77777777" w:rsidR="00DA11A4" w:rsidRDefault="00DA11A4" w:rsidP="0046717B">
            <w:pPr>
              <w:spacing w:before="0" w:line="240" w:lineRule="auto"/>
              <w:rPr>
                <w:lang w:val="en-US"/>
              </w:rPr>
            </w:pPr>
          </w:p>
          <w:p w14:paraId="3BA4FA54" w14:textId="736547B8" w:rsidR="00100539" w:rsidRPr="00F510D1" w:rsidRDefault="00A015FE" w:rsidP="0046717B">
            <w:pPr>
              <w:spacing w:before="0" w:line="240" w:lineRule="auto"/>
              <w:rPr>
                <w:highlight w:val="yellow"/>
              </w:rPr>
            </w:pPr>
            <w:r w:rsidRPr="00CD18C4">
              <w:rPr>
                <w:lang w:val="en-US"/>
              </w:rPr>
              <w:t>Compliant maximum annual bill based on flat tariffs</w:t>
            </w:r>
            <w:r w:rsidR="00CD18C4" w:rsidRPr="00CD18C4">
              <w:rPr>
                <w:lang w:val="en-US"/>
              </w:rPr>
              <w:t>.</w:t>
            </w:r>
          </w:p>
        </w:tc>
      </w:tr>
      <w:tr w:rsidR="00100539" w:rsidRPr="002E5DDE" w14:paraId="4DBB1C79" w14:textId="77777777" w:rsidTr="4EB6CF14">
        <w:trPr>
          <w:cnfStyle w:val="000000100000" w:firstRow="0" w:lastRow="0" w:firstColumn="0" w:lastColumn="0" w:oddVBand="0" w:evenVBand="0" w:oddHBand="1" w:evenHBand="0" w:firstRowFirstColumn="0" w:firstRowLastColumn="0" w:lastRowFirstColumn="0" w:lastRowLastColumn="0"/>
        </w:trPr>
        <w:tc>
          <w:tcPr>
            <w:tcW w:w="1555" w:type="pct"/>
          </w:tcPr>
          <w:p w14:paraId="624600E4" w14:textId="77777777" w:rsidR="00100539" w:rsidRPr="002E5DDE" w:rsidRDefault="00100539" w:rsidP="00DA436D">
            <w:pPr>
              <w:spacing w:before="0" w:line="240" w:lineRule="auto"/>
              <w:rPr>
                <w:lang w:val="en-US"/>
              </w:rPr>
            </w:pPr>
            <w:r w:rsidRPr="002E5DDE">
              <w:rPr>
                <w:lang w:val="en-US"/>
              </w:rPr>
              <w:t>Regulatory period</w:t>
            </w:r>
          </w:p>
        </w:tc>
        <w:tc>
          <w:tcPr>
            <w:tcW w:w="1608" w:type="pct"/>
          </w:tcPr>
          <w:p w14:paraId="329D17A0" w14:textId="77777777" w:rsidR="00100539" w:rsidRPr="002E5DDE" w:rsidRDefault="00100539" w:rsidP="00DA436D">
            <w:pPr>
              <w:spacing w:before="0" w:line="240" w:lineRule="auto"/>
              <w:rPr>
                <w:lang w:val="en-US"/>
              </w:rPr>
            </w:pPr>
            <w:r w:rsidRPr="002E5DDE">
              <w:rPr>
                <w:lang w:val="en-US"/>
              </w:rPr>
              <w:t>12 months</w:t>
            </w:r>
          </w:p>
        </w:tc>
        <w:tc>
          <w:tcPr>
            <w:tcW w:w="1837" w:type="pct"/>
          </w:tcPr>
          <w:p w14:paraId="4FA02513" w14:textId="77777777" w:rsidR="00100539" w:rsidRPr="00857494" w:rsidRDefault="00100539" w:rsidP="00DA436D">
            <w:pPr>
              <w:spacing w:before="0" w:line="240" w:lineRule="auto"/>
              <w:rPr>
                <w:highlight w:val="yellow"/>
                <w:lang w:val="en-US"/>
              </w:rPr>
            </w:pPr>
            <w:r w:rsidRPr="00CE345B">
              <w:rPr>
                <w:lang w:val="en-US"/>
              </w:rPr>
              <w:t>No change in approach.</w:t>
            </w:r>
          </w:p>
        </w:tc>
      </w:tr>
      <w:tr w:rsidR="00100539" w:rsidRPr="002E5DDE" w14:paraId="054C5407" w14:textId="77777777" w:rsidTr="4EB6CF14">
        <w:trPr>
          <w:cnfStyle w:val="000000010000" w:firstRow="0" w:lastRow="0" w:firstColumn="0" w:lastColumn="0" w:oddVBand="0" w:evenVBand="0" w:oddHBand="0" w:evenHBand="1" w:firstRowFirstColumn="0" w:firstRowLastColumn="0" w:lastRowFirstColumn="0" w:lastRowLastColumn="0"/>
        </w:trPr>
        <w:tc>
          <w:tcPr>
            <w:tcW w:w="1555" w:type="pct"/>
          </w:tcPr>
          <w:p w14:paraId="1E402E3E" w14:textId="77777777" w:rsidR="00100539" w:rsidRPr="002E5DDE" w:rsidRDefault="00100539" w:rsidP="00DA436D">
            <w:pPr>
              <w:spacing w:before="0" w:line="240" w:lineRule="auto"/>
              <w:rPr>
                <w:lang w:val="en-US"/>
              </w:rPr>
            </w:pPr>
            <w:r w:rsidRPr="002E5DDE">
              <w:rPr>
                <w:lang w:val="en-US"/>
              </w:rPr>
              <w:lastRenderedPageBreak/>
              <w:t>Consultation papers</w:t>
            </w:r>
          </w:p>
        </w:tc>
        <w:tc>
          <w:tcPr>
            <w:tcW w:w="1608" w:type="pct"/>
          </w:tcPr>
          <w:p w14:paraId="1F3AC3A9" w14:textId="397C68A2" w:rsidR="00100539" w:rsidRPr="002E5DDE" w:rsidRDefault="00100539" w:rsidP="00DA436D">
            <w:pPr>
              <w:spacing w:before="0" w:line="240" w:lineRule="auto"/>
              <w:rPr>
                <w:lang w:val="en-US"/>
              </w:rPr>
            </w:pPr>
            <w:r w:rsidRPr="002E5DDE">
              <w:rPr>
                <w:lang w:val="en-US"/>
              </w:rPr>
              <w:t xml:space="preserve">Replaced with one </w:t>
            </w:r>
            <w:r w:rsidR="00292EF8">
              <w:rPr>
                <w:lang w:val="en-US"/>
              </w:rPr>
              <w:t>R</w:t>
            </w:r>
            <w:r w:rsidRPr="002E5DDE">
              <w:rPr>
                <w:lang w:val="en-US"/>
              </w:rPr>
              <w:t xml:space="preserve">equest for </w:t>
            </w:r>
            <w:r w:rsidR="00E80FAF" w:rsidRPr="002E5DDE">
              <w:rPr>
                <w:lang w:val="en-US"/>
              </w:rPr>
              <w:t>Comment</w:t>
            </w:r>
            <w:r w:rsidRPr="002E5DDE">
              <w:rPr>
                <w:lang w:val="en-US"/>
              </w:rPr>
              <w:t xml:space="preserve"> </w:t>
            </w:r>
            <w:r w:rsidR="00292EF8">
              <w:rPr>
                <w:lang w:val="en-US"/>
              </w:rPr>
              <w:t>P</w:t>
            </w:r>
            <w:r w:rsidRPr="002E5DDE">
              <w:rPr>
                <w:lang w:val="en-US"/>
              </w:rPr>
              <w:t>aper at the beginning of each review.</w:t>
            </w:r>
          </w:p>
        </w:tc>
        <w:tc>
          <w:tcPr>
            <w:tcW w:w="1837" w:type="pct"/>
          </w:tcPr>
          <w:p w14:paraId="2C70FAA5" w14:textId="77777777" w:rsidR="00100539" w:rsidRPr="00857494" w:rsidRDefault="00100539" w:rsidP="00DA436D">
            <w:pPr>
              <w:spacing w:before="0" w:line="240" w:lineRule="auto"/>
              <w:rPr>
                <w:highlight w:val="yellow"/>
                <w:lang w:val="en-US"/>
              </w:rPr>
            </w:pPr>
            <w:r w:rsidRPr="00CE345B">
              <w:rPr>
                <w:lang w:val="en-US"/>
              </w:rPr>
              <w:t>No change in approach.</w:t>
            </w:r>
          </w:p>
        </w:tc>
      </w:tr>
    </w:tbl>
    <w:p w14:paraId="5C4039FA" w14:textId="77777777" w:rsidR="00100539" w:rsidRPr="002E5DDE" w:rsidRDefault="00100539" w:rsidP="00100539">
      <w:pPr>
        <w:spacing w:before="0" w:line="259" w:lineRule="auto"/>
        <w:rPr>
          <w:rFonts w:asciiTheme="majorHAnsi" w:eastAsiaTheme="majorEastAsia" w:hAnsiTheme="majorHAnsi" w:cstheme="majorBidi"/>
          <w:b/>
          <w:color w:val="4986A0" w:themeColor="text2"/>
          <w:szCs w:val="24"/>
          <w:lang w:val="en-US"/>
        </w:rPr>
      </w:pPr>
    </w:p>
    <w:p w14:paraId="26FD16D2" w14:textId="56F6BA4F" w:rsidR="00100539" w:rsidRPr="002E5DDE" w:rsidRDefault="00100539" w:rsidP="003076B3">
      <w:pPr>
        <w:pStyle w:val="Figure-Table-BoxHeading"/>
        <w:keepNext/>
      </w:pPr>
      <w:r w:rsidRPr="002E5DDE">
        <w:t>Table D.2: Changes in average domestic costs benchmarks, $ nominal (average across all five Victorian distribution zones)</w:t>
      </w:r>
      <w:r w:rsidR="00A34B18">
        <w:rPr>
          <w:rStyle w:val="FootnoteReference"/>
        </w:rPr>
        <w:footnoteReference w:id="183"/>
      </w:r>
    </w:p>
    <w:tbl>
      <w:tblPr>
        <w:tblStyle w:val="TableGrid"/>
        <w:tblW w:w="5000" w:type="pct"/>
        <w:tblLook w:val="04A0" w:firstRow="1" w:lastRow="0" w:firstColumn="1" w:lastColumn="0" w:noHBand="0" w:noVBand="1"/>
      </w:tblPr>
      <w:tblGrid>
        <w:gridCol w:w="2851"/>
        <w:gridCol w:w="2851"/>
        <w:gridCol w:w="3936"/>
      </w:tblGrid>
      <w:tr w:rsidR="00100539" w:rsidRPr="002E5DDE" w14:paraId="11AD942C" w14:textId="77777777" w:rsidTr="00DA436D">
        <w:trPr>
          <w:cnfStyle w:val="100000000000" w:firstRow="1" w:lastRow="0" w:firstColumn="0" w:lastColumn="0" w:oddVBand="0" w:evenVBand="0" w:oddHBand="0" w:evenHBand="0" w:firstRowFirstColumn="0" w:firstRowLastColumn="0" w:lastRowFirstColumn="0" w:lastRowLastColumn="0"/>
        </w:trPr>
        <w:tc>
          <w:tcPr>
            <w:tcW w:w="1479" w:type="pct"/>
          </w:tcPr>
          <w:p w14:paraId="56613873" w14:textId="77777777" w:rsidR="00100539" w:rsidRPr="002E5DDE" w:rsidRDefault="00100539" w:rsidP="003076B3">
            <w:pPr>
              <w:keepNext/>
              <w:spacing w:before="0" w:line="240" w:lineRule="auto"/>
              <w:rPr>
                <w:lang w:val="en-US"/>
              </w:rPr>
            </w:pPr>
            <w:r w:rsidRPr="002E5DDE">
              <w:rPr>
                <w:lang w:val="en-US"/>
              </w:rPr>
              <w:t>Item</w:t>
            </w:r>
          </w:p>
        </w:tc>
        <w:tc>
          <w:tcPr>
            <w:tcW w:w="1479" w:type="pct"/>
          </w:tcPr>
          <w:p w14:paraId="6ABF7C86" w14:textId="77777777" w:rsidR="00100539" w:rsidRPr="002E5DDE" w:rsidRDefault="00100539" w:rsidP="003076B3">
            <w:pPr>
              <w:keepNext/>
              <w:spacing w:before="0" w:line="240" w:lineRule="auto"/>
              <w:rPr>
                <w:lang w:val="en-US"/>
              </w:rPr>
            </w:pPr>
            <w:r w:rsidRPr="002E5DDE">
              <w:rPr>
                <w:lang w:val="en-US"/>
              </w:rPr>
              <w:t>2024–25 Victorian Default Offer final decision</w:t>
            </w:r>
          </w:p>
        </w:tc>
        <w:tc>
          <w:tcPr>
            <w:tcW w:w="2042" w:type="pct"/>
          </w:tcPr>
          <w:p w14:paraId="4F191E55" w14:textId="592E5363" w:rsidR="00100539" w:rsidRPr="002E5DDE" w:rsidRDefault="00100539" w:rsidP="003076B3">
            <w:pPr>
              <w:keepNext/>
              <w:spacing w:before="0" w:line="240" w:lineRule="auto"/>
              <w:rPr>
                <w:lang w:val="en-US"/>
              </w:rPr>
            </w:pPr>
            <w:r w:rsidRPr="002E5DDE">
              <w:rPr>
                <w:lang w:val="en-US"/>
              </w:rPr>
              <w:t xml:space="preserve">2025–26 Victorian Default Offer </w:t>
            </w:r>
            <w:r w:rsidR="00857494">
              <w:rPr>
                <w:lang w:val="en-US"/>
              </w:rPr>
              <w:t>final</w:t>
            </w:r>
            <w:r w:rsidRPr="002E5DDE">
              <w:rPr>
                <w:lang w:val="en-US"/>
              </w:rPr>
              <w:t xml:space="preserve"> decision</w:t>
            </w:r>
          </w:p>
        </w:tc>
      </w:tr>
      <w:tr w:rsidR="00663C51" w:rsidRPr="002E5DDE" w14:paraId="29CC7B6A" w14:textId="77777777" w:rsidTr="00DA436D">
        <w:trPr>
          <w:cnfStyle w:val="000000100000" w:firstRow="0" w:lastRow="0" w:firstColumn="0" w:lastColumn="0" w:oddVBand="0" w:evenVBand="0" w:oddHBand="1" w:evenHBand="0" w:firstRowFirstColumn="0" w:firstRowLastColumn="0" w:lastRowFirstColumn="0" w:lastRowLastColumn="0"/>
          <w:trHeight w:val="20"/>
        </w:trPr>
        <w:tc>
          <w:tcPr>
            <w:tcW w:w="1479" w:type="pct"/>
          </w:tcPr>
          <w:p w14:paraId="4B1A2809" w14:textId="77777777" w:rsidR="00663C51" w:rsidRPr="002E5DDE" w:rsidRDefault="00663C51" w:rsidP="00663C51">
            <w:pPr>
              <w:keepNext/>
              <w:spacing w:before="0" w:line="240" w:lineRule="auto"/>
              <w:rPr>
                <w:lang w:val="en-US"/>
              </w:rPr>
            </w:pPr>
            <w:r w:rsidRPr="002E5DDE">
              <w:rPr>
                <w:lang w:val="en-US"/>
              </w:rPr>
              <w:t>Wholesale electricity costs</w:t>
            </w:r>
          </w:p>
        </w:tc>
        <w:tc>
          <w:tcPr>
            <w:tcW w:w="1479" w:type="pct"/>
          </w:tcPr>
          <w:p w14:paraId="457EC91F" w14:textId="12B30BF9" w:rsidR="00663C51" w:rsidRPr="002E5DDE" w:rsidRDefault="00663C51" w:rsidP="00663C51">
            <w:pPr>
              <w:keepNext/>
              <w:spacing w:before="0" w:line="240" w:lineRule="auto"/>
              <w:jc w:val="center"/>
              <w:rPr>
                <w:lang w:val="en-US"/>
              </w:rPr>
            </w:pPr>
            <w:r w:rsidRPr="00DC6C6A">
              <w:rPr>
                <w:lang w:val="en-US"/>
              </w:rPr>
              <w:t>$</w:t>
            </w:r>
            <w:r w:rsidR="00427DE1">
              <w:rPr>
                <w:lang w:val="en-US"/>
              </w:rPr>
              <w:t>492</w:t>
            </w:r>
          </w:p>
        </w:tc>
        <w:tc>
          <w:tcPr>
            <w:tcW w:w="2042" w:type="pct"/>
          </w:tcPr>
          <w:p w14:paraId="2BF67AA9" w14:textId="11D32F2E" w:rsidR="00663C51" w:rsidRPr="002E5DDE" w:rsidRDefault="00663C51" w:rsidP="00663C51">
            <w:pPr>
              <w:keepNext/>
              <w:spacing w:before="0" w:line="240" w:lineRule="auto"/>
              <w:jc w:val="center"/>
              <w:rPr>
                <w:lang w:val="en-US"/>
              </w:rPr>
            </w:pPr>
            <w:r w:rsidRPr="00985915">
              <w:rPr>
                <w:lang w:val="en-US"/>
              </w:rPr>
              <w:t>$</w:t>
            </w:r>
            <w:r w:rsidR="004A2868">
              <w:rPr>
                <w:lang w:val="en-US"/>
              </w:rPr>
              <w:t>501</w:t>
            </w:r>
          </w:p>
        </w:tc>
      </w:tr>
      <w:tr w:rsidR="00663C51" w:rsidRPr="002E5DDE" w14:paraId="5AEE6ADD" w14:textId="77777777" w:rsidTr="00DA436D">
        <w:trPr>
          <w:cnfStyle w:val="000000010000" w:firstRow="0" w:lastRow="0" w:firstColumn="0" w:lastColumn="0" w:oddVBand="0" w:evenVBand="0" w:oddHBand="0" w:evenHBand="1" w:firstRowFirstColumn="0" w:firstRowLastColumn="0" w:lastRowFirstColumn="0" w:lastRowLastColumn="0"/>
        </w:trPr>
        <w:tc>
          <w:tcPr>
            <w:tcW w:w="1479" w:type="pct"/>
          </w:tcPr>
          <w:p w14:paraId="24A75911" w14:textId="77777777" w:rsidR="00663C51" w:rsidRPr="002E5DDE" w:rsidRDefault="00663C51" w:rsidP="00663C51">
            <w:pPr>
              <w:keepNext/>
              <w:spacing w:before="0" w:line="240" w:lineRule="auto"/>
              <w:rPr>
                <w:lang w:val="en-US"/>
              </w:rPr>
            </w:pPr>
            <w:r w:rsidRPr="002E5DDE">
              <w:rPr>
                <w:lang w:val="en-US"/>
              </w:rPr>
              <w:t>Network costs</w:t>
            </w:r>
          </w:p>
        </w:tc>
        <w:tc>
          <w:tcPr>
            <w:tcW w:w="1479" w:type="pct"/>
          </w:tcPr>
          <w:p w14:paraId="4310A68F" w14:textId="66B03738" w:rsidR="00663C51" w:rsidRPr="002E5DDE" w:rsidRDefault="00663C51" w:rsidP="00663C51">
            <w:pPr>
              <w:keepNext/>
              <w:spacing w:before="0" w:line="240" w:lineRule="auto"/>
              <w:jc w:val="center"/>
              <w:rPr>
                <w:lang w:val="en-US"/>
              </w:rPr>
            </w:pPr>
            <w:r w:rsidRPr="00DC6C6A">
              <w:rPr>
                <w:lang w:val="en-US"/>
              </w:rPr>
              <w:t>$</w:t>
            </w:r>
            <w:r w:rsidR="00427DE1">
              <w:rPr>
                <w:lang w:val="en-US"/>
              </w:rPr>
              <w:t>593</w:t>
            </w:r>
          </w:p>
        </w:tc>
        <w:tc>
          <w:tcPr>
            <w:tcW w:w="2042" w:type="pct"/>
          </w:tcPr>
          <w:p w14:paraId="70D29D6E" w14:textId="62F9D31A" w:rsidR="00663C51" w:rsidRPr="002E5DDE" w:rsidRDefault="00663C51" w:rsidP="00663C51">
            <w:pPr>
              <w:keepNext/>
              <w:spacing w:before="0" w:line="240" w:lineRule="auto"/>
              <w:jc w:val="center"/>
              <w:rPr>
                <w:lang w:val="en-US"/>
              </w:rPr>
            </w:pPr>
            <w:r w:rsidRPr="00985915">
              <w:rPr>
                <w:lang w:val="en-US"/>
              </w:rPr>
              <w:t>$</w:t>
            </w:r>
            <w:r w:rsidR="004A2868">
              <w:rPr>
                <w:lang w:val="en-US"/>
              </w:rPr>
              <w:t>616</w:t>
            </w:r>
          </w:p>
        </w:tc>
      </w:tr>
      <w:tr w:rsidR="00663C51" w:rsidRPr="002E5DDE" w14:paraId="685BA178" w14:textId="77777777" w:rsidTr="00DA436D">
        <w:trPr>
          <w:cnfStyle w:val="000000100000" w:firstRow="0" w:lastRow="0" w:firstColumn="0" w:lastColumn="0" w:oddVBand="0" w:evenVBand="0" w:oddHBand="1" w:evenHBand="0" w:firstRowFirstColumn="0" w:firstRowLastColumn="0" w:lastRowFirstColumn="0" w:lastRowLastColumn="0"/>
        </w:trPr>
        <w:tc>
          <w:tcPr>
            <w:tcW w:w="1479" w:type="pct"/>
          </w:tcPr>
          <w:p w14:paraId="07867B54" w14:textId="77777777" w:rsidR="00663C51" w:rsidRPr="002E5DDE" w:rsidRDefault="00663C51" w:rsidP="00663C51">
            <w:pPr>
              <w:keepNext/>
              <w:spacing w:before="0" w:line="240" w:lineRule="auto"/>
              <w:rPr>
                <w:lang w:val="en-US"/>
              </w:rPr>
            </w:pPr>
            <w:r w:rsidRPr="002E5DDE">
              <w:rPr>
                <w:lang w:val="en-US"/>
              </w:rPr>
              <w:t>Environmental costs</w:t>
            </w:r>
          </w:p>
        </w:tc>
        <w:tc>
          <w:tcPr>
            <w:tcW w:w="1479" w:type="pct"/>
          </w:tcPr>
          <w:p w14:paraId="4D35ED3A" w14:textId="5723DF9B" w:rsidR="00663C51" w:rsidRPr="002E5DDE" w:rsidRDefault="00663C51" w:rsidP="00663C51">
            <w:pPr>
              <w:keepNext/>
              <w:spacing w:before="0" w:line="240" w:lineRule="auto"/>
              <w:jc w:val="center"/>
              <w:rPr>
                <w:lang w:val="en-US"/>
              </w:rPr>
            </w:pPr>
            <w:r w:rsidRPr="00DC6C6A">
              <w:rPr>
                <w:lang w:val="en-US"/>
              </w:rPr>
              <w:t>$</w:t>
            </w:r>
            <w:r w:rsidR="00B82C4F">
              <w:rPr>
                <w:lang w:val="en-US"/>
              </w:rPr>
              <w:t>135</w:t>
            </w:r>
          </w:p>
        </w:tc>
        <w:tc>
          <w:tcPr>
            <w:tcW w:w="2042" w:type="pct"/>
          </w:tcPr>
          <w:p w14:paraId="28DAAE40" w14:textId="6EDFB011" w:rsidR="00663C51" w:rsidRPr="002E5DDE" w:rsidRDefault="00663C51" w:rsidP="00663C51">
            <w:pPr>
              <w:keepNext/>
              <w:spacing w:before="0" w:line="240" w:lineRule="auto"/>
              <w:jc w:val="center"/>
              <w:rPr>
                <w:lang w:val="en-US"/>
              </w:rPr>
            </w:pPr>
            <w:r w:rsidRPr="00985915">
              <w:rPr>
                <w:lang w:val="en-US"/>
              </w:rPr>
              <w:t>$</w:t>
            </w:r>
            <w:r w:rsidR="003075D1">
              <w:rPr>
                <w:lang w:val="en-US"/>
              </w:rPr>
              <w:t>1</w:t>
            </w:r>
            <w:r w:rsidR="004A4F9D">
              <w:rPr>
                <w:lang w:val="en-US"/>
              </w:rPr>
              <w:t>1</w:t>
            </w:r>
            <w:r w:rsidR="003075D1">
              <w:rPr>
                <w:lang w:val="en-US"/>
              </w:rPr>
              <w:t>4</w:t>
            </w:r>
          </w:p>
        </w:tc>
      </w:tr>
      <w:tr w:rsidR="00663C51" w:rsidRPr="002E5DDE" w14:paraId="58A2E0CD" w14:textId="77777777" w:rsidTr="00DA436D">
        <w:trPr>
          <w:cnfStyle w:val="000000010000" w:firstRow="0" w:lastRow="0" w:firstColumn="0" w:lastColumn="0" w:oddVBand="0" w:evenVBand="0" w:oddHBand="0" w:evenHBand="1" w:firstRowFirstColumn="0" w:firstRowLastColumn="0" w:lastRowFirstColumn="0" w:lastRowLastColumn="0"/>
        </w:trPr>
        <w:tc>
          <w:tcPr>
            <w:tcW w:w="1479" w:type="pct"/>
          </w:tcPr>
          <w:p w14:paraId="1E4E58BB" w14:textId="77777777" w:rsidR="00663C51" w:rsidRPr="002E5DDE" w:rsidRDefault="00663C51" w:rsidP="00663C51">
            <w:pPr>
              <w:keepNext/>
              <w:spacing w:before="0" w:line="240" w:lineRule="auto"/>
              <w:rPr>
                <w:lang w:val="en-US"/>
              </w:rPr>
            </w:pPr>
            <w:r w:rsidRPr="002E5DDE">
              <w:rPr>
                <w:lang w:val="en-US"/>
              </w:rPr>
              <w:t>Retail operating costs (including acquisition costs)</w:t>
            </w:r>
          </w:p>
        </w:tc>
        <w:tc>
          <w:tcPr>
            <w:tcW w:w="1479" w:type="pct"/>
          </w:tcPr>
          <w:p w14:paraId="3EAEB322" w14:textId="05F0684A" w:rsidR="00663C51" w:rsidRPr="002E5DDE" w:rsidRDefault="00663C51" w:rsidP="00663C51">
            <w:pPr>
              <w:keepNext/>
              <w:spacing w:before="0" w:line="240" w:lineRule="auto"/>
              <w:jc w:val="center"/>
              <w:rPr>
                <w:lang w:val="en-US"/>
              </w:rPr>
            </w:pPr>
            <w:r w:rsidRPr="00DC6C6A">
              <w:rPr>
                <w:lang w:val="en-US"/>
              </w:rPr>
              <w:t>$</w:t>
            </w:r>
            <w:r w:rsidR="00427DE1">
              <w:rPr>
                <w:lang w:val="en-US"/>
              </w:rPr>
              <w:t>186</w:t>
            </w:r>
          </w:p>
        </w:tc>
        <w:tc>
          <w:tcPr>
            <w:tcW w:w="2042" w:type="pct"/>
          </w:tcPr>
          <w:p w14:paraId="4F1AF7D7" w14:textId="020CF3F5" w:rsidR="00663C51" w:rsidRPr="002E5DDE" w:rsidRDefault="00663C51" w:rsidP="00663C51">
            <w:pPr>
              <w:keepNext/>
              <w:spacing w:before="0" w:line="240" w:lineRule="auto"/>
              <w:jc w:val="center"/>
              <w:rPr>
                <w:lang w:val="en-US"/>
              </w:rPr>
            </w:pPr>
            <w:r w:rsidRPr="00985915">
              <w:rPr>
                <w:lang w:val="en-US"/>
              </w:rPr>
              <w:t>$</w:t>
            </w:r>
            <w:r w:rsidR="004A2868">
              <w:rPr>
                <w:lang w:val="en-US"/>
              </w:rPr>
              <w:t>194</w:t>
            </w:r>
          </w:p>
        </w:tc>
      </w:tr>
      <w:tr w:rsidR="00663C51" w:rsidRPr="002E5DDE" w14:paraId="2177AECC" w14:textId="77777777" w:rsidTr="00DA436D">
        <w:trPr>
          <w:cnfStyle w:val="000000100000" w:firstRow="0" w:lastRow="0" w:firstColumn="0" w:lastColumn="0" w:oddVBand="0" w:evenVBand="0" w:oddHBand="1" w:evenHBand="0" w:firstRowFirstColumn="0" w:firstRowLastColumn="0" w:lastRowFirstColumn="0" w:lastRowLastColumn="0"/>
        </w:trPr>
        <w:tc>
          <w:tcPr>
            <w:tcW w:w="1479" w:type="pct"/>
          </w:tcPr>
          <w:p w14:paraId="7B96EF50" w14:textId="77777777" w:rsidR="00663C51" w:rsidRPr="002E5DDE" w:rsidRDefault="00663C51" w:rsidP="00663C51">
            <w:pPr>
              <w:keepNext/>
              <w:spacing w:before="0" w:line="240" w:lineRule="auto"/>
              <w:rPr>
                <w:lang w:val="en-US"/>
              </w:rPr>
            </w:pPr>
            <w:r w:rsidRPr="002E5DDE">
              <w:rPr>
                <w:lang w:val="en-US"/>
              </w:rPr>
              <w:t>GST</w:t>
            </w:r>
          </w:p>
        </w:tc>
        <w:tc>
          <w:tcPr>
            <w:tcW w:w="1479" w:type="pct"/>
          </w:tcPr>
          <w:p w14:paraId="6867BDE8" w14:textId="26B50C50" w:rsidR="00663C51" w:rsidRPr="002E5DDE" w:rsidRDefault="00663C51" w:rsidP="00663C51">
            <w:pPr>
              <w:keepNext/>
              <w:spacing w:before="0" w:line="240" w:lineRule="auto"/>
              <w:jc w:val="center"/>
              <w:rPr>
                <w:lang w:val="en-US"/>
              </w:rPr>
            </w:pPr>
            <w:r w:rsidRPr="00DC6C6A">
              <w:rPr>
                <w:lang w:val="en-US"/>
              </w:rPr>
              <w:t>$</w:t>
            </w:r>
            <w:r w:rsidR="004A2868">
              <w:rPr>
                <w:lang w:val="en-US"/>
              </w:rPr>
              <w:t>150</w:t>
            </w:r>
          </w:p>
        </w:tc>
        <w:tc>
          <w:tcPr>
            <w:tcW w:w="2042" w:type="pct"/>
          </w:tcPr>
          <w:p w14:paraId="6EED5235" w14:textId="07CC9AE8" w:rsidR="00663C51" w:rsidRPr="002E5DDE" w:rsidRDefault="00663C51" w:rsidP="00663C51">
            <w:pPr>
              <w:keepNext/>
              <w:spacing w:before="0" w:line="240" w:lineRule="auto"/>
              <w:jc w:val="center"/>
              <w:rPr>
                <w:lang w:val="en-US"/>
              </w:rPr>
            </w:pPr>
            <w:r w:rsidRPr="00985915">
              <w:rPr>
                <w:lang w:val="en-US"/>
              </w:rPr>
              <w:t>$</w:t>
            </w:r>
            <w:r w:rsidR="003075D1">
              <w:rPr>
                <w:lang w:val="en-US"/>
              </w:rPr>
              <w:t>152</w:t>
            </w:r>
          </w:p>
        </w:tc>
      </w:tr>
      <w:tr w:rsidR="00663C51" w:rsidRPr="002E5DDE" w14:paraId="670ADF43" w14:textId="77777777" w:rsidTr="00DA436D">
        <w:trPr>
          <w:cnfStyle w:val="000000010000" w:firstRow="0" w:lastRow="0" w:firstColumn="0" w:lastColumn="0" w:oddVBand="0" w:evenVBand="0" w:oddHBand="0" w:evenHBand="1" w:firstRowFirstColumn="0" w:firstRowLastColumn="0" w:lastRowFirstColumn="0" w:lastRowLastColumn="0"/>
        </w:trPr>
        <w:tc>
          <w:tcPr>
            <w:tcW w:w="1479" w:type="pct"/>
          </w:tcPr>
          <w:p w14:paraId="07797F2F" w14:textId="77777777" w:rsidR="00663C51" w:rsidRPr="002E5DDE" w:rsidRDefault="00663C51" w:rsidP="00663C51">
            <w:pPr>
              <w:keepNext/>
              <w:spacing w:before="0" w:line="240" w:lineRule="auto"/>
              <w:rPr>
                <w:lang w:val="en-US"/>
              </w:rPr>
            </w:pPr>
            <w:r w:rsidRPr="002E5DDE">
              <w:rPr>
                <w:lang w:val="en-US"/>
              </w:rPr>
              <w:t>Retail operating margin</w:t>
            </w:r>
          </w:p>
        </w:tc>
        <w:tc>
          <w:tcPr>
            <w:tcW w:w="1479" w:type="pct"/>
          </w:tcPr>
          <w:p w14:paraId="5B10F4F4" w14:textId="64CFCEC1" w:rsidR="00663C51" w:rsidRPr="002E5DDE" w:rsidRDefault="00663C51" w:rsidP="00663C51">
            <w:pPr>
              <w:keepNext/>
              <w:spacing w:before="0" w:line="240" w:lineRule="auto"/>
              <w:jc w:val="center"/>
              <w:rPr>
                <w:lang w:val="en-US"/>
              </w:rPr>
            </w:pPr>
            <w:r w:rsidRPr="00DC6C6A">
              <w:rPr>
                <w:lang w:val="en-US"/>
              </w:rPr>
              <w:t>$</w:t>
            </w:r>
            <w:r w:rsidR="00B82C4F">
              <w:rPr>
                <w:lang w:val="en-US"/>
              </w:rPr>
              <w:t>80</w:t>
            </w:r>
          </w:p>
        </w:tc>
        <w:tc>
          <w:tcPr>
            <w:tcW w:w="2042" w:type="pct"/>
          </w:tcPr>
          <w:p w14:paraId="34922E66" w14:textId="63FBFFC0" w:rsidR="00663C51" w:rsidRPr="002E5DDE" w:rsidRDefault="00663C51" w:rsidP="00663C51">
            <w:pPr>
              <w:keepNext/>
              <w:spacing w:before="0" w:line="240" w:lineRule="auto"/>
              <w:jc w:val="center"/>
              <w:rPr>
                <w:lang w:val="en-US"/>
              </w:rPr>
            </w:pPr>
            <w:r w:rsidRPr="00985915">
              <w:rPr>
                <w:lang w:val="en-US"/>
              </w:rPr>
              <w:t>$</w:t>
            </w:r>
            <w:r w:rsidR="003075D1">
              <w:rPr>
                <w:lang w:val="en-US"/>
              </w:rPr>
              <w:t>76</w:t>
            </w:r>
          </w:p>
        </w:tc>
      </w:tr>
      <w:tr w:rsidR="00663C51" w:rsidRPr="002E5DDE" w14:paraId="57FB0705" w14:textId="77777777" w:rsidTr="00DA436D">
        <w:trPr>
          <w:cnfStyle w:val="000000100000" w:firstRow="0" w:lastRow="0" w:firstColumn="0" w:lastColumn="0" w:oddVBand="0" w:evenVBand="0" w:oddHBand="1" w:evenHBand="0" w:firstRowFirstColumn="0" w:firstRowLastColumn="0" w:lastRowFirstColumn="0" w:lastRowLastColumn="0"/>
        </w:trPr>
        <w:tc>
          <w:tcPr>
            <w:tcW w:w="1479" w:type="pct"/>
          </w:tcPr>
          <w:p w14:paraId="2723EFDF" w14:textId="77777777" w:rsidR="00663C51" w:rsidRPr="002E5DDE" w:rsidRDefault="00663C51" w:rsidP="00663C51">
            <w:pPr>
              <w:keepNext/>
              <w:spacing w:before="0" w:line="240" w:lineRule="auto"/>
              <w:rPr>
                <w:lang w:val="en-US"/>
              </w:rPr>
            </w:pPr>
            <w:r w:rsidRPr="002E5DDE">
              <w:rPr>
                <w:lang w:val="en-US"/>
              </w:rPr>
              <w:t>Other costs</w:t>
            </w:r>
          </w:p>
        </w:tc>
        <w:tc>
          <w:tcPr>
            <w:tcW w:w="1479" w:type="pct"/>
          </w:tcPr>
          <w:p w14:paraId="28B61262" w14:textId="5BEF1675" w:rsidR="00663C51" w:rsidRPr="002E5DDE" w:rsidRDefault="00663C51" w:rsidP="00663C51">
            <w:pPr>
              <w:keepNext/>
              <w:spacing w:before="0" w:line="240" w:lineRule="auto"/>
              <w:jc w:val="center"/>
              <w:rPr>
                <w:lang w:val="en-US"/>
              </w:rPr>
            </w:pPr>
            <w:r w:rsidRPr="00DC6C6A">
              <w:rPr>
                <w:lang w:val="en-US"/>
              </w:rPr>
              <w:t>$</w:t>
            </w:r>
            <w:r w:rsidR="00B82C4F">
              <w:rPr>
                <w:lang w:val="en-US"/>
              </w:rPr>
              <w:t>18</w:t>
            </w:r>
          </w:p>
        </w:tc>
        <w:tc>
          <w:tcPr>
            <w:tcW w:w="2042" w:type="pct"/>
          </w:tcPr>
          <w:p w14:paraId="6BEC014E" w14:textId="7431E9E6" w:rsidR="00663C51" w:rsidRPr="002E5DDE" w:rsidRDefault="00663C51" w:rsidP="00663C51">
            <w:pPr>
              <w:keepNext/>
              <w:spacing w:before="0" w:line="240" w:lineRule="auto"/>
              <w:jc w:val="center"/>
              <w:rPr>
                <w:lang w:val="en-US"/>
              </w:rPr>
            </w:pPr>
            <w:r w:rsidRPr="00985915">
              <w:rPr>
                <w:lang w:val="en-US"/>
              </w:rPr>
              <w:t>$</w:t>
            </w:r>
            <w:r w:rsidR="003075D1">
              <w:rPr>
                <w:lang w:val="en-US"/>
              </w:rPr>
              <w:t>21</w:t>
            </w:r>
          </w:p>
        </w:tc>
      </w:tr>
      <w:tr w:rsidR="00663C51" w:rsidRPr="002E5DDE" w14:paraId="1C53B143" w14:textId="77777777" w:rsidTr="00DA436D">
        <w:trPr>
          <w:cnfStyle w:val="000000010000" w:firstRow="0" w:lastRow="0" w:firstColumn="0" w:lastColumn="0" w:oddVBand="0" w:evenVBand="0" w:oddHBand="0" w:evenHBand="1" w:firstRowFirstColumn="0" w:firstRowLastColumn="0" w:lastRowFirstColumn="0" w:lastRowLastColumn="0"/>
        </w:trPr>
        <w:tc>
          <w:tcPr>
            <w:tcW w:w="1479" w:type="pct"/>
          </w:tcPr>
          <w:p w14:paraId="5449240E" w14:textId="77777777" w:rsidR="00663C51" w:rsidRPr="002E5DDE" w:rsidRDefault="00663C51" w:rsidP="00663C51">
            <w:pPr>
              <w:keepNext/>
              <w:spacing w:before="0" w:line="240" w:lineRule="auto"/>
              <w:rPr>
                <w:b/>
                <w:bCs/>
                <w:lang w:val="en-US"/>
              </w:rPr>
            </w:pPr>
            <w:r w:rsidRPr="002E5DDE">
              <w:rPr>
                <w:b/>
                <w:bCs/>
                <w:lang w:val="en-US"/>
              </w:rPr>
              <w:t>Total</w:t>
            </w:r>
          </w:p>
        </w:tc>
        <w:tc>
          <w:tcPr>
            <w:tcW w:w="1479" w:type="pct"/>
          </w:tcPr>
          <w:p w14:paraId="14F913BE" w14:textId="129F761D" w:rsidR="00663C51" w:rsidRPr="00857494" w:rsidRDefault="00857494" w:rsidP="00663C51">
            <w:pPr>
              <w:keepNext/>
              <w:spacing w:before="0" w:line="240" w:lineRule="auto"/>
              <w:jc w:val="center"/>
              <w:rPr>
                <w:b/>
                <w:bCs/>
                <w:lang w:val="en-US"/>
              </w:rPr>
            </w:pPr>
            <w:r w:rsidRPr="00857494">
              <w:rPr>
                <w:b/>
                <w:bCs/>
                <w:lang w:val="en-US"/>
              </w:rPr>
              <w:t>$</w:t>
            </w:r>
            <w:r w:rsidR="004A2868">
              <w:rPr>
                <w:b/>
                <w:bCs/>
                <w:lang w:val="en-US"/>
              </w:rPr>
              <w:t>1,655</w:t>
            </w:r>
          </w:p>
        </w:tc>
        <w:tc>
          <w:tcPr>
            <w:tcW w:w="2042" w:type="pct"/>
          </w:tcPr>
          <w:p w14:paraId="32770DA8" w14:textId="505759B1" w:rsidR="00663C51" w:rsidRPr="00857494" w:rsidRDefault="00857494" w:rsidP="00663C51">
            <w:pPr>
              <w:keepNext/>
              <w:spacing w:before="0" w:line="240" w:lineRule="auto"/>
              <w:jc w:val="center"/>
              <w:rPr>
                <w:b/>
                <w:bCs/>
                <w:lang w:val="en-US"/>
              </w:rPr>
            </w:pPr>
            <w:r w:rsidRPr="00857494">
              <w:rPr>
                <w:b/>
                <w:bCs/>
                <w:lang w:val="en-US"/>
              </w:rPr>
              <w:t>$</w:t>
            </w:r>
            <w:r w:rsidR="003075D1">
              <w:rPr>
                <w:b/>
                <w:bCs/>
                <w:lang w:val="en-US"/>
              </w:rPr>
              <w:t>1,675</w:t>
            </w:r>
          </w:p>
        </w:tc>
      </w:tr>
    </w:tbl>
    <w:p w14:paraId="66109D73" w14:textId="5150E548" w:rsidR="00AF52C1" w:rsidRPr="00610F02" w:rsidRDefault="00AF52C1" w:rsidP="00AF41B8">
      <w:pPr>
        <w:tabs>
          <w:tab w:val="left" w:pos="1335"/>
        </w:tabs>
      </w:pPr>
    </w:p>
    <w:p w14:paraId="5CAA8BA3" w14:textId="77777777" w:rsidR="00AF52C1" w:rsidRPr="00AF52C1" w:rsidRDefault="00AF52C1" w:rsidP="00610F02">
      <w:pPr>
        <w:sectPr w:rsidR="00AF52C1" w:rsidRPr="00AF52C1" w:rsidSect="00A90C3B">
          <w:headerReference w:type="even" r:id="rId53"/>
          <w:footerReference w:type="default" r:id="rId54"/>
          <w:headerReference w:type="first" r:id="rId55"/>
          <w:type w:val="continuous"/>
          <w:pgSz w:w="11906" w:h="16838" w:code="9"/>
          <w:pgMar w:top="1134" w:right="1134" w:bottom="1134" w:left="1134" w:header="709" w:footer="692" w:gutter="0"/>
          <w:cols w:space="708"/>
          <w:docGrid w:linePitch="360"/>
        </w:sectPr>
      </w:pPr>
    </w:p>
    <w:p w14:paraId="7D444339" w14:textId="74799749" w:rsidR="00A650B6" w:rsidRDefault="00A650B6" w:rsidP="00717CCA">
      <w:pPr>
        <w:pStyle w:val="Heading1"/>
      </w:pPr>
      <w:bookmarkStart w:id="215" w:name="_Ref191542229"/>
      <w:bookmarkStart w:id="216" w:name="_Ref188877932"/>
      <w:bookmarkStart w:id="217" w:name="_Toc191027413"/>
      <w:bookmarkStart w:id="218" w:name="_Toc198808351"/>
      <w:r w:rsidRPr="002E5DDE">
        <w:lastRenderedPageBreak/>
        <w:t>Appendix E: Order in Council</w:t>
      </w:r>
      <w:bookmarkEnd w:id="215"/>
      <w:bookmarkEnd w:id="216"/>
      <w:bookmarkEnd w:id="217"/>
      <w:bookmarkEnd w:id="218"/>
    </w:p>
    <w:p w14:paraId="34E87634" w14:textId="77777777" w:rsidR="00C40D1A" w:rsidRPr="004B5D1D" w:rsidRDefault="00C40D1A" w:rsidP="00C40D1A">
      <w:r>
        <w:rPr>
          <w:noProof/>
        </w:rPr>
        <w:drawing>
          <wp:inline distT="0" distB="0" distL="0" distR="0" wp14:anchorId="4C99C272" wp14:editId="41C57D09">
            <wp:extent cx="5108575" cy="7517130"/>
            <wp:effectExtent l="0" t="0" r="0" b="7620"/>
            <wp:docPr id="600145819" name="Picture 19"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5819" name="Picture 19" descr="A document with text on it&#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8575" cy="7517130"/>
                    </a:xfrm>
                    <a:prstGeom prst="rect">
                      <a:avLst/>
                    </a:prstGeom>
                    <a:noFill/>
                  </pic:spPr>
                </pic:pic>
              </a:graphicData>
            </a:graphic>
          </wp:inline>
        </w:drawing>
      </w:r>
    </w:p>
    <w:p w14:paraId="550B75D7" w14:textId="77777777" w:rsidR="00C40D1A" w:rsidRDefault="00C40D1A" w:rsidP="00C40D1A"/>
    <w:p w14:paraId="33B4A7DA" w14:textId="77777777" w:rsidR="00C40D1A" w:rsidRDefault="00C40D1A" w:rsidP="00C40D1A">
      <w:r w:rsidRPr="00C3582E">
        <w:rPr>
          <w:noProof/>
        </w:rPr>
        <w:lastRenderedPageBreak/>
        <w:drawing>
          <wp:inline distT="0" distB="0" distL="0" distR="0" wp14:anchorId="505A9224" wp14:editId="3DA5610B">
            <wp:extent cx="5800409" cy="8448675"/>
            <wp:effectExtent l="0" t="0" r="0" b="0"/>
            <wp:docPr id="1228924159"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4159" name="Picture 1" descr="A paper with text on it&#10;&#10;Description automatically generated"/>
                    <pic:cNvPicPr/>
                  </pic:nvPicPr>
                  <pic:blipFill>
                    <a:blip r:embed="rId57"/>
                    <a:stretch>
                      <a:fillRect/>
                    </a:stretch>
                  </pic:blipFill>
                  <pic:spPr>
                    <a:xfrm>
                      <a:off x="0" y="0"/>
                      <a:ext cx="5820517" cy="8477964"/>
                    </a:xfrm>
                    <a:prstGeom prst="rect">
                      <a:avLst/>
                    </a:prstGeom>
                  </pic:spPr>
                </pic:pic>
              </a:graphicData>
            </a:graphic>
          </wp:inline>
        </w:drawing>
      </w:r>
    </w:p>
    <w:p w14:paraId="34981B81" w14:textId="77777777" w:rsidR="00C40D1A" w:rsidRDefault="00C40D1A" w:rsidP="00C40D1A">
      <w:r>
        <w:rPr>
          <w:noProof/>
        </w:rPr>
        <w:lastRenderedPageBreak/>
        <w:drawing>
          <wp:inline distT="0" distB="0" distL="0" distR="0" wp14:anchorId="0C88C767" wp14:editId="76567D2D">
            <wp:extent cx="5767070" cy="8486140"/>
            <wp:effectExtent l="0" t="0" r="5080" b="0"/>
            <wp:docPr id="1167104789" name="Picture 3"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4789" name="Picture 3" descr="A paper with text and images&#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7070" cy="8486140"/>
                    </a:xfrm>
                    <a:prstGeom prst="rect">
                      <a:avLst/>
                    </a:prstGeom>
                    <a:noFill/>
                  </pic:spPr>
                </pic:pic>
              </a:graphicData>
            </a:graphic>
          </wp:inline>
        </w:drawing>
      </w:r>
    </w:p>
    <w:p w14:paraId="4A63FE60" w14:textId="77777777" w:rsidR="00C40D1A" w:rsidRDefault="00C40D1A" w:rsidP="00C40D1A">
      <w:r>
        <w:rPr>
          <w:noProof/>
        </w:rPr>
        <w:lastRenderedPageBreak/>
        <w:drawing>
          <wp:inline distT="0" distB="0" distL="0" distR="0" wp14:anchorId="6F0D217A" wp14:editId="65CA4885">
            <wp:extent cx="5828030" cy="8407400"/>
            <wp:effectExtent l="0" t="0" r="1270" b="0"/>
            <wp:docPr id="1563533372" name="Picture 4"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3372" name="Picture 4" descr="A paper with text and image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8030" cy="8407400"/>
                    </a:xfrm>
                    <a:prstGeom prst="rect">
                      <a:avLst/>
                    </a:prstGeom>
                    <a:noFill/>
                  </pic:spPr>
                </pic:pic>
              </a:graphicData>
            </a:graphic>
          </wp:inline>
        </w:drawing>
      </w:r>
    </w:p>
    <w:p w14:paraId="792292E5" w14:textId="77777777" w:rsidR="00C40D1A" w:rsidRDefault="00C40D1A" w:rsidP="00C40D1A">
      <w:r>
        <w:rPr>
          <w:noProof/>
        </w:rPr>
        <w:lastRenderedPageBreak/>
        <w:drawing>
          <wp:inline distT="0" distB="0" distL="0" distR="0" wp14:anchorId="1C4CF242" wp14:editId="4EF67C95">
            <wp:extent cx="5773420" cy="8431530"/>
            <wp:effectExtent l="0" t="0" r="0" b="7620"/>
            <wp:docPr id="1672107066" name="Picture 7"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07066" name="Picture 7" descr="A paper with text on it&#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3420" cy="8431530"/>
                    </a:xfrm>
                    <a:prstGeom prst="rect">
                      <a:avLst/>
                    </a:prstGeom>
                    <a:noFill/>
                  </pic:spPr>
                </pic:pic>
              </a:graphicData>
            </a:graphic>
          </wp:inline>
        </w:drawing>
      </w:r>
    </w:p>
    <w:p w14:paraId="3E6A5C38" w14:textId="77777777" w:rsidR="00C40D1A" w:rsidRDefault="00C40D1A" w:rsidP="00C40D1A">
      <w:r>
        <w:rPr>
          <w:noProof/>
        </w:rPr>
        <w:lastRenderedPageBreak/>
        <w:drawing>
          <wp:inline distT="0" distB="0" distL="0" distR="0" wp14:anchorId="61163938" wp14:editId="2C9DF20F">
            <wp:extent cx="5785485" cy="8498840"/>
            <wp:effectExtent l="0" t="0" r="5715" b="0"/>
            <wp:docPr id="1030584260" name="Picture 8" descr="A paper with text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84260" name="Picture 8" descr="A paper with text and a few words&#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5485" cy="8498840"/>
                    </a:xfrm>
                    <a:prstGeom prst="rect">
                      <a:avLst/>
                    </a:prstGeom>
                    <a:noFill/>
                  </pic:spPr>
                </pic:pic>
              </a:graphicData>
            </a:graphic>
          </wp:inline>
        </w:drawing>
      </w:r>
    </w:p>
    <w:p w14:paraId="1160A218" w14:textId="77777777" w:rsidR="00C40D1A" w:rsidRDefault="00C40D1A" w:rsidP="00C40D1A"/>
    <w:p w14:paraId="43372CB7" w14:textId="77777777" w:rsidR="00C40D1A" w:rsidRDefault="00C40D1A" w:rsidP="00C40D1A">
      <w:r>
        <w:rPr>
          <w:noProof/>
        </w:rPr>
        <w:drawing>
          <wp:inline distT="0" distB="0" distL="0" distR="0" wp14:anchorId="425C05B0" wp14:editId="5F52FB6A">
            <wp:extent cx="6120130" cy="8127196"/>
            <wp:effectExtent l="0" t="0" r="0" b="7620"/>
            <wp:docPr id="1805532715" name="Picture 9" descr="A paper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32715" name="Picture 9" descr="A paper with text and word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8127196"/>
                    </a:xfrm>
                    <a:prstGeom prst="rect">
                      <a:avLst/>
                    </a:prstGeom>
                    <a:noFill/>
                  </pic:spPr>
                </pic:pic>
              </a:graphicData>
            </a:graphic>
          </wp:inline>
        </w:drawing>
      </w:r>
    </w:p>
    <w:p w14:paraId="36BB3296" w14:textId="77777777" w:rsidR="00C40D1A" w:rsidRDefault="00C40D1A" w:rsidP="00C40D1A">
      <w:r>
        <w:rPr>
          <w:noProof/>
        </w:rPr>
        <w:lastRenderedPageBreak/>
        <w:drawing>
          <wp:inline distT="0" distB="0" distL="0" distR="0" wp14:anchorId="0D84007B" wp14:editId="1C132289">
            <wp:extent cx="6047740" cy="8401050"/>
            <wp:effectExtent l="0" t="0" r="0" b="0"/>
            <wp:docPr id="1765474681" name="Picture 1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4681" name="Picture 11" descr="A paper with text on it&#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7740" cy="8401050"/>
                    </a:xfrm>
                    <a:prstGeom prst="rect">
                      <a:avLst/>
                    </a:prstGeom>
                    <a:noFill/>
                  </pic:spPr>
                </pic:pic>
              </a:graphicData>
            </a:graphic>
          </wp:inline>
        </w:drawing>
      </w:r>
    </w:p>
    <w:p w14:paraId="4690709F" w14:textId="77777777" w:rsidR="00C40D1A" w:rsidRDefault="00C40D1A" w:rsidP="00C40D1A"/>
    <w:p w14:paraId="2E3D4C38" w14:textId="77777777" w:rsidR="00C40D1A" w:rsidRDefault="00C40D1A" w:rsidP="00C40D1A">
      <w:r>
        <w:rPr>
          <w:noProof/>
        </w:rPr>
        <w:drawing>
          <wp:inline distT="0" distB="0" distL="0" distR="0" wp14:anchorId="2520AFEC" wp14:editId="7209B584">
            <wp:extent cx="6120130" cy="8294866"/>
            <wp:effectExtent l="0" t="0" r="0" b="0"/>
            <wp:docPr id="1771768973" name="Picture 12" descr="A document with text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8973" name="Picture 12" descr="A document with text and a few word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8294866"/>
                    </a:xfrm>
                    <a:prstGeom prst="rect">
                      <a:avLst/>
                    </a:prstGeom>
                    <a:noFill/>
                  </pic:spPr>
                </pic:pic>
              </a:graphicData>
            </a:graphic>
          </wp:inline>
        </w:drawing>
      </w:r>
    </w:p>
    <w:p w14:paraId="00A1CCA0" w14:textId="77777777" w:rsidR="00C40D1A" w:rsidRDefault="00C40D1A" w:rsidP="00C40D1A"/>
    <w:p w14:paraId="5A33C627" w14:textId="77777777" w:rsidR="00C40D1A" w:rsidRDefault="00C40D1A" w:rsidP="00C40D1A">
      <w:r>
        <w:rPr>
          <w:noProof/>
        </w:rPr>
        <w:drawing>
          <wp:inline distT="0" distB="0" distL="0" distR="0" wp14:anchorId="79857F69" wp14:editId="1175E618">
            <wp:extent cx="5450205" cy="8364220"/>
            <wp:effectExtent l="0" t="0" r="0" b="0"/>
            <wp:docPr id="1506676124" name="Picture 1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76124" name="Picture 13" descr="A screenshot of a document&#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0205" cy="8364220"/>
                    </a:xfrm>
                    <a:prstGeom prst="rect">
                      <a:avLst/>
                    </a:prstGeom>
                    <a:noFill/>
                  </pic:spPr>
                </pic:pic>
              </a:graphicData>
            </a:graphic>
          </wp:inline>
        </w:drawing>
      </w:r>
    </w:p>
    <w:p w14:paraId="0F45B092" w14:textId="77777777" w:rsidR="00C40D1A" w:rsidRDefault="00C40D1A" w:rsidP="00C40D1A">
      <w:r>
        <w:rPr>
          <w:noProof/>
        </w:rPr>
        <w:lastRenderedPageBreak/>
        <w:drawing>
          <wp:inline distT="0" distB="0" distL="0" distR="0" wp14:anchorId="7308DF70" wp14:editId="3670B8C9">
            <wp:extent cx="5407660" cy="8394700"/>
            <wp:effectExtent l="0" t="0" r="2540" b="6350"/>
            <wp:docPr id="2033632893" name="Picture 1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32893" name="Picture 14" descr="A screenshot of a documen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7660" cy="8394700"/>
                    </a:xfrm>
                    <a:prstGeom prst="rect">
                      <a:avLst/>
                    </a:prstGeom>
                    <a:noFill/>
                  </pic:spPr>
                </pic:pic>
              </a:graphicData>
            </a:graphic>
          </wp:inline>
        </w:drawing>
      </w:r>
    </w:p>
    <w:p w14:paraId="7F938D47" w14:textId="77777777" w:rsidR="00C40D1A" w:rsidRDefault="00C40D1A" w:rsidP="00C40D1A"/>
    <w:p w14:paraId="5A9FDE7E" w14:textId="77777777" w:rsidR="00C40D1A" w:rsidRDefault="00C40D1A" w:rsidP="00C40D1A">
      <w:r>
        <w:rPr>
          <w:noProof/>
        </w:rPr>
        <w:drawing>
          <wp:inline distT="0" distB="0" distL="0" distR="0" wp14:anchorId="1D6DBC7B" wp14:editId="15E47CC6">
            <wp:extent cx="5535930" cy="8370570"/>
            <wp:effectExtent l="0" t="0" r="7620" b="0"/>
            <wp:docPr id="1981959341" name="Picture 15"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59341" name="Picture 15" descr="A paper with text and numbers&#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5930" cy="8370570"/>
                    </a:xfrm>
                    <a:prstGeom prst="rect">
                      <a:avLst/>
                    </a:prstGeom>
                    <a:noFill/>
                  </pic:spPr>
                </pic:pic>
              </a:graphicData>
            </a:graphic>
          </wp:inline>
        </w:drawing>
      </w:r>
    </w:p>
    <w:p w14:paraId="422771CC" w14:textId="77777777" w:rsidR="00C40D1A" w:rsidRDefault="00C40D1A" w:rsidP="00C40D1A"/>
    <w:p w14:paraId="7E4579C5" w14:textId="77777777" w:rsidR="00C40D1A" w:rsidRDefault="00C40D1A" w:rsidP="00C40D1A">
      <w:r>
        <w:rPr>
          <w:noProof/>
        </w:rPr>
        <w:drawing>
          <wp:inline distT="0" distB="0" distL="0" distR="0" wp14:anchorId="79937358" wp14:editId="28BCF8BF">
            <wp:extent cx="5523230" cy="8364220"/>
            <wp:effectExtent l="0" t="0" r="1270" b="0"/>
            <wp:docPr id="568944550" name="Picture 1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44550" name="Picture 17" descr="A document with text on it&#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3230" cy="8364220"/>
                    </a:xfrm>
                    <a:prstGeom prst="rect">
                      <a:avLst/>
                    </a:prstGeom>
                    <a:noFill/>
                  </pic:spPr>
                </pic:pic>
              </a:graphicData>
            </a:graphic>
          </wp:inline>
        </w:drawing>
      </w:r>
    </w:p>
    <w:p w14:paraId="4A5D7287" w14:textId="77777777" w:rsidR="00C40D1A" w:rsidRDefault="00C40D1A" w:rsidP="00C40D1A"/>
    <w:p w14:paraId="7DFF7789" w14:textId="77777777" w:rsidR="00C40D1A" w:rsidRDefault="00C40D1A" w:rsidP="00C40D1A">
      <w:r>
        <w:rPr>
          <w:noProof/>
        </w:rPr>
        <w:drawing>
          <wp:inline distT="0" distB="0" distL="0" distR="0" wp14:anchorId="749F81F0" wp14:editId="0F88E6BC">
            <wp:extent cx="5135593" cy="7703389"/>
            <wp:effectExtent l="0" t="0" r="8255" b="0"/>
            <wp:docPr id="1766914288" name="Picture 18"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14288" name="Picture 18" descr="A paper with text and images&#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8002" cy="7707003"/>
                    </a:xfrm>
                    <a:prstGeom prst="rect">
                      <a:avLst/>
                    </a:prstGeom>
                    <a:noFill/>
                  </pic:spPr>
                </pic:pic>
              </a:graphicData>
            </a:graphic>
          </wp:inline>
        </w:drawing>
      </w:r>
    </w:p>
    <w:p w14:paraId="2B6E53DA" w14:textId="77777777" w:rsidR="00C40D1A" w:rsidRPr="00C40D1A" w:rsidRDefault="00C40D1A" w:rsidP="00C40D1A"/>
    <w:p w14:paraId="36A99B65" w14:textId="7610A0B1" w:rsidR="004B5D1D" w:rsidRPr="004B5D1D" w:rsidRDefault="004B5D1D" w:rsidP="004B5D1D"/>
    <w:p w14:paraId="6199F2AC" w14:textId="0B8A405A" w:rsidR="007C79B8" w:rsidRDefault="007C79B8" w:rsidP="00A650B6">
      <w:pPr>
        <w:sectPr w:rsidR="007C79B8" w:rsidSect="00AD624D">
          <w:headerReference w:type="even" r:id="rId70"/>
          <w:footerReference w:type="default" r:id="rId71"/>
          <w:headerReference w:type="first" r:id="rId72"/>
          <w:pgSz w:w="11906" w:h="16838" w:code="9"/>
          <w:pgMar w:top="1134" w:right="1134" w:bottom="1134" w:left="1134" w:header="709" w:footer="692" w:gutter="0"/>
          <w:cols w:space="708"/>
          <w:docGrid w:linePitch="360"/>
        </w:sectPr>
      </w:pPr>
    </w:p>
    <w:p w14:paraId="525B8327" w14:textId="7806BD00" w:rsidR="004309BF" w:rsidRDefault="00AD624D" w:rsidP="00717CCA">
      <w:pPr>
        <w:pStyle w:val="Heading1"/>
      </w:pPr>
      <w:bookmarkStart w:id="219" w:name="_Ref188877945"/>
      <w:bookmarkStart w:id="220" w:name="_Toc191027414"/>
      <w:bookmarkStart w:id="221" w:name="_Toc198808352"/>
      <w:r>
        <w:lastRenderedPageBreak/>
        <w:t>Appendix F: Our legislative considerations</w:t>
      </w:r>
      <w:bookmarkEnd w:id="219"/>
      <w:bookmarkEnd w:id="220"/>
      <w:bookmarkEnd w:id="221"/>
    </w:p>
    <w:p w14:paraId="0744CD20" w14:textId="6C3001D8" w:rsidR="00C5615F" w:rsidRPr="00E7426F" w:rsidRDefault="00C5615F" w:rsidP="00C5615F">
      <w:bookmarkStart w:id="222" w:name="_Toc160817071"/>
      <w:bookmarkStart w:id="223" w:name="_Toc191027415"/>
      <w:r w:rsidRPr="00E7426F">
        <w:t xml:space="preserve">The pricing order </w:t>
      </w:r>
      <w:r w:rsidR="00CB260A">
        <w:t xml:space="preserve">requires </w:t>
      </w:r>
      <w:r w:rsidR="00ED57E8">
        <w:t>t</w:t>
      </w:r>
      <w:r w:rsidRPr="00E7426F">
        <w:t xml:space="preserve">he </w:t>
      </w:r>
      <w:r w:rsidR="000E54DA">
        <w:t>c</w:t>
      </w:r>
      <w:r w:rsidRPr="00E7426F">
        <w:t xml:space="preserve">ommission to make a Victorian Default Offer price determination </w:t>
      </w:r>
      <w:r w:rsidR="003A2B5A">
        <w:t>for each regulatory period</w:t>
      </w:r>
      <w:r w:rsidRPr="00E7426F">
        <w:t xml:space="preserve"> and imposes some constraints on that power. This appendix explains the requirements for</w:t>
      </w:r>
      <w:r>
        <w:t xml:space="preserve"> </w:t>
      </w:r>
      <w:r w:rsidRPr="00E7426F">
        <w:t xml:space="preserve">making </w:t>
      </w:r>
      <w:r>
        <w:t>a price</w:t>
      </w:r>
      <w:r w:rsidRPr="00E7426F">
        <w:t xml:space="preserve"> determination and </w:t>
      </w:r>
      <w:r>
        <w:t xml:space="preserve">the </w:t>
      </w:r>
      <w:r w:rsidRPr="00E7426F">
        <w:t xml:space="preserve">matters we must have regard to in making </w:t>
      </w:r>
      <w:r>
        <w:t>the</w:t>
      </w:r>
      <w:r w:rsidRPr="00E7426F">
        <w:t xml:space="preserve"> determination.</w:t>
      </w:r>
    </w:p>
    <w:p w14:paraId="51BAC503" w14:textId="1DD4EDB6" w:rsidR="00DF2775" w:rsidRPr="00E7426F" w:rsidRDefault="00DF2775" w:rsidP="00DF2775">
      <w:pPr>
        <w:pStyle w:val="Heading2"/>
      </w:pPr>
      <w:bookmarkStart w:id="224" w:name="_Toc198808353"/>
      <w:r w:rsidRPr="00E7426F">
        <w:t>The commission</w:t>
      </w:r>
      <w:r w:rsidR="003A5375">
        <w:t>’</w:t>
      </w:r>
      <w:r w:rsidRPr="00E7426F">
        <w:t>s power to determine the Victorian Default Offer</w:t>
      </w:r>
      <w:bookmarkEnd w:id="222"/>
      <w:bookmarkEnd w:id="223"/>
      <w:bookmarkEnd w:id="224"/>
      <w:r w:rsidRPr="00E7426F">
        <w:t xml:space="preserve"> </w:t>
      </w:r>
    </w:p>
    <w:p w14:paraId="0524ECFF" w14:textId="7CA0518C" w:rsidR="00DF2775" w:rsidRPr="00E7426F" w:rsidRDefault="00DF2775" w:rsidP="00DF2775">
      <w:r w:rsidRPr="00E7426F">
        <w:t xml:space="preserve">The Victorian Default Offer price determination is a determination for </w:t>
      </w:r>
      <w:r w:rsidR="00B35651">
        <w:t xml:space="preserve">the </w:t>
      </w:r>
      <w:r w:rsidRPr="00E7426F">
        <w:t xml:space="preserve">purposes of section 33 of the </w:t>
      </w:r>
      <w:r w:rsidRPr="4EB6CF14">
        <w:rPr>
          <w:i/>
          <w:iCs/>
        </w:rPr>
        <w:t>Essential Services Commission Act 2001</w:t>
      </w:r>
      <w:r w:rsidRPr="00E7426F">
        <w:t xml:space="preserve"> (ESC Act). In making a Victorian Default Offer price determination we must adopt an approach and methodology in accordance with section 33(2) of the ESC Act, and the pricing order.</w:t>
      </w:r>
      <w:r w:rsidRPr="00E7426F">
        <w:rPr>
          <w:vertAlign w:val="superscript"/>
        </w:rPr>
        <w:footnoteReference w:id="184"/>
      </w:r>
      <w:r w:rsidRPr="00E7426F">
        <w:t xml:space="preserve"> Taken together, this means we must adopt an approach and methodology we consider will best meet the objectives specified in the ESC Act, the commission’s objectives under the </w:t>
      </w:r>
      <w:r w:rsidRPr="4EB6CF14">
        <w:rPr>
          <w:i/>
          <w:iCs/>
        </w:rPr>
        <w:t>Electricity Industry Act 2000</w:t>
      </w:r>
      <w:r w:rsidRPr="00E7426F">
        <w:t xml:space="preserve"> (EI Act) and the objective of the Victorian Default Offer.</w:t>
      </w:r>
      <w:r w:rsidRPr="00E7426F">
        <w:rPr>
          <w:vertAlign w:val="superscript"/>
        </w:rPr>
        <w:footnoteReference w:id="185"/>
      </w:r>
      <w:r w:rsidRPr="00E7426F">
        <w:t xml:space="preserve"> </w:t>
      </w:r>
    </w:p>
    <w:p w14:paraId="74A4A223" w14:textId="124D55D9" w:rsidR="00DF2775" w:rsidRPr="008909BE" w:rsidRDefault="00DF2775" w:rsidP="00DF2775">
      <w:r w:rsidRPr="00E7426F">
        <w:t xml:space="preserve">The approach and methodology </w:t>
      </w:r>
      <w:r w:rsidR="002C3F79" w:rsidRPr="00E7426F">
        <w:t>are</w:t>
      </w:r>
      <w:r w:rsidRPr="00E7426F">
        <w:t xml:space="preserve"> subject to the requirement that the Victorian Default Offer price determination must be based on the efficient costs of the sale of electricity by a </w:t>
      </w:r>
      <w:r w:rsidRPr="008909BE">
        <w:t>retailer, having regard to:</w:t>
      </w:r>
      <w:r w:rsidR="002C3F79" w:rsidRPr="002C3F79">
        <w:rPr>
          <w:vertAlign w:val="superscript"/>
        </w:rPr>
        <w:t xml:space="preserve"> </w:t>
      </w:r>
      <w:r w:rsidR="002C3F79" w:rsidRPr="00E7426F">
        <w:rPr>
          <w:vertAlign w:val="superscript"/>
        </w:rPr>
        <w:footnoteReference w:id="186"/>
      </w:r>
      <w:r w:rsidR="00DF4879">
        <w:rPr>
          <w:vertAlign w:val="superscript"/>
        </w:rPr>
        <w:t xml:space="preserve"> </w:t>
      </w:r>
      <w:r w:rsidR="002C3F79" w:rsidRPr="008909BE">
        <w:rPr>
          <w:vertAlign w:val="superscript"/>
        </w:rPr>
        <w:footnoteReference w:id="187"/>
      </w:r>
      <w:r w:rsidR="002C3F79" w:rsidRPr="008909BE">
        <w:t xml:space="preserve"> </w:t>
      </w:r>
      <w:r w:rsidRPr="008909BE">
        <w:rPr>
          <w:vertAlign w:val="superscript"/>
        </w:rPr>
        <w:footnoteReference w:id="188"/>
      </w:r>
    </w:p>
    <w:p w14:paraId="6AED1F0F" w14:textId="77777777" w:rsidR="00DF2775" w:rsidRPr="008909BE" w:rsidRDefault="00DF2775" w:rsidP="0091314D">
      <w:pPr>
        <w:pStyle w:val="ListBullet"/>
      </w:pPr>
      <w:r w:rsidRPr="008909BE">
        <w:t>wholesale electricity costs</w:t>
      </w:r>
    </w:p>
    <w:p w14:paraId="25CD7684" w14:textId="77777777" w:rsidR="00DF2775" w:rsidRPr="008909BE" w:rsidRDefault="00DF2775" w:rsidP="0091314D">
      <w:pPr>
        <w:pStyle w:val="ListBullet"/>
      </w:pPr>
      <w:r w:rsidRPr="008909BE">
        <w:t>network costs</w:t>
      </w:r>
    </w:p>
    <w:p w14:paraId="5648675D" w14:textId="77777777" w:rsidR="00DF2775" w:rsidRPr="008909BE" w:rsidRDefault="00DF2775" w:rsidP="0091314D">
      <w:pPr>
        <w:pStyle w:val="ListBullet"/>
      </w:pPr>
      <w:r w:rsidRPr="008909BE">
        <w:t>environmental costs</w:t>
      </w:r>
    </w:p>
    <w:p w14:paraId="32B24A94" w14:textId="77777777" w:rsidR="00DF2775" w:rsidRPr="008909BE" w:rsidRDefault="00DF2775" w:rsidP="4EB6CF14">
      <w:pPr>
        <w:pStyle w:val="ListBullet"/>
      </w:pPr>
      <w:r w:rsidRPr="008909BE">
        <w:t>retail operating costs, including only modest costs of customer acquisition and retention</w:t>
      </w:r>
      <w:r w:rsidRPr="008909BE">
        <w:rPr>
          <w:vertAlign w:val="superscript"/>
        </w:rPr>
        <w:footnoteReference w:id="189"/>
      </w:r>
    </w:p>
    <w:p w14:paraId="7CE3E9E7" w14:textId="77777777" w:rsidR="00DF2775" w:rsidRPr="008909BE" w:rsidRDefault="00DF2775" w:rsidP="4EB6CF14">
      <w:pPr>
        <w:pStyle w:val="ListBullet"/>
      </w:pPr>
      <w:r w:rsidRPr="008909BE">
        <w:t>retail operating margin</w:t>
      </w:r>
      <w:r w:rsidRPr="008909BE">
        <w:rPr>
          <w:vertAlign w:val="superscript"/>
        </w:rPr>
        <w:footnoteReference w:id="190"/>
      </w:r>
    </w:p>
    <w:p w14:paraId="4E913076" w14:textId="77777777" w:rsidR="00DF2775" w:rsidRPr="00E7426F" w:rsidRDefault="00DF2775" w:rsidP="0091314D">
      <w:pPr>
        <w:pStyle w:val="ListBullet"/>
      </w:pPr>
      <w:r w:rsidRPr="00E7426F">
        <w:lastRenderedPageBreak/>
        <w:t>any other costs, matters or things we consider appropriate or relevant.</w:t>
      </w:r>
    </w:p>
    <w:p w14:paraId="32FD0E49" w14:textId="77777777" w:rsidR="00DF2775" w:rsidRPr="00E7426F" w:rsidRDefault="00DF2775" w:rsidP="00DF2775">
      <w:r w:rsidRPr="00E7426F">
        <w:t>The pricing order also specifies that we must not include headroom.</w:t>
      </w:r>
      <w:r w:rsidRPr="00E7426F">
        <w:rPr>
          <w:vertAlign w:val="superscript"/>
        </w:rPr>
        <w:footnoteReference w:id="191"/>
      </w:r>
      <w:r w:rsidRPr="00E7426F">
        <w:t xml:space="preserve"> </w:t>
      </w:r>
    </w:p>
    <w:p w14:paraId="3119E42E" w14:textId="77777777" w:rsidR="00DF2775" w:rsidRPr="00E7426F" w:rsidRDefault="00DF2775" w:rsidP="00DF2775">
      <w:pPr>
        <w:pStyle w:val="Heading2"/>
      </w:pPr>
      <w:bookmarkStart w:id="225" w:name="_Toc160817072"/>
      <w:bookmarkStart w:id="226" w:name="_Toc191027416"/>
      <w:bookmarkStart w:id="227" w:name="_Toc198808354"/>
      <w:r w:rsidRPr="00E7426F">
        <w:t>Our objectives in setting the Victorian Default Offer</w:t>
      </w:r>
      <w:bookmarkEnd w:id="225"/>
      <w:bookmarkEnd w:id="226"/>
      <w:bookmarkEnd w:id="227"/>
    </w:p>
    <w:p w14:paraId="4953947F" w14:textId="77777777" w:rsidR="00DF2775" w:rsidRPr="00E7426F" w:rsidRDefault="00DF2775" w:rsidP="00DF2775">
      <w:r w:rsidRPr="00E7426F">
        <w:t>The objective of the commission under the ESC Act is to promote the long-term interests of Victorian consumers, having regard to the price, quality and reliability of essential services.</w:t>
      </w:r>
      <w:r w:rsidRPr="00E7426F">
        <w:rPr>
          <w:vertAlign w:val="superscript"/>
        </w:rPr>
        <w:footnoteReference w:id="192"/>
      </w:r>
      <w:r w:rsidRPr="00E7426F">
        <w:t xml:space="preserve">  </w:t>
      </w:r>
    </w:p>
    <w:p w14:paraId="2674B989" w14:textId="4B85833F" w:rsidR="00DF2775" w:rsidRPr="00E7426F" w:rsidRDefault="00B35651" w:rsidP="00DF2775">
      <w:r>
        <w:t>Consistent with the</w:t>
      </w:r>
      <w:r w:rsidR="00DF2775" w:rsidRPr="00E7426F">
        <w:t xml:space="preserve"> objectives of the EI Act, the commission must adopt an approach which promotes protections for customers, the development of full retail competition and a consistent regulatory approach between the electricity and gas industries (noting there is currently no framework for the regulation of prices for retail gas services).</w:t>
      </w:r>
      <w:r w:rsidR="00DF2775" w:rsidRPr="00E7426F">
        <w:rPr>
          <w:vertAlign w:val="superscript"/>
        </w:rPr>
        <w:footnoteReference w:id="193"/>
      </w:r>
      <w:r w:rsidR="00DF2775" w:rsidRPr="00E7426F">
        <w:t xml:space="preserve"> </w:t>
      </w:r>
    </w:p>
    <w:p w14:paraId="66FE77BC" w14:textId="77777777" w:rsidR="00DF2775" w:rsidRPr="00E7426F" w:rsidRDefault="00DF2775" w:rsidP="00DF2775">
      <w:r w:rsidRPr="00E7426F">
        <w:t>The objective of the Victorian Default Offer under the pricing order is to provide a simple, trusted and reasonably priced electricity option that safeguards consumers unable or unwilling to engage in the electricity retail market.</w:t>
      </w:r>
      <w:r w:rsidRPr="00E7426F">
        <w:rPr>
          <w:vertAlign w:val="superscript"/>
        </w:rPr>
        <w:footnoteReference w:id="194"/>
      </w:r>
    </w:p>
    <w:p w14:paraId="26B3E965" w14:textId="06DEE1FE" w:rsidR="006F0E18" w:rsidRPr="00E7426F" w:rsidRDefault="006F0E18" w:rsidP="006F0E18">
      <w:bookmarkStart w:id="228" w:name="_Toc160817073"/>
      <w:bookmarkStart w:id="229" w:name="_Toc191027417"/>
      <w:r>
        <w:t>W</w:t>
      </w:r>
      <w:r w:rsidRPr="00E7426F">
        <w:t xml:space="preserve">hen making a Victorian Default Offer price determination, the approach and methodology adopted by the commission </w:t>
      </w:r>
      <w:r w:rsidR="00C13EE2">
        <w:t>is</w:t>
      </w:r>
      <w:r w:rsidRPr="00E7426F">
        <w:t xml:space="preserve"> one that best meets </w:t>
      </w:r>
      <w:proofErr w:type="gramStart"/>
      <w:r w:rsidRPr="00E7426F">
        <w:t>all of</w:t>
      </w:r>
      <w:proofErr w:type="gramEnd"/>
      <w:r w:rsidRPr="00E7426F">
        <w:t xml:space="preserve"> these objectives.</w:t>
      </w:r>
    </w:p>
    <w:p w14:paraId="19FB8E68" w14:textId="0AD80CDA" w:rsidR="00DF2775" w:rsidRPr="00E7426F" w:rsidRDefault="00601845" w:rsidP="00DF2775">
      <w:pPr>
        <w:pStyle w:val="Heading2"/>
      </w:pPr>
      <w:bookmarkStart w:id="230" w:name="_Toc198808355"/>
      <w:r>
        <w:t>T</w:t>
      </w:r>
      <w:r w:rsidR="00DF2775" w:rsidRPr="00E7426F">
        <w:t>he matters the commission must have regard to when determining tariffs</w:t>
      </w:r>
      <w:bookmarkEnd w:id="228"/>
      <w:bookmarkEnd w:id="229"/>
      <w:bookmarkEnd w:id="230"/>
    </w:p>
    <w:p w14:paraId="34F08F4D" w14:textId="23453406" w:rsidR="00D03FC1" w:rsidRPr="00E7426F" w:rsidRDefault="00D03FC1" w:rsidP="00D03FC1">
      <w:r w:rsidRPr="00E7426F">
        <w:t>Section 8A of the ESC Act provides that in seeking to achieve the commission</w:t>
      </w:r>
      <w:r>
        <w:t>’</w:t>
      </w:r>
      <w:r w:rsidRPr="00E7426F">
        <w:t xml:space="preserve">s objective under the ESC Act to promote the long-term interests of Victorian consumers, the commission must have regard to the following matters to the extent that they are relevant in any </w:t>
      </w:r>
      <w:proofErr w:type="gramStart"/>
      <w:r w:rsidRPr="00E7426F">
        <w:t>particular case</w:t>
      </w:r>
      <w:proofErr w:type="gramEnd"/>
      <w:r w:rsidRPr="00E7426F">
        <w:t>:</w:t>
      </w:r>
    </w:p>
    <w:p w14:paraId="3B6B6C08" w14:textId="30E985F9" w:rsidR="00DF2775" w:rsidRPr="00E7426F" w:rsidRDefault="00DF2775" w:rsidP="0091314D">
      <w:pPr>
        <w:pStyle w:val="ListBullet"/>
      </w:pPr>
      <w:r w:rsidRPr="00E7426F">
        <w:t>efficiency in the industry and incentives for long</w:t>
      </w:r>
      <w:r w:rsidR="00107E2D">
        <w:t>-</w:t>
      </w:r>
      <w:r w:rsidRPr="00E7426F">
        <w:t>term investment</w:t>
      </w:r>
    </w:p>
    <w:p w14:paraId="231C45FA" w14:textId="77777777" w:rsidR="00DF2775" w:rsidRPr="00E7426F" w:rsidRDefault="00DF2775" w:rsidP="0091314D">
      <w:pPr>
        <w:pStyle w:val="ListBullet"/>
      </w:pPr>
      <w:r w:rsidRPr="00E7426F">
        <w:t>the financial viability of the industry</w:t>
      </w:r>
    </w:p>
    <w:p w14:paraId="0EB53DD9" w14:textId="77777777" w:rsidR="00DF2775" w:rsidRPr="00E7426F" w:rsidRDefault="00DF2775" w:rsidP="0091314D">
      <w:pPr>
        <w:pStyle w:val="ListBullet"/>
      </w:pPr>
      <w:r w:rsidRPr="00E7426F">
        <w:t>the degree of, and scope for, competition within the industry, including countervailing market power and information asymmetries</w:t>
      </w:r>
    </w:p>
    <w:p w14:paraId="5A125FE2" w14:textId="77777777" w:rsidR="00DF2775" w:rsidRPr="00E7426F" w:rsidRDefault="00DF2775" w:rsidP="0091314D">
      <w:pPr>
        <w:pStyle w:val="ListBullet"/>
      </w:pPr>
      <w:r w:rsidRPr="00E7426F">
        <w:t>the relevant health, safety, environmental and social legislation applying to the industry</w:t>
      </w:r>
    </w:p>
    <w:p w14:paraId="0DF547D5" w14:textId="77777777" w:rsidR="00DF2775" w:rsidRPr="00E7426F" w:rsidRDefault="00DF2775" w:rsidP="0091314D">
      <w:pPr>
        <w:pStyle w:val="ListBullet"/>
      </w:pPr>
      <w:r w:rsidRPr="00E7426F">
        <w:lastRenderedPageBreak/>
        <w:t>the benefits and costs of regulation (including externalities and the gains from competition and efficiency) for consumers and users of products or services (including low income and vulnerable consumers) and regulated entities</w:t>
      </w:r>
    </w:p>
    <w:p w14:paraId="15D16AFB" w14:textId="09C5795A" w:rsidR="00DF2775" w:rsidRPr="00E7426F" w:rsidRDefault="00DF2775" w:rsidP="0091314D">
      <w:pPr>
        <w:pStyle w:val="ListBullet"/>
      </w:pPr>
      <w:r w:rsidRPr="00E7426F">
        <w:t xml:space="preserve">consistency in regulation between </w:t>
      </w:r>
      <w:r w:rsidR="00A253B5">
        <w:t>s</w:t>
      </w:r>
      <w:r w:rsidRPr="00E7426F">
        <w:t>tates and on a national basis</w:t>
      </w:r>
    </w:p>
    <w:p w14:paraId="1E01E64B" w14:textId="13B4F0D3" w:rsidR="00DF2775" w:rsidRPr="00E7426F" w:rsidRDefault="00DF2775" w:rsidP="0091314D">
      <w:pPr>
        <w:pStyle w:val="ListBullet"/>
      </w:pPr>
      <w:r w:rsidRPr="00E7426F">
        <w:t>any matters specified in the empowering instrument (that is, the pricing order)</w:t>
      </w:r>
      <w:r w:rsidR="00C43499">
        <w:t>.</w:t>
      </w:r>
    </w:p>
    <w:p w14:paraId="49EC8D2F" w14:textId="65C085FA" w:rsidR="00DF2775" w:rsidRPr="00E7426F" w:rsidRDefault="00DF2775" w:rsidP="00DF2775">
      <w:r w:rsidRPr="00E7426F">
        <w:t>Section 33(3) of the ESC Act</w:t>
      </w:r>
      <w:r w:rsidRPr="00E7426F" w:rsidDel="004E5C48">
        <w:t xml:space="preserve"> </w:t>
      </w:r>
      <w:r w:rsidRPr="00E7426F">
        <w:t>specifies that in making a price determination the commission must have regard to:</w:t>
      </w:r>
    </w:p>
    <w:p w14:paraId="12F117EC" w14:textId="77777777" w:rsidR="00DF2775" w:rsidRPr="00E7426F" w:rsidRDefault="00DF2775" w:rsidP="0091314D">
      <w:pPr>
        <w:pStyle w:val="ListBullet"/>
      </w:pPr>
      <w:r w:rsidRPr="00E7426F">
        <w:t xml:space="preserve">the </w:t>
      </w:r>
      <w:proofErr w:type="gramStart"/>
      <w:r w:rsidRPr="00E7426F">
        <w:t>particular circumstances</w:t>
      </w:r>
      <w:proofErr w:type="gramEnd"/>
      <w:r w:rsidRPr="00E7426F">
        <w:t xml:space="preserve"> of the regulated industry (that is, retail electricity market) and the prescribed goods and services (that is, standing offers) for which the determination is being made</w:t>
      </w:r>
    </w:p>
    <w:p w14:paraId="462F7607" w14:textId="77777777" w:rsidR="00DF2775" w:rsidRPr="00E7426F" w:rsidRDefault="00DF2775" w:rsidP="0091314D">
      <w:pPr>
        <w:pStyle w:val="ListBullet"/>
      </w:pPr>
      <w:r w:rsidRPr="00E7426F">
        <w:t>the efficient costs of producing or supplying regulated goods or services and of complying with relevant legislation and relevant health, safety, environmental and social legislation applying to the regulated industry</w:t>
      </w:r>
    </w:p>
    <w:p w14:paraId="25CFB459" w14:textId="77777777" w:rsidR="00DF2775" w:rsidRPr="00E7426F" w:rsidRDefault="00DF2775" w:rsidP="0091314D">
      <w:pPr>
        <w:pStyle w:val="ListBullet"/>
      </w:pPr>
      <w:r w:rsidRPr="00E7426F">
        <w:t>the return on assets in the regulated industry</w:t>
      </w:r>
    </w:p>
    <w:p w14:paraId="2C4690F3" w14:textId="77777777" w:rsidR="00DF2775" w:rsidRPr="00E7426F" w:rsidRDefault="00DF2775" w:rsidP="0091314D">
      <w:pPr>
        <w:pStyle w:val="ListBullet"/>
      </w:pPr>
      <w:r w:rsidRPr="00E7426F">
        <w:t>any relevant interstate and international benchmarks for prices, costs and return on assets in comparable industries</w:t>
      </w:r>
    </w:p>
    <w:p w14:paraId="2A339338" w14:textId="77777777" w:rsidR="00DF2775" w:rsidRPr="00E7426F" w:rsidRDefault="00DF2775" w:rsidP="0091314D">
      <w:pPr>
        <w:pStyle w:val="ListBullet"/>
      </w:pPr>
      <w:r w:rsidRPr="00E7426F">
        <w:t>any other factors that the commission considers relevant.</w:t>
      </w:r>
    </w:p>
    <w:p w14:paraId="2BAB6DE4" w14:textId="77777777" w:rsidR="0001444E" w:rsidRDefault="00DF2775" w:rsidP="00DF2775">
      <w:pPr>
        <w:sectPr w:rsidR="0001444E" w:rsidSect="00703C67">
          <w:headerReference w:type="even" r:id="rId73"/>
          <w:footerReference w:type="default" r:id="rId74"/>
          <w:headerReference w:type="first" r:id="rId75"/>
          <w:pgSz w:w="11906" w:h="16838" w:code="9"/>
          <w:pgMar w:top="1134" w:right="1134" w:bottom="1134" w:left="1134" w:header="709" w:footer="692" w:gutter="0"/>
          <w:cols w:space="708"/>
          <w:docGrid w:linePitch="360"/>
        </w:sectPr>
      </w:pPr>
      <w:r w:rsidRPr="00E7426F">
        <w:t xml:space="preserve">In addition, section 33(4)(b) of the ESC Act provides that in </w:t>
      </w:r>
      <w:proofErr w:type="gramStart"/>
      <w:r w:rsidRPr="00E7426F">
        <w:t>making a determination</w:t>
      </w:r>
      <w:proofErr w:type="gramEnd"/>
      <w:r w:rsidRPr="00E7426F">
        <w:t xml:space="preserve">, the commission must ensure that the determination </w:t>
      </w:r>
      <w:proofErr w:type="gramStart"/>
      <w:r w:rsidRPr="00E7426F">
        <w:t>takes into account</w:t>
      </w:r>
      <w:proofErr w:type="gramEnd"/>
      <w:r w:rsidRPr="00E7426F">
        <w:t xml:space="preserve"> and clearly articulates any trade-offs between costs and service standards.</w:t>
      </w:r>
      <w:r w:rsidRPr="00E7426F">
        <w:rPr>
          <w:vertAlign w:val="superscript"/>
        </w:rPr>
        <w:footnoteReference w:id="195"/>
      </w:r>
      <w:r w:rsidRPr="00E7426F">
        <w:t xml:space="preserve">  </w:t>
      </w:r>
    </w:p>
    <w:p w14:paraId="17A39620" w14:textId="255CB975" w:rsidR="00A16CB0" w:rsidRDefault="00A16CB0" w:rsidP="00DF2775"/>
    <w:p w14:paraId="1D9DB923" w14:textId="24AB7D3A" w:rsidR="00FF2DBB" w:rsidRPr="009C5178" w:rsidRDefault="00FF2DBB" w:rsidP="00FF2DBB">
      <w:pPr>
        <w:pStyle w:val="Heading1"/>
      </w:pPr>
      <w:bookmarkStart w:id="231" w:name="_Ref198629924"/>
      <w:bookmarkStart w:id="232" w:name="_Ref198630088"/>
      <w:bookmarkStart w:id="233" w:name="_Toc198808356"/>
      <w:r w:rsidRPr="009C5178">
        <w:lastRenderedPageBreak/>
        <w:t xml:space="preserve">Appendix G: </w:t>
      </w:r>
      <w:r w:rsidR="00FD0277" w:rsidRPr="009C5178">
        <w:t>Assessment of how</w:t>
      </w:r>
      <w:r w:rsidRPr="009C5178">
        <w:t xml:space="preserve"> the Victorian Default Offer</w:t>
      </w:r>
      <w:r w:rsidR="009C5178" w:rsidRPr="009C5178">
        <w:t xml:space="preserve"> price determination has regard to relevant legislative considerations</w:t>
      </w:r>
      <w:bookmarkEnd w:id="231"/>
      <w:bookmarkEnd w:id="232"/>
      <w:bookmarkEnd w:id="233"/>
    </w:p>
    <w:p w14:paraId="46D428EA" w14:textId="6344FEE1" w:rsidR="00FF2DBB" w:rsidRPr="0091314D" w:rsidRDefault="00FF2DBB" w:rsidP="00FF2DBB">
      <w:r w:rsidRPr="0091314D">
        <w:t xml:space="preserve">Appendix </w:t>
      </w:r>
      <w:r w:rsidR="00DA18AE" w:rsidRPr="0091314D">
        <w:t>G</w:t>
      </w:r>
      <w:r w:rsidRPr="0091314D">
        <w:t xml:space="preserve"> </w:t>
      </w:r>
      <w:r w:rsidR="00780ADA">
        <w:t>summarises our approach</w:t>
      </w:r>
      <w:r w:rsidRPr="0091314D">
        <w:t xml:space="preserve"> to making a </w:t>
      </w:r>
      <w:r w:rsidR="003C2B80">
        <w:t xml:space="preserve">the 2025–26 </w:t>
      </w:r>
      <w:r w:rsidRPr="0091314D">
        <w:t xml:space="preserve">Victorian Default Offer price determination. </w:t>
      </w:r>
    </w:p>
    <w:p w14:paraId="5432717F" w14:textId="64D5F7FE" w:rsidR="00FF2DBB" w:rsidRPr="0091314D" w:rsidRDefault="00FF2DBB" w:rsidP="00FF2DBB">
      <w:pPr>
        <w:pStyle w:val="Heading2"/>
      </w:pPr>
      <w:bookmarkStart w:id="234" w:name="_Toc198808357"/>
      <w:r w:rsidRPr="0091314D">
        <w:t>Our approach to this review</w:t>
      </w:r>
      <w:bookmarkEnd w:id="234"/>
    </w:p>
    <w:p w14:paraId="7B4AAC41" w14:textId="1A20E806" w:rsidR="00FF2DBB" w:rsidRPr="0091314D" w:rsidRDefault="00FF2DBB" w:rsidP="00FF2DBB">
      <w:r w:rsidRPr="0091314D">
        <w:t xml:space="preserve">In </w:t>
      </w:r>
      <w:r w:rsidR="001A46D7">
        <w:t>making</w:t>
      </w:r>
      <w:r w:rsidRPr="0091314D">
        <w:t xml:space="preserve"> the 2025–26 Victorian Default Offer</w:t>
      </w:r>
      <w:r w:rsidR="007F3829">
        <w:t xml:space="preserve"> determination</w:t>
      </w:r>
      <w:r w:rsidRPr="0091314D">
        <w:t xml:space="preserve">, we have </w:t>
      </w:r>
      <w:r w:rsidR="00DA5AC6">
        <w:t>had regard to</w:t>
      </w:r>
      <w:r w:rsidRPr="0091314D">
        <w:t xml:space="preserve"> our 2024–</w:t>
      </w:r>
      <w:r w:rsidR="000959AB">
        <w:t>‍</w:t>
      </w:r>
      <w:r w:rsidRPr="0091314D">
        <w:t xml:space="preserve">25 price determination, assessed developments in the retail electricity market since </w:t>
      </w:r>
      <w:r w:rsidR="00896780">
        <w:t>making</w:t>
      </w:r>
      <w:r w:rsidRPr="0091314D">
        <w:t xml:space="preserve"> our </w:t>
      </w:r>
      <w:r w:rsidR="007E39DA">
        <w:t>previous</w:t>
      </w:r>
      <w:r w:rsidRPr="0091314D">
        <w:t xml:space="preserve"> final decision and analysed the costs of providing retail electricity services, among other matters. Our </w:t>
      </w:r>
      <w:r w:rsidR="00AD53C4">
        <w:t>determination</w:t>
      </w:r>
      <w:r w:rsidRPr="0091314D">
        <w:t xml:space="preserve"> has </w:t>
      </w:r>
      <w:r w:rsidR="00916293">
        <w:t>been made using</w:t>
      </w:r>
      <w:r w:rsidRPr="0091314D">
        <w:t xml:space="preserve"> </w:t>
      </w:r>
      <w:r w:rsidR="009A2D8D" w:rsidRPr="0091314D">
        <w:t>largely</w:t>
      </w:r>
      <w:r w:rsidRPr="0091314D">
        <w:t xml:space="preserve"> the same methodology as we did in our 2024–</w:t>
      </w:r>
      <w:r w:rsidR="000822C3">
        <w:t>‍</w:t>
      </w:r>
      <w:r w:rsidRPr="0091314D">
        <w:t xml:space="preserve">25 price determination. As part of this review, the estimates included in the cost stack were updated to reflect changes in the market and new data that is now available. Our approach helped us establish the cost estimates that best meet our legislative objectives, including </w:t>
      </w:r>
      <w:r w:rsidR="00E262D7">
        <w:t xml:space="preserve">the </w:t>
      </w:r>
      <w:r w:rsidR="00603CAD">
        <w:t>requirement</w:t>
      </w:r>
      <w:r w:rsidRPr="0091314D">
        <w:t xml:space="preserve"> that the price determination be based on the efficient costs of the sale of electricity by a retailer</w:t>
      </w:r>
      <w:r w:rsidR="00603CAD">
        <w:t xml:space="preserve"> and</w:t>
      </w:r>
      <w:r w:rsidRPr="0091314D">
        <w:t xml:space="preserve"> the matters we must have regard to </w:t>
      </w:r>
      <w:r w:rsidR="003D7892">
        <w:t xml:space="preserve">in </w:t>
      </w:r>
      <w:proofErr w:type="gramStart"/>
      <w:r w:rsidR="003D7892">
        <w:t>making a determination</w:t>
      </w:r>
      <w:proofErr w:type="gramEnd"/>
      <w:r w:rsidRPr="0091314D">
        <w:t xml:space="preserve"> (see appendix F). </w:t>
      </w:r>
    </w:p>
    <w:p w14:paraId="22A54DF6" w14:textId="5C80420B" w:rsidR="00FF2DBB" w:rsidRPr="0091314D" w:rsidRDefault="00FF2DBB" w:rsidP="00FF2DBB">
      <w:pPr>
        <w:pStyle w:val="Heading3"/>
      </w:pPr>
      <w:r w:rsidRPr="0091314D">
        <w:t>We analy</w:t>
      </w:r>
      <w:r w:rsidR="007C7ADE">
        <w:t>s</w:t>
      </w:r>
      <w:r w:rsidRPr="0091314D">
        <w:t>ed the efficient costs of electricity retailers</w:t>
      </w:r>
    </w:p>
    <w:p w14:paraId="7ABF443A" w14:textId="7B71E327" w:rsidR="00FF2DBB" w:rsidRPr="0091314D" w:rsidRDefault="007B30E3" w:rsidP="00FF2DBB">
      <w:r>
        <w:t>W</w:t>
      </w:r>
      <w:r w:rsidRPr="00302867">
        <w:t>e</w:t>
      </w:r>
      <w:r w:rsidR="00FF2DBB" w:rsidRPr="0091314D">
        <w:t xml:space="preserve"> collected cost data from electricity retailers</w:t>
      </w:r>
      <w:r>
        <w:t xml:space="preserve"> which</w:t>
      </w:r>
      <w:r w:rsidR="00FF2DBB" w:rsidRPr="0091314D">
        <w:t xml:space="preserve"> allowed us to understand the types of costs electricity retailers incur and elements of the efficient costs of supplying electricity to customers. The analysis of the cost data has informed our assessment of costs in our the 2025–</w:t>
      </w:r>
      <w:r w:rsidR="000822C3">
        <w:t>‍</w:t>
      </w:r>
      <w:r w:rsidR="00FF2DBB" w:rsidRPr="0091314D">
        <w:t>26 Victorian Default Offer</w:t>
      </w:r>
      <w:r>
        <w:t xml:space="preserve"> determination</w:t>
      </w:r>
      <w:r w:rsidRPr="00302867">
        <w:t>.</w:t>
      </w:r>
      <w:r w:rsidR="00FF2DBB" w:rsidRPr="0091314D">
        <w:t xml:space="preserve"> We sought advice from independent consultants on forecasting retailers’ wholesale electricity costs and retailers’ costs of complying with environmental programs for 2025</w:t>
      </w:r>
      <w:r w:rsidR="003974F3" w:rsidRPr="0091314D">
        <w:t>–</w:t>
      </w:r>
      <w:r w:rsidR="00FF2DBB" w:rsidRPr="0091314D">
        <w:t>26. Our approach and methodology include these elements to estimate the efficient costs of the sale of electricity by a retailer:</w:t>
      </w:r>
    </w:p>
    <w:p w14:paraId="520A3C37" w14:textId="77777777" w:rsidR="00FF2DBB" w:rsidRPr="0091314D" w:rsidRDefault="00FF2DBB" w:rsidP="0091314D">
      <w:pPr>
        <w:pStyle w:val="ListBullet"/>
      </w:pPr>
      <w:r w:rsidRPr="0091314D">
        <w:rPr>
          <w:b/>
        </w:rPr>
        <w:t>wholesale electricity costs</w:t>
      </w:r>
      <w:r w:rsidRPr="0091314D">
        <w:t xml:space="preserve"> – based on the price of electricity in the futures market</w:t>
      </w:r>
      <w:r w:rsidRPr="0091314D">
        <w:rPr>
          <w:rStyle w:val="FootnoteReference"/>
        </w:rPr>
        <w:footnoteReference w:id="196"/>
      </w:r>
    </w:p>
    <w:p w14:paraId="6DB4EFA8" w14:textId="376072D2" w:rsidR="00FF2DBB" w:rsidRPr="0091314D" w:rsidRDefault="00FF2DBB" w:rsidP="0091314D">
      <w:pPr>
        <w:pStyle w:val="ListBullet"/>
      </w:pPr>
      <w:r w:rsidRPr="0091314D">
        <w:rPr>
          <w:b/>
        </w:rPr>
        <w:t>network costs</w:t>
      </w:r>
      <w:r w:rsidRPr="0091314D">
        <w:t xml:space="preserve"> –</w:t>
      </w:r>
      <w:r w:rsidR="002A7D7A">
        <w:t xml:space="preserve"> </w:t>
      </w:r>
      <w:r w:rsidRPr="0091314D">
        <w:t>taken directly from tariffs approved by the Australian Energy Regulator</w:t>
      </w:r>
    </w:p>
    <w:p w14:paraId="515AEC87" w14:textId="77777777" w:rsidR="00FF2DBB" w:rsidRPr="0091314D" w:rsidRDefault="00FF2DBB" w:rsidP="0091314D">
      <w:pPr>
        <w:pStyle w:val="ListBullet"/>
      </w:pPr>
      <w:r w:rsidRPr="0091314D">
        <w:rPr>
          <w:b/>
        </w:rPr>
        <w:t>environmental costs</w:t>
      </w:r>
      <w:r w:rsidRPr="0091314D">
        <w:t xml:space="preserve"> – taken from public information on the costs of environmental initiatives</w:t>
      </w:r>
    </w:p>
    <w:p w14:paraId="2830D17C" w14:textId="42C75A7B" w:rsidR="00FF2DBB" w:rsidRPr="0091314D" w:rsidRDefault="00FF2DBB" w:rsidP="0091314D">
      <w:pPr>
        <w:pStyle w:val="ListBullet"/>
      </w:pPr>
      <w:r w:rsidRPr="0091314D">
        <w:rPr>
          <w:b/>
        </w:rPr>
        <w:t>retail operating costs</w:t>
      </w:r>
      <w:r w:rsidRPr="0091314D">
        <w:t xml:space="preserve"> – based </w:t>
      </w:r>
      <w:r w:rsidR="003A0753">
        <w:t xml:space="preserve">on </w:t>
      </w:r>
      <w:r w:rsidRPr="0091314D">
        <w:t>cost data from retailers</w:t>
      </w:r>
    </w:p>
    <w:p w14:paraId="73E13EBC" w14:textId="3885B4BD" w:rsidR="00FF2DBB" w:rsidRPr="0091314D" w:rsidRDefault="00FF2DBB" w:rsidP="0091314D">
      <w:pPr>
        <w:pStyle w:val="ListBullet"/>
      </w:pPr>
      <w:r w:rsidRPr="0091314D">
        <w:rPr>
          <w:b/>
        </w:rPr>
        <w:lastRenderedPageBreak/>
        <w:t>other costs</w:t>
      </w:r>
      <w:r w:rsidR="00FE02D7" w:rsidRPr="0091314D">
        <w:rPr>
          <w:b/>
          <w:bCs/>
        </w:rPr>
        <w:t xml:space="preserve"> </w:t>
      </w:r>
      <w:r w:rsidRPr="0091314D">
        <w:t xml:space="preserve">– taken directly from published reports from industry bodies </w:t>
      </w:r>
    </w:p>
    <w:p w14:paraId="2330B772" w14:textId="77777777" w:rsidR="00FF2DBB" w:rsidRPr="0091314D" w:rsidRDefault="00FF2DBB" w:rsidP="0091314D">
      <w:pPr>
        <w:pStyle w:val="ListBullet"/>
      </w:pPr>
      <w:r w:rsidRPr="0091314D">
        <w:rPr>
          <w:b/>
        </w:rPr>
        <w:t>network losses</w:t>
      </w:r>
      <w:r w:rsidRPr="0091314D">
        <w:t xml:space="preserve"> – taken from Australian Energy Market Operator and electricity distributors</w:t>
      </w:r>
    </w:p>
    <w:p w14:paraId="1EFA61B7" w14:textId="3AFAE43F" w:rsidR="00FF2DBB" w:rsidRPr="0091314D" w:rsidRDefault="00FF2DBB" w:rsidP="0091314D">
      <w:pPr>
        <w:pStyle w:val="ListBullet"/>
      </w:pPr>
      <w:r w:rsidRPr="0091314D">
        <w:rPr>
          <w:b/>
        </w:rPr>
        <w:t>retail operating margin</w:t>
      </w:r>
      <w:r w:rsidRPr="0091314D">
        <w:t xml:space="preserve"> – based on a benchmark from comparable regulatory decisions.</w:t>
      </w:r>
    </w:p>
    <w:p w14:paraId="2BDEC091" w14:textId="43E87FC4" w:rsidR="00FF2DBB" w:rsidRPr="0091314D" w:rsidRDefault="00FF2DBB" w:rsidP="00FF2DBB">
      <w:r w:rsidRPr="0091314D">
        <w:t xml:space="preserve">Some elements of the cost-stack are estimated using market data such as wholesale electricity purchase costs. We updated estimates of these elements in our final </w:t>
      </w:r>
      <w:r w:rsidR="0021642C">
        <w:t>determination</w:t>
      </w:r>
      <w:r w:rsidRPr="0091314D">
        <w:t xml:space="preserve"> to account for any changes in market data that occurred since our draft decision. </w:t>
      </w:r>
      <w:r w:rsidR="004D559F">
        <w:t>D</w:t>
      </w:r>
      <w:r w:rsidRPr="0091314D">
        <w:t xml:space="preserve">ata provided by retailers was used to set the retail operating cost benchmark, as a cross check of our cost stack and allowed us to compare the cost stack elements across different segments of the retail market. We also used findings from other regulators (such as decisions on the retail operating margin) in assessing the cost stack. </w:t>
      </w:r>
    </w:p>
    <w:p w14:paraId="7907CF5F" w14:textId="77777777" w:rsidR="00FF2DBB" w:rsidRPr="0091314D" w:rsidRDefault="00FF2DBB" w:rsidP="00FF2DBB">
      <w:r w:rsidRPr="0091314D">
        <w:t>The Victorian Default Offer amounts may differ from the actual costs of retailers. We have sought to estimate the efficient costs of retailers, which at times and for some retailers may diverge from actual costs. In addition, as required by the pricing order, we have not included headroom in our cost stack.</w:t>
      </w:r>
    </w:p>
    <w:p w14:paraId="35B07AC4" w14:textId="72DC9505" w:rsidR="00FF2DBB" w:rsidRPr="0091314D" w:rsidRDefault="00FF2DBB" w:rsidP="00162D36">
      <w:pPr>
        <w:pStyle w:val="Heading2"/>
      </w:pPr>
      <w:bookmarkStart w:id="235" w:name="_Toc198808358"/>
      <w:r w:rsidRPr="0091314D">
        <w:t>O</w:t>
      </w:r>
      <w:r w:rsidR="00053254">
        <w:t>bjectives of the commission and the Victorian Default Offer</w:t>
      </w:r>
      <w:bookmarkEnd w:id="235"/>
    </w:p>
    <w:p w14:paraId="4E6292FC" w14:textId="77777777" w:rsidR="00FF2DBB" w:rsidRPr="0091314D" w:rsidRDefault="00FF2DBB" w:rsidP="00FF2DBB">
      <w:pPr>
        <w:pStyle w:val="Heading3"/>
      </w:pPr>
      <w:r w:rsidRPr="0091314D">
        <w:t xml:space="preserve">Our assessment approach helps us meet our objectives </w:t>
      </w:r>
    </w:p>
    <w:p w14:paraId="36ADA8F6" w14:textId="1476B664" w:rsidR="00FF2DBB" w:rsidRPr="0091314D" w:rsidRDefault="00FF2DBB" w:rsidP="00FF2DBB">
      <w:r w:rsidRPr="0091314D">
        <w:t xml:space="preserve">In </w:t>
      </w:r>
      <w:r w:rsidR="003B3A53">
        <w:t>performing its functions</w:t>
      </w:r>
      <w:r w:rsidRPr="0091314D">
        <w:t xml:space="preserve"> and </w:t>
      </w:r>
      <w:r w:rsidR="003B3A53">
        <w:t>exercising its powers, including</w:t>
      </w:r>
      <w:r w:rsidRPr="0091314D">
        <w:t xml:space="preserve"> making the Victorian Default Offer price determination 2025–26 </w:t>
      </w:r>
      <w:r w:rsidR="003B3A53">
        <w:t>the</w:t>
      </w:r>
      <w:r w:rsidRPr="0091314D">
        <w:t xml:space="preserve"> objectives </w:t>
      </w:r>
      <w:r w:rsidR="003B3A53">
        <w:t>of the commission</w:t>
      </w:r>
      <w:r w:rsidR="003B3A53" w:rsidRPr="00302867">
        <w:t xml:space="preserve"> </w:t>
      </w:r>
      <w:r w:rsidR="00887D9D">
        <w:t>are</w:t>
      </w:r>
      <w:r w:rsidR="00887D9D" w:rsidRPr="0091314D">
        <w:t xml:space="preserve"> </w:t>
      </w:r>
      <w:r w:rsidRPr="0091314D">
        <w:t>to:</w:t>
      </w:r>
    </w:p>
    <w:p w14:paraId="3F37AFEC" w14:textId="77777777" w:rsidR="00FF2DBB" w:rsidRPr="0091314D" w:rsidRDefault="00FF2DBB" w:rsidP="0091314D">
      <w:pPr>
        <w:pStyle w:val="ListBullet"/>
      </w:pPr>
      <w:r w:rsidRPr="0091314D">
        <w:t>promote the long-term interests of Victorian consumers, having regard to the price, quality and reliability of essential services</w:t>
      </w:r>
      <w:r w:rsidRPr="0091314D">
        <w:rPr>
          <w:rStyle w:val="FootnoteReference"/>
        </w:rPr>
        <w:footnoteReference w:id="197"/>
      </w:r>
    </w:p>
    <w:p w14:paraId="5664C04F" w14:textId="0D478F3B" w:rsidR="00FF2DBB" w:rsidRPr="0091314D" w:rsidRDefault="00FF2DBB" w:rsidP="0091314D">
      <w:pPr>
        <w:pStyle w:val="ListBullet"/>
      </w:pPr>
      <w:r w:rsidRPr="0091314D">
        <w:t xml:space="preserve">promote protections for customers, promote the development of full retail competition and to </w:t>
      </w:r>
      <w:r w:rsidR="007A7C91">
        <w:t xml:space="preserve">the extent that it is efficient and practicable to do so, </w:t>
      </w:r>
      <w:r w:rsidRPr="0091314D">
        <w:t>adopt a consistent regulatory approach between the electricity and gas industries (noting there is currently no framework for the regulation of prices for retail gas services).</w:t>
      </w:r>
      <w:r w:rsidRPr="0091314D">
        <w:rPr>
          <w:rStyle w:val="FootnoteReference"/>
        </w:rPr>
        <w:footnoteReference w:id="198"/>
      </w:r>
    </w:p>
    <w:p w14:paraId="72326CCA" w14:textId="66529E5C" w:rsidR="00FF2DBB" w:rsidRPr="0091314D" w:rsidRDefault="006C158C" w:rsidP="006C158C">
      <w:r>
        <w:t xml:space="preserve">The objective of the Victorian Default Offer is to </w:t>
      </w:r>
      <w:r w:rsidR="00FF2DBB" w:rsidRPr="0091314D">
        <w:t>provide a simple, trusted and reasonably priced electricity option that safeguards consumers unable or unwilling to engage in the electricity retail market.</w:t>
      </w:r>
      <w:r w:rsidR="00FF2DBB" w:rsidRPr="0091314D">
        <w:rPr>
          <w:rStyle w:val="FootnoteReference"/>
        </w:rPr>
        <w:footnoteReference w:id="199"/>
      </w:r>
    </w:p>
    <w:p w14:paraId="03885571" w14:textId="22503663" w:rsidR="00DB79B7" w:rsidRDefault="00FF2DBB" w:rsidP="00FF2DBB">
      <w:r w:rsidRPr="0091314D">
        <w:lastRenderedPageBreak/>
        <w:t>In seeking to achieve our objectives</w:t>
      </w:r>
      <w:r w:rsidR="009D20BD">
        <w:t>,</w:t>
      </w:r>
      <w:r w:rsidRPr="0091314D">
        <w:t xml:space="preserve"> </w:t>
      </w:r>
      <w:r w:rsidR="00FB0A30">
        <w:t>the commission</w:t>
      </w:r>
      <w:r w:rsidRPr="0091314D">
        <w:t xml:space="preserve"> must have regard to </w:t>
      </w:r>
      <w:r w:rsidR="00712EF8">
        <w:t>the</w:t>
      </w:r>
      <w:r w:rsidRPr="0091314D">
        <w:t xml:space="preserve"> matters </w:t>
      </w:r>
      <w:r w:rsidR="00565654">
        <w:t xml:space="preserve">set out in section 8A of the </w:t>
      </w:r>
      <w:r w:rsidR="00565654" w:rsidRPr="004E2398">
        <w:rPr>
          <w:i/>
        </w:rPr>
        <w:t>Essential Services Commission Act 2001</w:t>
      </w:r>
      <w:r w:rsidRPr="0091314D">
        <w:t xml:space="preserve"> to the extent that they are relevant.</w:t>
      </w:r>
      <w:r w:rsidRPr="0091314D">
        <w:rPr>
          <w:rStyle w:val="FootnoteReference"/>
        </w:rPr>
        <w:footnoteReference w:id="200"/>
      </w:r>
      <w:r w:rsidRPr="0091314D">
        <w:t xml:space="preserve"> </w:t>
      </w:r>
    </w:p>
    <w:p w14:paraId="3412B453" w14:textId="3CF9C7AF" w:rsidR="00DB79B7" w:rsidRDefault="00DB79B7" w:rsidP="00FF2DBB">
      <w:r>
        <w:t xml:space="preserve">In making a price determination, the commission must adopt an approach and methodology which the commission considers will best meet the objectives specified in the </w:t>
      </w:r>
      <w:r w:rsidRPr="004E2398">
        <w:rPr>
          <w:i/>
        </w:rPr>
        <w:t>Essential Services Commission Act 2001</w:t>
      </w:r>
      <w:r w:rsidR="00403948" w:rsidRPr="004E2398">
        <w:rPr>
          <w:i/>
        </w:rPr>
        <w:t xml:space="preserve"> </w:t>
      </w:r>
      <w:r w:rsidR="00403948">
        <w:t xml:space="preserve">and the </w:t>
      </w:r>
      <w:r w:rsidR="00403948" w:rsidRPr="004E2398">
        <w:rPr>
          <w:i/>
        </w:rPr>
        <w:t>Electricity Industry Act 2000</w:t>
      </w:r>
      <w:r w:rsidR="00403948">
        <w:t xml:space="preserve"> and the objective of the Victorian Default Offer.</w:t>
      </w:r>
      <w:r w:rsidR="00581D1B">
        <w:rPr>
          <w:rStyle w:val="FootnoteReference"/>
        </w:rPr>
        <w:footnoteReference w:id="201"/>
      </w:r>
      <w:r w:rsidR="00403948">
        <w:t xml:space="preserve"> </w:t>
      </w:r>
    </w:p>
    <w:p w14:paraId="6A6EFA01" w14:textId="0A1A72C0" w:rsidR="00FB21E6" w:rsidRDefault="00FB21E6" w:rsidP="00E72657">
      <w:r w:rsidRPr="00FB21E6">
        <w:t xml:space="preserve">We must also have regard to </w:t>
      </w:r>
      <w:proofErr w:type="gramStart"/>
      <w:r w:rsidRPr="00FB21E6">
        <w:t>a number of</w:t>
      </w:r>
      <w:proofErr w:type="gramEnd"/>
      <w:r w:rsidRPr="00FB21E6">
        <w:t xml:space="preserve"> further matters set out in section 33 of the Essential Services Commission Act 2001. </w:t>
      </w:r>
    </w:p>
    <w:p w14:paraId="5BBA1CB1" w14:textId="2F9337BA" w:rsidR="00FF2DBB" w:rsidRPr="0091314D" w:rsidRDefault="00FF2DBB" w:rsidP="00FF2DBB">
      <w:r w:rsidRPr="0091314D">
        <w:t xml:space="preserve">We have had regard to these matters </w:t>
      </w:r>
      <w:r w:rsidR="00B95056">
        <w:t>as outlined below</w:t>
      </w:r>
      <w:r w:rsidRPr="0091314D">
        <w:t>.</w:t>
      </w:r>
    </w:p>
    <w:p w14:paraId="0D48A545" w14:textId="77777777" w:rsidR="006E7BD2" w:rsidRPr="0091314D" w:rsidRDefault="00856286" w:rsidP="00856286">
      <w:pPr>
        <w:pStyle w:val="Heading4"/>
      </w:pPr>
      <w:r>
        <w:t xml:space="preserve">Relevant matters under section 8A and section 33 of the </w:t>
      </w:r>
      <w:r w:rsidRPr="004E2398">
        <w:rPr>
          <w:i/>
        </w:rPr>
        <w:t xml:space="preserve">Essential Services Commission Act 2001 </w:t>
      </w:r>
    </w:p>
    <w:p w14:paraId="0DEB9429" w14:textId="36F904AF" w:rsidR="00FF2DBB" w:rsidRPr="0091314D" w:rsidRDefault="00FF2DBB" w:rsidP="00145CF6">
      <w:pPr>
        <w:pStyle w:val="Heading4"/>
      </w:pPr>
      <w:r w:rsidRPr="0091314D">
        <w:t xml:space="preserve">Efficiency </w:t>
      </w:r>
    </w:p>
    <w:p w14:paraId="219FA4EA" w14:textId="0E59ACF7" w:rsidR="00FF2DBB" w:rsidRPr="0091314D" w:rsidRDefault="00FF2DBB" w:rsidP="00FF2DBB">
      <w:r w:rsidRPr="0091314D">
        <w:t xml:space="preserve">Efficiency </w:t>
      </w:r>
      <w:r w:rsidR="00BB7B0B">
        <w:t>in the electricity industry and the efficient costs of supply</w:t>
      </w:r>
      <w:r w:rsidR="003A0753">
        <w:t>ing</w:t>
      </w:r>
      <w:r w:rsidR="00BB7B0B">
        <w:t xml:space="preserve"> electricity has been</w:t>
      </w:r>
      <w:r w:rsidRPr="0091314D">
        <w:t xml:space="preserve"> an important consideration </w:t>
      </w:r>
      <w:r w:rsidR="00BB7B0B">
        <w:t xml:space="preserve">in making the </w:t>
      </w:r>
      <w:r w:rsidR="00BB7B0B" w:rsidRPr="00302867">
        <w:t>Victorian Default Offer price determination 2025–26</w:t>
      </w:r>
      <w:r w:rsidRPr="0091314D">
        <w:t>.</w:t>
      </w:r>
      <w:r w:rsidRPr="0091314D">
        <w:rPr>
          <w:rStyle w:val="FootnoteReference"/>
        </w:rPr>
        <w:footnoteReference w:id="202"/>
      </w:r>
      <w:r w:rsidRPr="0091314D">
        <w:t xml:space="preserve"> Our approach helped us establish the tariffs that reflect the efficient costs of the sale of electricity by a retailer, including a retail operating margin.</w:t>
      </w:r>
      <w:r w:rsidRPr="0091314D">
        <w:rPr>
          <w:rStyle w:val="FootnoteReference"/>
        </w:rPr>
        <w:footnoteReference w:id="203"/>
      </w:r>
      <w:r w:rsidRPr="0091314D">
        <w:t xml:space="preserve"> Our review used largely the same approach as our 2024–25 price determination.</w:t>
      </w:r>
    </w:p>
    <w:p w14:paraId="04866B72" w14:textId="77777777" w:rsidR="00FF2DBB" w:rsidRPr="0091314D" w:rsidRDefault="00FF2DBB" w:rsidP="00162D36">
      <w:pPr>
        <w:pStyle w:val="Heading5"/>
      </w:pPr>
      <w:r w:rsidRPr="0091314D">
        <w:t xml:space="preserve">Financial viability </w:t>
      </w:r>
    </w:p>
    <w:p w14:paraId="33D49E00" w14:textId="77C0AEF8" w:rsidR="00FF2DBB" w:rsidRPr="0091314D" w:rsidRDefault="00FF2DBB" w:rsidP="00FF2DBB">
      <w:r w:rsidRPr="0091314D">
        <w:t xml:space="preserve">A related matter </w:t>
      </w:r>
      <w:r w:rsidR="00B3267C">
        <w:t>that the commission has had regard to</w:t>
      </w:r>
      <w:r w:rsidRPr="0091314D">
        <w:t xml:space="preserve"> is the long-term incentives for investment and financial viability</w:t>
      </w:r>
      <w:r w:rsidR="002A33E3">
        <w:t xml:space="preserve"> within the electricity industry</w:t>
      </w:r>
      <w:r w:rsidRPr="0091314D">
        <w:t>.</w:t>
      </w:r>
      <w:r w:rsidRPr="0091314D">
        <w:rPr>
          <w:rStyle w:val="FootnoteReference"/>
        </w:rPr>
        <w:footnoteReference w:id="204"/>
      </w:r>
      <w:r w:rsidRPr="0091314D">
        <w:t xml:space="preserve"> As our decision on the Victorian Default Offer reflects our estimates of efficient costs, we consider that it helps promote the financial viability of the </w:t>
      </w:r>
      <w:r w:rsidR="00270A29">
        <w:t xml:space="preserve">electricity </w:t>
      </w:r>
      <w:r w:rsidRPr="0091314D">
        <w:t>industry.</w:t>
      </w:r>
    </w:p>
    <w:p w14:paraId="7EBE3891" w14:textId="77777777" w:rsidR="00FF2DBB" w:rsidRPr="0091314D" w:rsidRDefault="00FF2DBB" w:rsidP="00162D36">
      <w:pPr>
        <w:pStyle w:val="Heading5"/>
      </w:pPr>
      <w:r w:rsidRPr="0091314D">
        <w:t xml:space="preserve">Competition within the industry </w:t>
      </w:r>
    </w:p>
    <w:p w14:paraId="628D1952" w14:textId="60AEB032" w:rsidR="00FF2DBB" w:rsidRPr="0091314D" w:rsidRDefault="00FF2DBB" w:rsidP="00FF2DBB">
      <w:r w:rsidRPr="0091314D">
        <w:t xml:space="preserve">In </w:t>
      </w:r>
      <w:r w:rsidR="008454D0">
        <w:t>considering</w:t>
      </w:r>
      <w:r w:rsidRPr="0091314D">
        <w:t xml:space="preserve"> the scope for competition </w:t>
      </w:r>
      <w:r w:rsidR="00DD2640">
        <w:t>with</w:t>
      </w:r>
      <w:r w:rsidRPr="0091314D">
        <w:t xml:space="preserve">in the </w:t>
      </w:r>
      <w:r w:rsidR="00A921A9">
        <w:t>electricity industry</w:t>
      </w:r>
      <w:r w:rsidR="00365B7C">
        <w:t>,</w:t>
      </w:r>
      <w:r w:rsidRPr="0091314D">
        <w:t xml:space="preserve"> we note </w:t>
      </w:r>
      <w:r w:rsidR="005E28D6">
        <w:t>that</w:t>
      </w:r>
      <w:r w:rsidRPr="0091314D">
        <w:t xml:space="preserve"> setting prices at efficient costs is consistent with competition and does not preclude innovation that may lead to </w:t>
      </w:r>
      <w:r w:rsidRPr="0091314D">
        <w:lastRenderedPageBreak/>
        <w:t>customers accepting market contracts that offer a better deal for them than the Victorian Default Offer.</w:t>
      </w:r>
      <w:r w:rsidRPr="00B85A92">
        <w:rPr>
          <w:rStyle w:val="FootnoteReference"/>
        </w:rPr>
        <w:t xml:space="preserve"> </w:t>
      </w:r>
      <w:r w:rsidR="00B85A92" w:rsidRPr="0091314D">
        <w:rPr>
          <w:rStyle w:val="FootnoteReference"/>
        </w:rPr>
        <w:footnoteReference w:id="205"/>
      </w:r>
      <w:r w:rsidRPr="0091314D">
        <w:t xml:space="preserve"> Likewise, it does not prevent retailers, who can lower their costs, from attracting customers by making cheaper market offers available.</w:t>
      </w:r>
    </w:p>
    <w:p w14:paraId="5A11485D" w14:textId="6536FE38" w:rsidR="00FF2DBB" w:rsidRPr="0091314D" w:rsidRDefault="00FF2DBB" w:rsidP="00162D36">
      <w:pPr>
        <w:pStyle w:val="Heading5"/>
      </w:pPr>
      <w:r w:rsidRPr="0091314D">
        <w:t xml:space="preserve">Other legislation applying to the industry </w:t>
      </w:r>
    </w:p>
    <w:p w14:paraId="6411EF00" w14:textId="7A2C9399" w:rsidR="00FF2DBB" w:rsidRPr="0091314D" w:rsidRDefault="00FF2DBB" w:rsidP="00FF2DBB">
      <w:r w:rsidRPr="0091314D">
        <w:t xml:space="preserve">We considered other legislation </w:t>
      </w:r>
      <w:r w:rsidR="00E950A2">
        <w:t>applying to the electricity industry</w:t>
      </w:r>
      <w:r w:rsidR="00E024D1">
        <w:t xml:space="preserve">, including those </w:t>
      </w:r>
      <w:r w:rsidRPr="0091314D">
        <w:t>that affect the efficient costs of a retailer.</w:t>
      </w:r>
      <w:r w:rsidRPr="0091314D">
        <w:rPr>
          <w:rStyle w:val="FootnoteReference"/>
        </w:rPr>
        <w:footnoteReference w:id="206"/>
      </w:r>
      <w:r w:rsidRPr="0091314D">
        <w:t xml:space="preserve"> Among other things, we considered costs associated with regulatory requirements on retailers (such as the Large-scale Renewable Energy Target, Small-scale Renewable Energy Scheme, Victorian Energy Upgrades</w:t>
      </w:r>
      <w:r w:rsidR="009B566A" w:rsidRPr="009B566A">
        <w:t xml:space="preserve"> </w:t>
      </w:r>
      <w:r w:rsidR="009B566A">
        <w:t>program</w:t>
      </w:r>
      <w:r w:rsidRPr="0091314D">
        <w:t>, and consumer data rights). We also note that our benchmarks of retailer operating costs, customer acquisition and retention costs and retail operating margin reflect the costs and margins of Victorian retailers complying with regulatory and legislative requirements.</w:t>
      </w:r>
    </w:p>
    <w:p w14:paraId="0A309E20" w14:textId="324A76C2" w:rsidR="00FF2DBB" w:rsidRPr="0091314D" w:rsidRDefault="00FF2DBB" w:rsidP="00162D36">
      <w:pPr>
        <w:pStyle w:val="Heading5"/>
      </w:pPr>
      <w:r w:rsidRPr="0091314D">
        <w:t>The benefits and costs of regulation</w:t>
      </w:r>
    </w:p>
    <w:p w14:paraId="7A0DE953" w14:textId="43A0B5EA" w:rsidR="00FF2DBB" w:rsidRPr="0091314D" w:rsidRDefault="00FF2DBB" w:rsidP="00FF2DBB">
      <w:r w:rsidRPr="0091314D">
        <w:t>The Victorian Default Offer was introduced as part of an independent review of the gas and electricity markets in Victoria.</w:t>
      </w:r>
      <w:r w:rsidR="00A64D19" w:rsidRPr="0091314D">
        <w:rPr>
          <w:rStyle w:val="FootnoteReference"/>
        </w:rPr>
        <w:footnoteReference w:id="207"/>
      </w:r>
      <w:r w:rsidRPr="0091314D">
        <w:t xml:space="preserve"> The Victorian Default Offer is a simple, trusted and reasonably priced electricity option that safeguards customers unable to engage in the electricity retail market. In formulating the Victorian Default Offer we are not required to revisit the costs and benefits of implementing the Victorian Default Offer.</w:t>
      </w:r>
      <w:r w:rsidRPr="0091314D">
        <w:rPr>
          <w:rStyle w:val="FootnoteReference"/>
        </w:rPr>
        <w:footnoteReference w:id="208"/>
      </w:r>
    </w:p>
    <w:p w14:paraId="02BCFCA2" w14:textId="293FDEE4" w:rsidR="00FF2DBB" w:rsidRPr="0091314D" w:rsidRDefault="00FF2DBB" w:rsidP="00162D36">
      <w:pPr>
        <w:pStyle w:val="Heading5"/>
      </w:pPr>
      <w:r w:rsidRPr="0091314D">
        <w:t xml:space="preserve">Consistency in regulation between </w:t>
      </w:r>
      <w:r w:rsidR="000C4568">
        <w:t>s</w:t>
      </w:r>
      <w:r w:rsidRPr="0091314D">
        <w:t xml:space="preserve">tates and on a national basis and any relevant interstate and international benchmarks in comparable industries </w:t>
      </w:r>
    </w:p>
    <w:p w14:paraId="2734807C" w14:textId="77777777" w:rsidR="00FF2DBB" w:rsidRPr="0091314D" w:rsidRDefault="00FF2DBB" w:rsidP="00FF2DBB">
      <w:r w:rsidRPr="0091314D">
        <w:t>We looked at regulation of retail electricity prices on a national basis and considered relevant benchmarks from other jurisdictions. In considering benchmarks from other jurisdictions, we also had regard to the different policy intent of the relevant legislation of these jurisdictions.</w:t>
      </w:r>
      <w:r w:rsidRPr="0091314D">
        <w:rPr>
          <w:rStyle w:val="FootnoteReference"/>
        </w:rPr>
        <w:footnoteReference w:id="209"/>
      </w:r>
    </w:p>
    <w:p w14:paraId="2431E047" w14:textId="77777777" w:rsidR="00FF2DBB" w:rsidRPr="0091314D" w:rsidRDefault="00FF2DBB" w:rsidP="00162D36">
      <w:pPr>
        <w:pStyle w:val="Heading5"/>
      </w:pPr>
      <w:r w:rsidRPr="0091314D">
        <w:lastRenderedPageBreak/>
        <w:t xml:space="preserve">The </w:t>
      </w:r>
      <w:proofErr w:type="gramStart"/>
      <w:r w:rsidRPr="0091314D">
        <w:t>particular circumstances</w:t>
      </w:r>
      <w:proofErr w:type="gramEnd"/>
      <w:r w:rsidRPr="0091314D">
        <w:t xml:space="preserve"> of the regulated industry </w:t>
      </w:r>
    </w:p>
    <w:p w14:paraId="2875DC5C" w14:textId="1D186436" w:rsidR="00FF2DBB" w:rsidRPr="0091314D" w:rsidRDefault="00FF2DBB" w:rsidP="00FF2DBB">
      <w:r w:rsidRPr="0091314D">
        <w:t xml:space="preserve">As part of this review, </w:t>
      </w:r>
      <w:r w:rsidR="001D5874">
        <w:t xml:space="preserve">in having regard to the current circumstances of the electricity industry, </w:t>
      </w:r>
      <w:r w:rsidRPr="0091314D">
        <w:t>the estimates included in the cost stack have been updated to reflect changes in the market and new data that is now available.</w:t>
      </w:r>
      <w:r w:rsidRPr="0091314D">
        <w:rPr>
          <w:rStyle w:val="FootnoteReference"/>
        </w:rPr>
        <w:footnoteReference w:id="210"/>
      </w:r>
      <w:r w:rsidRPr="0091314D">
        <w:t xml:space="preserve"> We also had regard to actual cost data from retailers. We also considered the broader economic environment including the impact of wholesale electricity market intervention compensation and increased debt finance costs on retailers. </w:t>
      </w:r>
    </w:p>
    <w:p w14:paraId="4C9383B9" w14:textId="77777777" w:rsidR="00FF2DBB" w:rsidRPr="0091314D" w:rsidRDefault="00FF2DBB" w:rsidP="00162D36">
      <w:pPr>
        <w:pStyle w:val="Heading5"/>
      </w:pPr>
      <w:r w:rsidRPr="0091314D">
        <w:t xml:space="preserve">Accounting for trade-offs between costs and service standards </w:t>
      </w:r>
    </w:p>
    <w:p w14:paraId="523122ED" w14:textId="77777777" w:rsidR="00FF2DBB" w:rsidRPr="0091314D" w:rsidRDefault="00FF2DBB" w:rsidP="00FF2DBB">
      <w:r w:rsidRPr="0091314D">
        <w:t xml:space="preserve">We must ensure that the determination </w:t>
      </w:r>
      <w:proofErr w:type="gramStart"/>
      <w:r w:rsidRPr="0091314D">
        <w:t>takes into account</w:t>
      </w:r>
      <w:proofErr w:type="gramEnd"/>
      <w:r w:rsidRPr="0091314D">
        <w:t xml:space="preserve"> and clearly articulates any trade-offs between costs and service standards.</w:t>
      </w:r>
      <w:r w:rsidRPr="0091314D">
        <w:rPr>
          <w:rStyle w:val="FootnoteReference"/>
        </w:rPr>
        <w:footnoteReference w:id="211"/>
      </w:r>
      <w:r w:rsidRPr="0091314D">
        <w:t xml:space="preserve"> In terms of quality and reliability of services, retailers are required to offer the Victorian Default Offer under the regulated terms and conditions for standard retail contracts. We consider the prices provided to retailers under the Victorian Default Offer will be sufficient for retailers to ensure the quality of service experienced by customers to at least continue to meet these regulated terms and conditions. </w:t>
      </w:r>
    </w:p>
    <w:p w14:paraId="4215CC51" w14:textId="7047D4D9" w:rsidR="00FF2DBB" w:rsidRPr="0091314D" w:rsidRDefault="005D5D70" w:rsidP="00FF2DBB">
      <w:pPr>
        <w:pStyle w:val="Heading4"/>
      </w:pPr>
      <w:r>
        <w:t>C</w:t>
      </w:r>
      <w:r w:rsidR="00FF2DBB" w:rsidRPr="0091314D">
        <w:t xml:space="preserve">lause 12 of the pricing order </w:t>
      </w:r>
    </w:p>
    <w:p w14:paraId="4077FFF6" w14:textId="77777777" w:rsidR="00DB5B97" w:rsidRDefault="00FF2DBB" w:rsidP="00FF2DBB">
      <w:r w:rsidRPr="0091314D">
        <w:t xml:space="preserve">Clause 12 of the pricing order provides </w:t>
      </w:r>
      <w:r w:rsidR="00DB5B97">
        <w:t xml:space="preserve">that in </w:t>
      </w:r>
      <w:r w:rsidR="00DB5B97" w:rsidRPr="00302867">
        <w:t xml:space="preserve">making </w:t>
      </w:r>
      <w:r w:rsidRPr="0091314D">
        <w:t>a Victorian Default Offer price determination</w:t>
      </w:r>
      <w:r w:rsidR="00DB5B97">
        <w:t>, the tariffs determined by the commission</w:t>
      </w:r>
      <w:r w:rsidRPr="0091314D">
        <w:t xml:space="preserve"> are </w:t>
      </w:r>
      <w:r w:rsidR="00DB5B97">
        <w:t xml:space="preserve">to be based on the efficient costs of the sale of electricity by a retailer. In doing so, the commission must have regard to:  </w:t>
      </w:r>
    </w:p>
    <w:p w14:paraId="24DA7009" w14:textId="301B3BD0" w:rsidR="00DB5B97" w:rsidRDefault="00FF2DBB" w:rsidP="00DB5B97">
      <w:pPr>
        <w:pStyle w:val="ListBullet"/>
      </w:pPr>
      <w:r w:rsidRPr="0091314D">
        <w:t>wholesale electricity costs</w:t>
      </w:r>
    </w:p>
    <w:p w14:paraId="4CF8121F" w14:textId="65ABFD67" w:rsidR="00DB5B97" w:rsidRDefault="00FF2DBB" w:rsidP="00DB5B97">
      <w:pPr>
        <w:pStyle w:val="ListBullet"/>
      </w:pPr>
      <w:r w:rsidRPr="0091314D">
        <w:t>network costs</w:t>
      </w:r>
    </w:p>
    <w:p w14:paraId="0D38E665" w14:textId="3914137E" w:rsidR="00DB5B97" w:rsidRDefault="00FF2DBB" w:rsidP="00DB5B97">
      <w:pPr>
        <w:pStyle w:val="ListBullet"/>
      </w:pPr>
      <w:r w:rsidRPr="0091314D">
        <w:t>environmental costs</w:t>
      </w:r>
    </w:p>
    <w:p w14:paraId="13185B2D" w14:textId="7A9639F2" w:rsidR="00DB5B97" w:rsidRDefault="00FF2DBB" w:rsidP="00DB5B97">
      <w:pPr>
        <w:pStyle w:val="ListBullet"/>
      </w:pPr>
      <w:r w:rsidRPr="0091314D">
        <w:t>retail operating costs</w:t>
      </w:r>
    </w:p>
    <w:p w14:paraId="3387625C" w14:textId="7B1C8562" w:rsidR="00DB5B97" w:rsidRDefault="00FF2DBB" w:rsidP="00DB5B97">
      <w:pPr>
        <w:pStyle w:val="ListBullet"/>
      </w:pPr>
      <w:r w:rsidRPr="0091314D">
        <w:t>including only modest costs of customer acquisition and retention</w:t>
      </w:r>
    </w:p>
    <w:p w14:paraId="6B156D9E" w14:textId="028A736F" w:rsidR="00DB5B97" w:rsidRDefault="00FF2DBB" w:rsidP="00DB5B97">
      <w:pPr>
        <w:pStyle w:val="ListBullet"/>
      </w:pPr>
      <w:r w:rsidRPr="0091314D">
        <w:t>retail operating margin</w:t>
      </w:r>
    </w:p>
    <w:p w14:paraId="1B8E4F1F" w14:textId="6BD525BB" w:rsidR="00FF2DBB" w:rsidRPr="0091314D" w:rsidRDefault="00FF2DBB" w:rsidP="00DB5B97">
      <w:pPr>
        <w:pStyle w:val="ListBullet"/>
      </w:pPr>
      <w:r w:rsidRPr="0091314D">
        <w:t xml:space="preserve">and any other costs, matters or things we consider appropriate or relevant. </w:t>
      </w:r>
    </w:p>
    <w:p w14:paraId="6DF18A11" w14:textId="12568C06" w:rsidR="00BD07A8" w:rsidRPr="00537561" w:rsidRDefault="00FF2DBB" w:rsidP="00BD07A8">
      <w:r w:rsidRPr="0091314D">
        <w:t>The commission has had regard to these matters</w:t>
      </w:r>
      <w:r w:rsidR="00A81840">
        <w:t xml:space="preserve"> as set out</w:t>
      </w:r>
      <w:r w:rsidRPr="0091314D">
        <w:t xml:space="preserve"> in the body of our decision including the </w:t>
      </w:r>
      <w:r w:rsidR="00BD07A8">
        <w:t xml:space="preserve">‘Victorian Default Offer cost components’ </w:t>
      </w:r>
      <w:r w:rsidRPr="0091314D">
        <w:t>chapter.</w:t>
      </w:r>
    </w:p>
    <w:p w14:paraId="588EAA92" w14:textId="664AAC21" w:rsidR="00FF2DBB" w:rsidRPr="00537561" w:rsidRDefault="00FF2DBB" w:rsidP="00FF2DBB"/>
    <w:p w14:paraId="71437ED7" w14:textId="74328A70" w:rsidR="00A16CB0" w:rsidRDefault="00A16CB0">
      <w:pPr>
        <w:spacing w:before="0" w:line="259" w:lineRule="auto"/>
      </w:pPr>
    </w:p>
    <w:sectPr w:rsidR="00A16CB0" w:rsidSect="0001444E">
      <w:footerReference w:type="default" r:id="rId76"/>
      <w:type w:val="continuous"/>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92D5B" w14:textId="77777777" w:rsidR="0032465C" w:rsidRPr="001F59A8" w:rsidRDefault="0032465C" w:rsidP="00AE03FA">
      <w:pPr>
        <w:spacing w:after="0"/>
      </w:pPr>
      <w:r w:rsidRPr="001F59A8">
        <w:separator/>
      </w:r>
    </w:p>
    <w:p w14:paraId="1D6DE868" w14:textId="77777777" w:rsidR="0032465C" w:rsidRPr="001F59A8" w:rsidRDefault="0032465C"/>
  </w:endnote>
  <w:endnote w:type="continuationSeparator" w:id="0">
    <w:p w14:paraId="02867775" w14:textId="77777777" w:rsidR="0032465C" w:rsidRPr="001F59A8" w:rsidRDefault="0032465C" w:rsidP="00AE03FA">
      <w:pPr>
        <w:spacing w:after="0"/>
      </w:pPr>
      <w:r w:rsidRPr="001F59A8">
        <w:continuationSeparator/>
      </w:r>
    </w:p>
    <w:p w14:paraId="7BA17B2C" w14:textId="77777777" w:rsidR="0032465C" w:rsidRPr="001F59A8" w:rsidRDefault="0032465C"/>
  </w:endnote>
  <w:endnote w:type="continuationNotice" w:id="1">
    <w:p w14:paraId="681E87E7" w14:textId="77777777" w:rsidR="0032465C" w:rsidRPr="001F59A8" w:rsidRDefault="003246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7404" w14:textId="73981C2A" w:rsidR="003A30F3" w:rsidRPr="001F59A8" w:rsidRDefault="003A30F3" w:rsidP="00F44D5E">
    <w:pPr>
      <w:pStyle w:val="FooterSpace"/>
      <w:ind w:right="707"/>
    </w:pP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rsidRPr="001F59A8" w14:paraId="4844A789"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FB68622" w14:textId="77777777" w:rsidR="003A30F3" w:rsidRPr="001F59A8" w:rsidRDefault="003A30F3"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00A447FD" w:rsidRPr="001F59A8">
            <w:rPr>
              <w:rStyle w:val="PageNumber"/>
            </w:rPr>
            <w:t>i</w:t>
          </w:r>
          <w:r w:rsidRPr="001F59A8">
            <w:rPr>
              <w:rStyle w:val="PageNumber"/>
            </w:rPr>
            <w:fldChar w:fldCharType="end"/>
          </w:r>
        </w:p>
      </w:tc>
    </w:tr>
  </w:tbl>
  <w:p w14:paraId="0CDBFCE1" w14:textId="056974DB" w:rsidR="003A30F3" w:rsidRPr="001F59A8" w:rsidRDefault="003A30F3" w:rsidP="00F6196C">
    <w:pPr>
      <w:pStyle w:val="Footer"/>
      <w:ind w:right="707"/>
      <w:rPr>
        <w:b/>
      </w:rPr>
    </w:pPr>
    <w:r w:rsidRPr="001F59A8">
      <w:t xml:space="preserve">Essential Services Commission </w:t>
    </w:r>
    <w:sdt>
      <w:sdtPr>
        <w:rPr>
          <w:b/>
        </w:rPr>
        <w:alias w:val="Title"/>
        <w:tag w:val=""/>
        <w:id w:val="779065399"/>
        <w:placeholder>
          <w:docPart w:val="546CF8128C23497D8DE251B6CCFCE808"/>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2984" w14:textId="09652F24" w:rsidR="000763D4" w:rsidRPr="001F59A8" w:rsidRDefault="00FD543F" w:rsidP="00F44D5E">
    <w:pPr>
      <w:pStyle w:val="FooterSpace"/>
      <w:ind w:right="707"/>
    </w:pPr>
    <w:r>
      <w:fldChar w:fldCharType="begin"/>
    </w:r>
    <w:r>
      <w:instrText xml:space="preserve"> REF _Ref188877945 \h </w:instrText>
    </w:r>
    <w:r>
      <w:fldChar w:fldCharType="separate"/>
    </w:r>
    <w:r w:rsidR="003E1323">
      <w:t>Appendix F: Our legislative considerations</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0763D4" w:rsidRPr="001F59A8" w14:paraId="7C9A985C"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4E75145A" w14:textId="77777777" w:rsidR="000763D4" w:rsidRPr="001F59A8" w:rsidRDefault="000763D4"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11</w:t>
          </w:r>
          <w:r w:rsidRPr="001F59A8">
            <w:rPr>
              <w:rStyle w:val="PageNumber"/>
            </w:rPr>
            <w:fldChar w:fldCharType="end"/>
          </w:r>
        </w:p>
      </w:tc>
    </w:tr>
  </w:tbl>
  <w:p w14:paraId="51D3EF31" w14:textId="77777777" w:rsidR="000763D4" w:rsidRPr="001F59A8" w:rsidRDefault="000763D4" w:rsidP="00F44D5E">
    <w:pPr>
      <w:pStyle w:val="Footer"/>
      <w:ind w:right="707"/>
      <w:rPr>
        <w:b/>
      </w:rPr>
    </w:pPr>
    <w:r w:rsidRPr="001F59A8">
      <w:t xml:space="preserve">Essential Services Commission </w:t>
    </w:r>
    <w:sdt>
      <w:sdtPr>
        <w:rPr>
          <w:b/>
        </w:rPr>
        <w:alias w:val="Title"/>
        <w:tag w:val=""/>
        <w:id w:val="1354307527"/>
        <w:placeholder>
          <w:docPart w:val="91CFADA237204A049AA9A376A6D871B3"/>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r w:rsidRPr="001F59A8">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A897" w14:textId="55E66775" w:rsidR="000E7CEA" w:rsidRPr="001F59A8" w:rsidRDefault="000E7CEA" w:rsidP="000E7CEA">
    <w:pPr>
      <w:pStyle w:val="FooterSpace"/>
      <w:ind w:right="707"/>
    </w:pPr>
    <w:r>
      <w:fldChar w:fldCharType="begin"/>
    </w:r>
    <w:r>
      <w:instrText xml:space="preserve"> REF _Ref198630088 \h </w:instrText>
    </w:r>
    <w:r>
      <w:fldChar w:fldCharType="separate"/>
    </w:r>
    <w:r w:rsidR="003E1323" w:rsidRPr="009C5178">
      <w:t>Appendix G: Assessment of how the Victorian Default Offer price determination has regard to relevant legislative considerations</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A80BCC" w:rsidRPr="001F59A8" w14:paraId="18885532"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3E0F79E" w14:textId="7EA4CEF6" w:rsidR="00A80BCC" w:rsidRPr="001F59A8" w:rsidRDefault="00A80BCC" w:rsidP="000E7CEA">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11</w:t>
          </w:r>
          <w:r w:rsidRPr="001F59A8">
            <w:rPr>
              <w:rStyle w:val="PageNumber"/>
            </w:rPr>
            <w:fldChar w:fldCharType="end"/>
          </w:r>
        </w:p>
      </w:tc>
    </w:tr>
  </w:tbl>
  <w:p w14:paraId="49DDF652" w14:textId="0EA3AB95" w:rsidR="000763D4" w:rsidRPr="00285E4F" w:rsidRDefault="000E7CEA" w:rsidP="00285E4F">
    <w:pPr>
      <w:pStyle w:val="Footer"/>
      <w:ind w:right="707"/>
      <w:rPr>
        <w:b/>
      </w:rPr>
    </w:pPr>
    <w:r w:rsidRPr="001F59A8">
      <w:t xml:space="preserve">Essential Services Commission </w:t>
    </w:r>
    <w:sdt>
      <w:sdtPr>
        <w:rPr>
          <w:b/>
        </w:rPr>
        <w:alias w:val="Title"/>
        <w:tag w:val=""/>
        <w:id w:val="30078126"/>
        <w:placeholder>
          <w:docPart w:val="E967F348FF924142A2D483D3A777C39E"/>
        </w:placeholder>
        <w:dataBinding w:prefixMappings="xmlns:ns0='http://purl.org/dc/elements/1.1/' xmlns:ns1='http://schemas.openxmlformats.org/package/2006/metadata/core-properties' " w:xpath="/ns1:coreProperties[1]/ns0:title[1]" w:storeItemID="{6C3C8BC8-F283-45AE-878A-BAB7291924A1}"/>
        <w:text/>
      </w:sdtPr>
      <w:sdtContent>
        <w:r w:rsidRPr="001F59A8">
          <w:rPr>
            <w:b/>
          </w:rPr>
          <w:t>Victorian Default Offer 2025–26</w:t>
        </w:r>
      </w:sdtContent>
    </w:sdt>
    <w:r w:rsidRPr="001F59A8">
      <w:rPr>
        <w:b/>
      </w:rPr>
      <w:t xml:space="preserve">   </w:t>
    </w:r>
    <w:r w:rsidR="000763D4" w:rsidRPr="001F59A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A013" w14:textId="513D1EA3" w:rsidR="005130D3" w:rsidRPr="001F59A8" w:rsidRDefault="00C04A92" w:rsidP="00DA436D">
    <w:pPr>
      <w:pStyle w:val="FooterSpace"/>
      <w:ind w:right="707"/>
    </w:pPr>
    <w:fldSimple w:instr="STYLEREF  &quot;Heading 1&quot;  \* MERGEFORMAT">
      <w:r w:rsidR="00D65B0B">
        <w:rPr>
          <w:noProof/>
        </w:rPr>
        <w:t>Summary</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130D3" w:rsidRPr="001F59A8" w14:paraId="6CE9C284" w14:textId="77777777" w:rsidTr="00163AEB">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CE0058" w:themeFill="accent4"/>
        </w:tcPr>
        <w:p w14:paraId="5D750265" w14:textId="643AE293" w:rsidR="005130D3" w:rsidRPr="001F59A8" w:rsidRDefault="003A023C" w:rsidP="00DA436D">
          <w:pPr>
            <w:pStyle w:val="Footer"/>
            <w:spacing w:before="0"/>
            <w:rPr>
              <w:rStyle w:val="PageNumber"/>
            </w:rPr>
          </w:pPr>
          <w:r w:rsidRPr="001F59A8">
            <w:rPr>
              <w:rStyle w:val="PageNumber"/>
            </w:rPr>
            <w:fldChar w:fldCharType="begin"/>
          </w:r>
          <w:r w:rsidRPr="001F59A8">
            <w:rPr>
              <w:rStyle w:val="PageNumber"/>
            </w:rPr>
            <w:instrText xml:space="preserve"> PAGE  \* Arabic  \* MERGEFORMAT </w:instrText>
          </w:r>
          <w:r w:rsidRPr="001F59A8">
            <w:rPr>
              <w:rStyle w:val="PageNumber"/>
            </w:rPr>
            <w:fldChar w:fldCharType="separate"/>
          </w:r>
          <w:r w:rsidRPr="001F59A8">
            <w:rPr>
              <w:rStyle w:val="PageNumber"/>
            </w:rPr>
            <w:t>3</w:t>
          </w:r>
          <w:r w:rsidRPr="001F59A8">
            <w:rPr>
              <w:rStyle w:val="PageNumber"/>
            </w:rPr>
            <w:fldChar w:fldCharType="end"/>
          </w:r>
        </w:p>
      </w:tc>
    </w:tr>
  </w:tbl>
  <w:p w14:paraId="5ED83C62" w14:textId="1F3C959C" w:rsidR="005130D3" w:rsidRPr="001F59A8" w:rsidRDefault="005130D3" w:rsidP="00DA436D">
    <w:pPr>
      <w:pStyle w:val="Footer"/>
      <w:ind w:right="707"/>
      <w:rPr>
        <w:b/>
      </w:rPr>
    </w:pPr>
    <w:r w:rsidRPr="001F59A8">
      <w:t xml:space="preserve">Essential Services Commission </w:t>
    </w:r>
    <w:sdt>
      <w:sdtPr>
        <w:rPr>
          <w:b/>
        </w:rPr>
        <w:alias w:val="Title"/>
        <w:tag w:val=""/>
        <w:id w:val="754479074"/>
        <w:placeholder>
          <w:docPart w:val="A7DD116C24274316A06314982664B3D6"/>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rsidRPr="001F59A8" w14:paraId="4F37DE9B"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E5BB4E6" w14:textId="77777777" w:rsidR="003A30F3" w:rsidRPr="001F59A8" w:rsidRDefault="003A30F3"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00A447FD" w:rsidRPr="001F59A8">
            <w:rPr>
              <w:rStyle w:val="PageNumber"/>
            </w:rPr>
            <w:t>6</w:t>
          </w:r>
          <w:r w:rsidRPr="001F59A8">
            <w:rPr>
              <w:rStyle w:val="PageNumber"/>
            </w:rPr>
            <w:fldChar w:fldCharType="end"/>
          </w:r>
        </w:p>
      </w:tc>
    </w:tr>
  </w:tbl>
  <w:p w14:paraId="434F1677" w14:textId="5C2D55CF" w:rsidR="00D4740E" w:rsidRDefault="00D4740E" w:rsidP="00F44D5E">
    <w:pPr>
      <w:pStyle w:val="Footer"/>
      <w:ind w:right="707"/>
    </w:pPr>
    <w:r>
      <w:fldChar w:fldCharType="begin"/>
    </w:r>
    <w:r>
      <w:instrText xml:space="preserve"> REF _Ref192259163 \h </w:instrText>
    </w:r>
    <w:r>
      <w:fldChar w:fldCharType="separate"/>
    </w:r>
    <w:r w:rsidR="003E1323">
      <w:t>Victorian Default Offer cost components</w:t>
    </w:r>
    <w:r>
      <w:fldChar w:fldCharType="end"/>
    </w:r>
  </w:p>
  <w:p w14:paraId="2D63AE4F" w14:textId="77777777" w:rsidR="003A30F3" w:rsidRPr="001F59A8" w:rsidRDefault="003A30F3" w:rsidP="00F44D5E">
    <w:pPr>
      <w:pStyle w:val="Footer"/>
      <w:ind w:right="707"/>
      <w:rPr>
        <w:b/>
      </w:rPr>
    </w:pPr>
    <w:r w:rsidRPr="001F59A8">
      <w:t xml:space="preserve">Essential Services Commission </w:t>
    </w:r>
    <w:sdt>
      <w:sdtPr>
        <w:rPr>
          <w:b/>
        </w:rPr>
        <w:alias w:val="Title"/>
        <w:tag w:val=""/>
        <w:id w:val="1654336952"/>
        <w:placeholder>
          <w:docPart w:val="B21955D60E114E2FA8DE6C2EC6A5A23A"/>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rsidRPr="001F59A8" w14:paraId="5359D88B"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C124124" w14:textId="77777777" w:rsidR="003A30F3" w:rsidRPr="001F59A8" w:rsidRDefault="003A30F3"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00A447FD" w:rsidRPr="001F59A8">
            <w:rPr>
              <w:rStyle w:val="PageNumber"/>
            </w:rPr>
            <w:t>6</w:t>
          </w:r>
          <w:r w:rsidRPr="001F59A8">
            <w:rPr>
              <w:rStyle w:val="PageNumber"/>
            </w:rPr>
            <w:fldChar w:fldCharType="end"/>
          </w:r>
        </w:p>
      </w:tc>
    </w:tr>
  </w:tbl>
  <w:p w14:paraId="33594FC8" w14:textId="7F13021D" w:rsidR="00961C0B" w:rsidRPr="001F59A8" w:rsidRDefault="00961C0B" w:rsidP="00F44D5E">
    <w:pPr>
      <w:pStyle w:val="Footer"/>
      <w:ind w:right="707"/>
    </w:pPr>
    <w:r w:rsidRPr="001F59A8">
      <w:fldChar w:fldCharType="begin"/>
    </w:r>
    <w:r w:rsidRPr="001F59A8">
      <w:instrText xml:space="preserve"> REF _Ref188876764 \h </w:instrText>
    </w:r>
    <w:r w:rsidRPr="001F59A8">
      <w:fldChar w:fldCharType="separate"/>
    </w:r>
    <w:r w:rsidR="003E1323">
      <w:t>Calculating tariffs and the maximum annual bill</w:t>
    </w:r>
    <w:r w:rsidRPr="001F59A8">
      <w:fldChar w:fldCharType="end"/>
    </w:r>
  </w:p>
  <w:p w14:paraId="38D53DDD" w14:textId="78921859" w:rsidR="003A30F3" w:rsidRPr="001F59A8" w:rsidRDefault="003A30F3" w:rsidP="00F44D5E">
    <w:pPr>
      <w:pStyle w:val="Footer"/>
      <w:ind w:right="707"/>
      <w:rPr>
        <w:b/>
      </w:rPr>
    </w:pPr>
    <w:r w:rsidRPr="001F59A8">
      <w:t xml:space="preserve">Essential Services Commission </w:t>
    </w:r>
    <w:sdt>
      <w:sdtPr>
        <w:rPr>
          <w:b/>
        </w:rPr>
        <w:alias w:val="Title"/>
        <w:tag w:val=""/>
        <w:id w:val="-1236005415"/>
        <w:placeholder>
          <w:docPart w:val="A6E2DA9AE54B4BCD9A437D57B7688D54"/>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CCF1" w14:textId="6D2AAEB1" w:rsidR="003E1658" w:rsidRPr="001F59A8" w:rsidRDefault="003E1658" w:rsidP="00F44D5E">
    <w:pPr>
      <w:pStyle w:val="FooterSpace"/>
      <w:ind w:right="707"/>
    </w:pPr>
    <w:r w:rsidRPr="001F59A8">
      <w:fldChar w:fldCharType="begin"/>
    </w:r>
    <w:r w:rsidRPr="001F59A8">
      <w:instrText xml:space="preserve"> REF _Ref188877801 \h </w:instrText>
    </w:r>
    <w:r w:rsidRPr="001F59A8">
      <w:fldChar w:fldCharType="separate"/>
    </w:r>
    <w:r w:rsidR="003E1323">
      <w:t>Appendix A: Calculating the cost stack</w:t>
    </w:r>
    <w:r w:rsidRPr="001F59A8">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E1658" w:rsidRPr="001F59A8" w14:paraId="45762A23"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7D019AF" w14:textId="77777777" w:rsidR="003E1658" w:rsidRPr="001F59A8" w:rsidRDefault="003E1658"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6</w:t>
          </w:r>
          <w:r w:rsidRPr="001F59A8">
            <w:rPr>
              <w:rStyle w:val="PageNumber"/>
            </w:rPr>
            <w:fldChar w:fldCharType="end"/>
          </w:r>
        </w:p>
      </w:tc>
    </w:tr>
  </w:tbl>
  <w:p w14:paraId="613B5934" w14:textId="349F7786" w:rsidR="003E1658" w:rsidRPr="001F59A8" w:rsidRDefault="003E1658" w:rsidP="00F44D5E">
    <w:pPr>
      <w:pStyle w:val="Footer"/>
      <w:ind w:right="707"/>
      <w:rPr>
        <w:b/>
      </w:rPr>
    </w:pPr>
    <w:r w:rsidRPr="001F59A8">
      <w:t xml:space="preserve">Essential Services Commission </w:t>
    </w:r>
    <w:sdt>
      <w:sdtPr>
        <w:rPr>
          <w:b/>
        </w:rPr>
        <w:alias w:val="Title"/>
        <w:tag w:val=""/>
        <w:id w:val="941343204"/>
        <w:placeholder>
          <w:docPart w:val="A0E4C2F389794D64A4E6017905833181"/>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1A7F" w14:textId="3AC3FBC3" w:rsidR="003E1658" w:rsidRPr="001F59A8" w:rsidRDefault="003E1658" w:rsidP="00F44D5E">
    <w:pPr>
      <w:pStyle w:val="FooterSpace"/>
      <w:ind w:right="707"/>
    </w:pPr>
    <w:r w:rsidRPr="001F59A8">
      <w:fldChar w:fldCharType="begin"/>
    </w:r>
    <w:r w:rsidRPr="001F59A8">
      <w:instrText xml:space="preserve"> REF _Ref188877844 \h </w:instrText>
    </w:r>
    <w:r w:rsidRPr="001F59A8">
      <w:fldChar w:fldCharType="separate"/>
    </w:r>
    <w:r w:rsidR="003E1323" w:rsidRPr="002E5DDE">
      <w:t>Appendix B: Network tariffs in the cost stack</w:t>
    </w:r>
    <w:r w:rsidRPr="001F59A8">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E1658" w:rsidRPr="001F59A8" w14:paraId="7D1B1006"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102F2E97" w14:textId="77777777" w:rsidR="003E1658" w:rsidRPr="001F59A8" w:rsidRDefault="003E1658"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6</w:t>
          </w:r>
          <w:r w:rsidRPr="001F59A8">
            <w:rPr>
              <w:rStyle w:val="PageNumber"/>
            </w:rPr>
            <w:fldChar w:fldCharType="end"/>
          </w:r>
        </w:p>
      </w:tc>
    </w:tr>
  </w:tbl>
  <w:p w14:paraId="5F55B856" w14:textId="587BBA76" w:rsidR="003E1658" w:rsidRPr="001F59A8" w:rsidRDefault="003E1658" w:rsidP="00F44D5E">
    <w:pPr>
      <w:pStyle w:val="Footer"/>
      <w:ind w:right="707"/>
      <w:rPr>
        <w:b/>
      </w:rPr>
    </w:pPr>
    <w:r w:rsidRPr="001F59A8">
      <w:t xml:space="preserve">Essential Services Commission </w:t>
    </w:r>
    <w:sdt>
      <w:sdtPr>
        <w:rPr>
          <w:b/>
        </w:rPr>
        <w:alias w:val="Title"/>
        <w:tag w:val=""/>
        <w:id w:val="575411317"/>
        <w:placeholder>
          <w:docPart w:val="80CB34A5B5674C98AD556B455A13179F"/>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8B34" w14:textId="1A980EAC" w:rsidR="00E06B7F" w:rsidRDefault="004F59B0" w:rsidP="00E06B7F">
    <w:pPr>
      <w:pStyle w:val="FooterSpace"/>
      <w:ind w:right="707"/>
    </w:pPr>
    <w:r>
      <w:fldChar w:fldCharType="begin"/>
    </w:r>
    <w:r>
      <w:instrText xml:space="preserve"> REF _Ref198633181 \h </w:instrText>
    </w:r>
    <w:r>
      <w:fldChar w:fldCharType="separate"/>
    </w:r>
    <w:r w:rsidR="003E1323" w:rsidRPr="00D062E0">
      <w:t>Appe</w:t>
    </w:r>
    <w:r w:rsidR="003E1323">
      <w:t>ndix C: Submissions on Draft Decision Paper</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AF41B8" w:rsidRPr="001F59A8" w14:paraId="7BB4BDD2"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580CBCD3" w14:textId="77777777" w:rsidR="00AF41B8" w:rsidRPr="001F59A8" w:rsidRDefault="00AF41B8"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8</w:t>
          </w:r>
          <w:r w:rsidRPr="001F59A8">
            <w:rPr>
              <w:rStyle w:val="PageNumber"/>
            </w:rPr>
            <w:fldChar w:fldCharType="end"/>
          </w:r>
        </w:p>
      </w:tc>
    </w:tr>
  </w:tbl>
  <w:p w14:paraId="5FE312F4" w14:textId="549D21DE" w:rsidR="00AF41B8" w:rsidRPr="001F59A8" w:rsidRDefault="00AF41B8" w:rsidP="00F44D5E">
    <w:pPr>
      <w:pStyle w:val="Footer"/>
      <w:ind w:right="707"/>
      <w:rPr>
        <w:b/>
      </w:rPr>
    </w:pPr>
    <w:r w:rsidRPr="001F59A8">
      <w:t xml:space="preserve">Essential Services Commission </w:t>
    </w:r>
    <w:sdt>
      <w:sdtPr>
        <w:rPr>
          <w:b/>
        </w:rPr>
        <w:alias w:val="Title"/>
        <w:tag w:val=""/>
        <w:id w:val="434336428"/>
        <w:placeholder>
          <w:docPart w:val="09324E5AFDA84CBA9EE0E77D85769D2E"/>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r w:rsidRPr="001F59A8">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24B1" w14:textId="3C159BE7" w:rsidR="00AF41B8" w:rsidRPr="001F59A8" w:rsidRDefault="00AF41B8" w:rsidP="00F44D5E">
    <w:pPr>
      <w:pStyle w:val="FooterSpace"/>
      <w:ind w:right="707"/>
    </w:pPr>
    <w:r w:rsidRPr="001F59A8">
      <w:fldChar w:fldCharType="begin"/>
    </w:r>
    <w:r w:rsidRPr="001F59A8">
      <w:instrText xml:space="preserve"> REF _Ref192608612 \h </w:instrText>
    </w:r>
    <w:r w:rsidRPr="001F59A8">
      <w:fldChar w:fldCharType="separate"/>
    </w:r>
    <w:r w:rsidR="003E1323">
      <w:t xml:space="preserve">Appendix D: </w:t>
    </w:r>
    <w:r w:rsidR="003E1323" w:rsidRPr="002E5DDE">
      <w:t xml:space="preserve">Changes to cost </w:t>
    </w:r>
    <w:r w:rsidR="003E1323">
      <w:t>component methodology</w:t>
    </w:r>
    <w:r w:rsidRPr="001F59A8">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AF41B8" w:rsidRPr="001F59A8" w14:paraId="4EB9C58A"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F46806D" w14:textId="77777777" w:rsidR="00AF41B8" w:rsidRPr="001F59A8" w:rsidRDefault="00AF41B8"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Pr="001F59A8">
            <w:rPr>
              <w:rStyle w:val="PageNumber"/>
            </w:rPr>
            <w:t>8</w:t>
          </w:r>
          <w:r w:rsidRPr="001F59A8">
            <w:rPr>
              <w:rStyle w:val="PageNumber"/>
            </w:rPr>
            <w:fldChar w:fldCharType="end"/>
          </w:r>
        </w:p>
      </w:tc>
    </w:tr>
  </w:tbl>
  <w:p w14:paraId="47DC275C" w14:textId="77777777" w:rsidR="00AF41B8" w:rsidRPr="001F59A8" w:rsidRDefault="00AF41B8" w:rsidP="00F44D5E">
    <w:pPr>
      <w:pStyle w:val="Footer"/>
      <w:ind w:right="707"/>
      <w:rPr>
        <w:b/>
      </w:rPr>
    </w:pPr>
    <w:r w:rsidRPr="001F59A8">
      <w:t xml:space="preserve">Essential Services Commission </w:t>
    </w:r>
    <w:sdt>
      <w:sdtPr>
        <w:rPr>
          <w:b/>
        </w:rPr>
        <w:alias w:val="Title"/>
        <w:tag w:val=""/>
        <w:id w:val="989056053"/>
        <w:placeholder>
          <w:docPart w:val="D7F32196FF554BB6A40EF347354734BA"/>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r w:rsidRPr="001F59A8">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551A" w14:textId="1F7B110F" w:rsidR="003A30F3" w:rsidRPr="001F59A8" w:rsidRDefault="0053008A" w:rsidP="00F44D5E">
    <w:pPr>
      <w:pStyle w:val="FooterSpace"/>
      <w:ind w:right="707"/>
    </w:pPr>
    <w:r w:rsidRPr="001F59A8">
      <w:fldChar w:fldCharType="begin"/>
    </w:r>
    <w:r w:rsidRPr="001F59A8">
      <w:instrText xml:space="preserve"> REF _Ref191542229 \h </w:instrText>
    </w:r>
    <w:r w:rsidRPr="001F59A8">
      <w:fldChar w:fldCharType="separate"/>
    </w:r>
    <w:r w:rsidR="003E1323" w:rsidRPr="002E5DDE">
      <w:t>Appendix E: Order in Council</w:t>
    </w:r>
    <w:r w:rsidRPr="001F59A8">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A30F3" w:rsidRPr="001F59A8" w14:paraId="41F8948A" w14:textId="77777777" w:rsidTr="00755FB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27B0BABC" w14:textId="77777777" w:rsidR="003A30F3" w:rsidRPr="001F59A8" w:rsidRDefault="003A30F3" w:rsidP="00A90C3B">
          <w:pPr>
            <w:pStyle w:val="Footer"/>
            <w:spacing w:before="0"/>
            <w:rPr>
              <w:rStyle w:val="PageNumber"/>
            </w:rPr>
          </w:pPr>
          <w:r w:rsidRPr="001F59A8">
            <w:rPr>
              <w:rStyle w:val="PageNumber"/>
            </w:rPr>
            <w:fldChar w:fldCharType="begin"/>
          </w:r>
          <w:r w:rsidRPr="001F59A8">
            <w:rPr>
              <w:rStyle w:val="PageNumber"/>
            </w:rPr>
            <w:instrText xml:space="preserve"> PAGE   \* MERGEFORMAT </w:instrText>
          </w:r>
          <w:r w:rsidRPr="001F59A8">
            <w:rPr>
              <w:rStyle w:val="PageNumber"/>
            </w:rPr>
            <w:fldChar w:fldCharType="separate"/>
          </w:r>
          <w:r w:rsidR="00A447FD" w:rsidRPr="001F59A8">
            <w:rPr>
              <w:rStyle w:val="PageNumber"/>
            </w:rPr>
            <w:t>11</w:t>
          </w:r>
          <w:r w:rsidRPr="001F59A8">
            <w:rPr>
              <w:rStyle w:val="PageNumber"/>
            </w:rPr>
            <w:fldChar w:fldCharType="end"/>
          </w:r>
        </w:p>
      </w:tc>
    </w:tr>
  </w:tbl>
  <w:p w14:paraId="78674E97" w14:textId="54D39DA1" w:rsidR="003A30F3" w:rsidRPr="001F59A8" w:rsidRDefault="003A30F3" w:rsidP="00F44D5E">
    <w:pPr>
      <w:pStyle w:val="Footer"/>
      <w:ind w:right="707"/>
      <w:rPr>
        <w:b/>
      </w:rPr>
    </w:pPr>
    <w:r w:rsidRPr="001F59A8">
      <w:t xml:space="preserve">Essential Services Commission </w:t>
    </w:r>
    <w:sdt>
      <w:sdtPr>
        <w:rPr>
          <w:b/>
        </w:rPr>
        <w:alias w:val="Title"/>
        <w:tag w:val=""/>
        <w:id w:val="-1241334570"/>
        <w:placeholder>
          <w:docPart w:val="FAF2D1B0FB584D96811FE60C2449BB23"/>
        </w:placeholder>
        <w:dataBinding w:prefixMappings="xmlns:ns0='http://purl.org/dc/elements/1.1/' xmlns:ns1='http://schemas.openxmlformats.org/package/2006/metadata/core-properties' " w:xpath="/ns1:coreProperties[1]/ns0:title[1]" w:storeItemID="{6C3C8BC8-F283-45AE-878A-BAB7291924A1}"/>
        <w:text/>
      </w:sdtPr>
      <w:sdtContent>
        <w:r w:rsidR="005E6B45" w:rsidRPr="001F59A8">
          <w:rPr>
            <w:b/>
          </w:rPr>
          <w:t>Victorian Default Offer 2025–26</w:t>
        </w:r>
      </w:sdtContent>
    </w:sdt>
    <w:r w:rsidRPr="001F59A8">
      <w:rPr>
        <w:b/>
      </w:rPr>
      <w:t xml:space="preserve">   </w:t>
    </w:r>
    <w:r w:rsidRPr="001F59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ADCF3" w14:textId="77777777" w:rsidR="0032465C" w:rsidRPr="001F59A8" w:rsidRDefault="0032465C" w:rsidP="00AE03FA">
      <w:pPr>
        <w:spacing w:after="0"/>
        <w:rPr>
          <w:color w:val="75787B" w:themeColor="background2"/>
        </w:rPr>
      </w:pPr>
      <w:bookmarkStart w:id="0" w:name="_Hlk480978878"/>
      <w:bookmarkEnd w:id="0"/>
      <w:r w:rsidRPr="001F59A8">
        <w:rPr>
          <w:color w:val="75787B" w:themeColor="background2"/>
        </w:rPr>
        <w:separator/>
      </w:r>
    </w:p>
    <w:p w14:paraId="505B51FC" w14:textId="77777777" w:rsidR="0032465C" w:rsidRPr="001F59A8" w:rsidRDefault="0032465C" w:rsidP="00CF33F6">
      <w:pPr>
        <w:pStyle w:val="NoSpacing"/>
        <w:rPr>
          <w:lang w:val="en-AU"/>
        </w:rPr>
      </w:pPr>
    </w:p>
  </w:footnote>
  <w:footnote w:type="continuationSeparator" w:id="0">
    <w:p w14:paraId="70AB50E0" w14:textId="77777777" w:rsidR="0032465C" w:rsidRPr="001F59A8" w:rsidRDefault="0032465C" w:rsidP="00AE03FA">
      <w:pPr>
        <w:spacing w:after="0"/>
      </w:pPr>
      <w:r w:rsidRPr="001F59A8">
        <w:continuationSeparator/>
      </w:r>
    </w:p>
    <w:p w14:paraId="774AA1B9" w14:textId="77777777" w:rsidR="0032465C" w:rsidRPr="001F59A8" w:rsidRDefault="0032465C"/>
  </w:footnote>
  <w:footnote w:type="continuationNotice" w:id="1">
    <w:p w14:paraId="66B361CD" w14:textId="77777777" w:rsidR="0032465C" w:rsidRPr="001F59A8" w:rsidRDefault="0032465C">
      <w:pPr>
        <w:spacing w:before="0" w:after="0" w:line="240" w:lineRule="auto"/>
      </w:pPr>
    </w:p>
  </w:footnote>
  <w:footnote w:id="2">
    <w:p w14:paraId="72CE3BA4" w14:textId="77777777" w:rsidR="001865EB" w:rsidRPr="001F59A8" w:rsidRDefault="001865EB" w:rsidP="001865EB">
      <w:pPr>
        <w:pStyle w:val="FootnoteText"/>
      </w:pPr>
      <w:r w:rsidRPr="001F59A8">
        <w:rPr>
          <w:rStyle w:val="FootnoteReference"/>
        </w:rPr>
        <w:footnoteRef/>
      </w:r>
      <w:r w:rsidRPr="001F59A8">
        <w:t xml:space="preserve"> Clause 3 of the pricing order.</w:t>
      </w:r>
    </w:p>
  </w:footnote>
  <w:footnote w:id="3">
    <w:p w14:paraId="215C61EC" w14:textId="32F95631" w:rsidR="002A34CA" w:rsidRPr="001F59A8" w:rsidRDefault="002A34CA" w:rsidP="002A34CA">
      <w:pPr>
        <w:spacing w:after="0" w:line="240" w:lineRule="auto"/>
        <w:rPr>
          <w:highlight w:val="yellow"/>
        </w:rPr>
      </w:pPr>
      <w:r w:rsidRPr="001F59A8">
        <w:rPr>
          <w:rStyle w:val="FootnoteReference"/>
          <w:sz w:val="18"/>
          <w:szCs w:val="18"/>
        </w:rPr>
        <w:footnoteRef/>
      </w:r>
      <w:r w:rsidRPr="001F59A8">
        <w:rPr>
          <w:sz w:val="18"/>
          <w:szCs w:val="18"/>
        </w:rPr>
        <w:t xml:space="preserve"> A standing offer is defined in section 3 of the </w:t>
      </w:r>
      <w:r w:rsidRPr="001F59A8">
        <w:rPr>
          <w:i/>
          <w:sz w:val="18"/>
          <w:szCs w:val="18"/>
        </w:rPr>
        <w:t>Electricity Industry Act 2000</w:t>
      </w:r>
      <w:r w:rsidR="00146835">
        <w:rPr>
          <w:sz w:val="18"/>
          <w:szCs w:val="18"/>
        </w:rPr>
        <w:t>;</w:t>
      </w:r>
      <w:r w:rsidR="00B85572">
        <w:rPr>
          <w:sz w:val="18"/>
          <w:szCs w:val="18"/>
        </w:rPr>
        <w:t xml:space="preserve"> </w:t>
      </w:r>
      <w:r w:rsidR="00B85572" w:rsidRPr="007B1A99">
        <w:rPr>
          <w:sz w:val="18"/>
          <w:szCs w:val="18"/>
        </w:rPr>
        <w:t xml:space="preserve">A ‘domestic customer’ for purposes of the Victorian Default Offer is a customer who purchases electricity principally for personal, household or domestic use </w:t>
      </w:r>
      <w:r w:rsidR="00B85572" w:rsidRPr="007B1A99">
        <w:rPr>
          <w:sz w:val="18"/>
          <w:szCs w:val="14"/>
        </w:rPr>
        <w:t>(see clause 4 of the pricing order)</w:t>
      </w:r>
      <w:r w:rsidR="00146835">
        <w:rPr>
          <w:sz w:val="18"/>
          <w:szCs w:val="14"/>
        </w:rPr>
        <w:t>;</w:t>
      </w:r>
      <w:r w:rsidR="007B1A99">
        <w:rPr>
          <w:sz w:val="18"/>
          <w:szCs w:val="14"/>
        </w:rPr>
        <w:t xml:space="preserve"> </w:t>
      </w:r>
      <w:r w:rsidR="007B1A99" w:rsidRPr="007B1A99">
        <w:rPr>
          <w:sz w:val="18"/>
          <w:szCs w:val="14"/>
        </w:rPr>
        <w:t xml:space="preserve">A ‘small business customer’ for purposes of the Victorian Default Offer is a customer who is not a domestic customer and whose aggregate consumption of electricity is not more than 40 MWh per annum (see clause 4 of the pricing order).  </w:t>
      </w:r>
    </w:p>
  </w:footnote>
  <w:footnote w:id="4">
    <w:p w14:paraId="53857C39" w14:textId="6E24B699" w:rsidR="005E1A47" w:rsidRPr="001F59A8" w:rsidRDefault="005E1A47" w:rsidP="005E1A47">
      <w:pPr>
        <w:pStyle w:val="FootnoteText"/>
      </w:pPr>
      <w:r w:rsidRPr="001F59A8">
        <w:rPr>
          <w:rStyle w:val="FootnoteReference"/>
        </w:rPr>
        <w:footnoteRef/>
      </w:r>
      <w:r w:rsidRPr="001F59A8">
        <w:t xml:space="preserve"> </w:t>
      </w:r>
      <w:r w:rsidR="00D4721F" w:rsidRPr="001F59A8">
        <w:t>Figures</w:t>
      </w:r>
      <w:r w:rsidR="00C27CA1" w:rsidRPr="001F59A8">
        <w:t xml:space="preserve"> are</w:t>
      </w:r>
      <w:r w:rsidRPr="001F59A8">
        <w:t xml:space="preserve"> a</w:t>
      </w:r>
      <w:r w:rsidR="00C27CA1" w:rsidRPr="001F59A8">
        <w:t>s</w:t>
      </w:r>
      <w:r w:rsidRPr="001F59A8">
        <w:t xml:space="preserve"> </w:t>
      </w:r>
      <w:r w:rsidR="00C27CA1" w:rsidRPr="001F59A8">
        <w:t>of</w:t>
      </w:r>
      <w:r w:rsidRPr="001F59A8">
        <w:t xml:space="preserve"> </w:t>
      </w:r>
      <w:r w:rsidR="00544117" w:rsidRPr="001F59A8">
        <w:t xml:space="preserve">31 </w:t>
      </w:r>
      <w:r w:rsidR="00AB238D" w:rsidRPr="001F59A8">
        <w:t>March</w:t>
      </w:r>
      <w:r w:rsidR="00544117" w:rsidRPr="001F59A8">
        <w:t xml:space="preserve"> 202</w:t>
      </w:r>
      <w:r w:rsidR="00AB238D" w:rsidRPr="001F59A8">
        <w:t>5</w:t>
      </w:r>
      <w:r w:rsidRPr="001F59A8">
        <w:t>, based on data reported by Victorian retailers under the Compliance and Performance Reporting Guideline version 8</w:t>
      </w:r>
      <w:r w:rsidR="00D409B4" w:rsidRPr="001F59A8">
        <w:t>.</w:t>
      </w:r>
    </w:p>
  </w:footnote>
  <w:footnote w:id="5">
    <w:p w14:paraId="1D352FDC" w14:textId="117E08F1" w:rsidR="00AB1E22" w:rsidRPr="001F59A8" w:rsidRDefault="00AB1E22">
      <w:pPr>
        <w:pStyle w:val="FootnoteText"/>
      </w:pPr>
      <w:r w:rsidRPr="001F59A8">
        <w:rPr>
          <w:rStyle w:val="FootnoteReference"/>
        </w:rPr>
        <w:footnoteRef/>
      </w:r>
      <w:r w:rsidRPr="001F59A8">
        <w:t xml:space="preserve"> </w:t>
      </w:r>
      <w:r w:rsidR="004E54A3" w:rsidRPr="001F59A8">
        <w:rPr>
          <w:szCs w:val="18"/>
        </w:rPr>
        <w:t xml:space="preserve">Figure is as of </w:t>
      </w:r>
      <w:r w:rsidR="00D3731D" w:rsidRPr="00323640">
        <w:rPr>
          <w:szCs w:val="18"/>
        </w:rPr>
        <w:t xml:space="preserve">2 </w:t>
      </w:r>
      <w:r w:rsidR="00F575A8" w:rsidRPr="00323640">
        <w:rPr>
          <w:szCs w:val="18"/>
        </w:rPr>
        <w:t xml:space="preserve">March </w:t>
      </w:r>
      <w:r w:rsidR="004E54A3" w:rsidRPr="00323640">
        <w:rPr>
          <w:szCs w:val="18"/>
        </w:rPr>
        <w:t>2025</w:t>
      </w:r>
      <w:r w:rsidR="004E54A3" w:rsidRPr="001F59A8">
        <w:rPr>
          <w:szCs w:val="18"/>
        </w:rPr>
        <w:t xml:space="preserve">. </w:t>
      </w:r>
    </w:p>
  </w:footnote>
  <w:footnote w:id="6">
    <w:p w14:paraId="123D67E1" w14:textId="4455AF5A" w:rsidR="00E35A20" w:rsidRPr="001F59A8" w:rsidRDefault="00E35A20">
      <w:pPr>
        <w:pStyle w:val="FootnoteText"/>
      </w:pPr>
      <w:r w:rsidRPr="001F59A8">
        <w:rPr>
          <w:rStyle w:val="FootnoteReference"/>
        </w:rPr>
        <w:footnoteRef/>
      </w:r>
      <w:r w:rsidRPr="001F59A8">
        <w:t xml:space="preserve"> </w:t>
      </w:r>
      <w:r w:rsidR="00D4451B" w:rsidRPr="001F59A8">
        <w:rPr>
          <w:szCs w:val="18"/>
        </w:rPr>
        <w:t xml:space="preserve">The Order in Council made under section 13 of the </w:t>
      </w:r>
      <w:r w:rsidR="00D4451B" w:rsidRPr="001F59A8">
        <w:rPr>
          <w:i/>
          <w:szCs w:val="18"/>
        </w:rPr>
        <w:t>Electricity Industry Act 2000</w:t>
      </w:r>
      <w:r w:rsidR="00D4451B" w:rsidRPr="001F59A8">
        <w:rPr>
          <w:szCs w:val="18"/>
        </w:rPr>
        <w:t xml:space="preserve"> was published in the </w:t>
      </w:r>
      <w:r w:rsidR="00D4451B" w:rsidRPr="001F59A8">
        <w:rPr>
          <w:i/>
          <w:iCs/>
          <w:szCs w:val="18"/>
        </w:rPr>
        <w:t>Victorian Government Gazette</w:t>
      </w:r>
      <w:r w:rsidR="00D4451B" w:rsidRPr="001F59A8">
        <w:rPr>
          <w:szCs w:val="18"/>
        </w:rPr>
        <w:t xml:space="preserve"> No. S 208 on Thursday 30 May 2019. Minor amendments to this Order have subsequently been made by Orders in Council made under section 13 of the Act and respectively published in the </w:t>
      </w:r>
      <w:r w:rsidR="00D4451B" w:rsidRPr="001F59A8">
        <w:rPr>
          <w:i/>
          <w:szCs w:val="18"/>
        </w:rPr>
        <w:t>Victorian Government Gazette</w:t>
      </w:r>
      <w:r w:rsidR="00D4451B" w:rsidRPr="001F59A8">
        <w:rPr>
          <w:szCs w:val="18"/>
        </w:rPr>
        <w:t xml:space="preserve"> No. S208 Thursday 30 May 2019 and the </w:t>
      </w:r>
      <w:r w:rsidR="00D4451B" w:rsidRPr="001F59A8">
        <w:rPr>
          <w:i/>
          <w:szCs w:val="18"/>
        </w:rPr>
        <w:t xml:space="preserve">Victorian Government Gazette </w:t>
      </w:r>
      <w:r w:rsidR="00D4451B" w:rsidRPr="001F59A8">
        <w:rPr>
          <w:szCs w:val="18"/>
        </w:rPr>
        <w:t>No. G50 14 December 2023. The original Order in Council as amended is referred to in this paper as the ‘</w:t>
      </w:r>
      <w:r w:rsidR="00EF296E" w:rsidRPr="001F59A8">
        <w:t>pricing order</w:t>
      </w:r>
      <w:r w:rsidR="00D4451B" w:rsidRPr="001F59A8">
        <w:rPr>
          <w:szCs w:val="18"/>
        </w:rPr>
        <w:t xml:space="preserve">’.  </w:t>
      </w:r>
    </w:p>
  </w:footnote>
  <w:footnote w:id="7">
    <w:p w14:paraId="2148ECD1" w14:textId="77777777" w:rsidR="00AB38A6" w:rsidRPr="001F59A8" w:rsidRDefault="00AB38A6" w:rsidP="00AB38A6">
      <w:pPr>
        <w:pStyle w:val="FootnoteText"/>
      </w:pPr>
      <w:r w:rsidRPr="001F59A8">
        <w:rPr>
          <w:rStyle w:val="FootnoteReference"/>
        </w:rPr>
        <w:footnoteRef/>
      </w:r>
      <w:r w:rsidRPr="001F59A8">
        <w:t xml:space="preserve"> Clause 12(3) of the pricing order.</w:t>
      </w:r>
    </w:p>
  </w:footnote>
  <w:footnote w:id="8">
    <w:p w14:paraId="2B9B71C7" w14:textId="52DD8769" w:rsidR="00834A17" w:rsidRPr="001F59A8" w:rsidRDefault="00834A17">
      <w:pPr>
        <w:pStyle w:val="FootnoteText"/>
      </w:pPr>
      <w:r w:rsidRPr="001F59A8">
        <w:rPr>
          <w:rStyle w:val="FootnoteReference"/>
        </w:rPr>
        <w:footnoteRef/>
      </w:r>
      <w:r w:rsidRPr="001F59A8">
        <w:t xml:space="preserve"> Clause</w:t>
      </w:r>
      <w:r w:rsidR="00EB2EDD" w:rsidRPr="001F59A8">
        <w:t xml:space="preserve"> 12(4)</w:t>
      </w:r>
      <w:r w:rsidR="00610A83" w:rsidRPr="001F59A8">
        <w:t xml:space="preserve"> of the pricing order.</w:t>
      </w:r>
    </w:p>
  </w:footnote>
  <w:footnote w:id="9">
    <w:p w14:paraId="063EE9BA" w14:textId="27345EFC" w:rsidR="002020DE" w:rsidRPr="001F59A8" w:rsidRDefault="002020DE" w:rsidP="002020DE">
      <w:pPr>
        <w:pStyle w:val="FootnoteText"/>
      </w:pPr>
      <w:r w:rsidRPr="001F59A8">
        <w:rPr>
          <w:rStyle w:val="FootnoteReference"/>
        </w:rPr>
        <w:footnoteRef/>
      </w:r>
      <w:r w:rsidRPr="001F59A8">
        <w:t xml:space="preserve"> </w:t>
      </w:r>
      <w:r w:rsidR="00450A94" w:rsidRPr="001F59A8">
        <w:t>Clause 3 of the pricing order.</w:t>
      </w:r>
    </w:p>
  </w:footnote>
  <w:footnote w:id="10">
    <w:p w14:paraId="18AE1190" w14:textId="703D3D0F" w:rsidR="00410C77" w:rsidRPr="001F59A8" w:rsidRDefault="00410C77">
      <w:pPr>
        <w:pStyle w:val="FootnoteText"/>
      </w:pPr>
      <w:r w:rsidRPr="001F59A8">
        <w:rPr>
          <w:rStyle w:val="FootnoteReference"/>
        </w:rPr>
        <w:footnoteRef/>
      </w:r>
      <w:r w:rsidRPr="001F59A8">
        <w:t xml:space="preserve"> </w:t>
      </w:r>
      <w:r w:rsidR="00191975" w:rsidRPr="001F59A8">
        <w:rPr>
          <w:i/>
          <w:iCs/>
        </w:rPr>
        <w:t>Essential Services Commission Act 2001</w:t>
      </w:r>
      <w:r w:rsidR="00191975" w:rsidRPr="001F59A8">
        <w:t>, s 8.</w:t>
      </w:r>
    </w:p>
  </w:footnote>
  <w:footnote w:id="11">
    <w:p w14:paraId="076E88E4" w14:textId="22C9F05A" w:rsidR="00410C77" w:rsidRPr="001F59A8" w:rsidRDefault="00410C77">
      <w:pPr>
        <w:pStyle w:val="FootnoteText"/>
      </w:pPr>
      <w:r w:rsidRPr="001F59A8">
        <w:rPr>
          <w:rStyle w:val="FootnoteReference"/>
        </w:rPr>
        <w:footnoteRef/>
      </w:r>
      <w:r w:rsidRPr="001F59A8">
        <w:t xml:space="preserve"> </w:t>
      </w:r>
      <w:r w:rsidR="005E309C" w:rsidRPr="001F59A8">
        <w:rPr>
          <w:i/>
          <w:iCs/>
        </w:rPr>
        <w:t>Electricity Industry Act 2000</w:t>
      </w:r>
      <w:r w:rsidR="005E309C" w:rsidRPr="001F59A8">
        <w:t>, s 10.</w:t>
      </w:r>
    </w:p>
  </w:footnote>
  <w:footnote w:id="12">
    <w:p w14:paraId="1F2DBCFC" w14:textId="09357A57" w:rsidR="00C05ED8" w:rsidRPr="001F59A8" w:rsidRDefault="00C05ED8">
      <w:pPr>
        <w:pStyle w:val="FootnoteText"/>
      </w:pPr>
      <w:r w:rsidRPr="001F59A8">
        <w:rPr>
          <w:rStyle w:val="FootnoteReference"/>
        </w:rPr>
        <w:footnoteRef/>
      </w:r>
      <w:r w:rsidRPr="001F59A8">
        <w:t xml:space="preserve"> </w:t>
      </w:r>
      <w:r w:rsidR="00527E17" w:rsidRPr="001F59A8">
        <w:rPr>
          <w:i/>
          <w:iCs/>
        </w:rPr>
        <w:t>Electricity Industry Act 2000</w:t>
      </w:r>
      <w:r w:rsidR="00527E17" w:rsidRPr="001F59A8">
        <w:t>, s10.</w:t>
      </w:r>
    </w:p>
  </w:footnote>
  <w:footnote w:id="13">
    <w:p w14:paraId="664C9556" w14:textId="529B273E" w:rsidR="00311963" w:rsidRDefault="00311963">
      <w:pPr>
        <w:pStyle w:val="FootnoteText"/>
      </w:pPr>
      <w:r>
        <w:rPr>
          <w:rStyle w:val="FootnoteReference"/>
        </w:rPr>
        <w:footnoteRef/>
      </w:r>
      <w:r>
        <w:t xml:space="preserve"> </w:t>
      </w:r>
      <w:r w:rsidRPr="001F59A8">
        <w:t xml:space="preserve">Energy Retail Code of Practice, </w:t>
      </w:r>
      <w:r w:rsidRPr="00943348">
        <w:t xml:space="preserve">Version 3, 1 October 2024, Part </w:t>
      </w:r>
      <w:r w:rsidR="004746D0" w:rsidRPr="00943348">
        <w:t>4</w:t>
      </w:r>
      <w:r w:rsidRPr="00943348">
        <w:t xml:space="preserve">, </w:t>
      </w:r>
      <w:r w:rsidR="000C5566" w:rsidRPr="00943348">
        <w:t>Sub-d</w:t>
      </w:r>
      <w:r w:rsidRPr="00943348">
        <w:t xml:space="preserve">ivision </w:t>
      </w:r>
      <w:r w:rsidR="000C5566" w:rsidRPr="00943348">
        <w:t>4</w:t>
      </w:r>
      <w:r w:rsidR="00074AEE" w:rsidRPr="00943348">
        <w:t>, Clause 4</w:t>
      </w:r>
      <w:r w:rsidR="000C5566" w:rsidRPr="00943348">
        <w:t>9</w:t>
      </w:r>
      <w:r w:rsidRPr="00943348">
        <w:t>.</w:t>
      </w:r>
    </w:p>
  </w:footnote>
  <w:footnote w:id="14">
    <w:p w14:paraId="1CEA7054" w14:textId="77777777" w:rsidR="00902ACE" w:rsidRPr="001F59A8" w:rsidRDefault="00902ACE" w:rsidP="00902ACE">
      <w:pPr>
        <w:pStyle w:val="FootnoteText"/>
        <w:rPr>
          <w:highlight w:val="yellow"/>
        </w:rPr>
      </w:pPr>
      <w:r w:rsidRPr="001F59A8">
        <w:rPr>
          <w:rStyle w:val="FootnoteReference"/>
        </w:rPr>
        <w:footnoteRef/>
      </w:r>
      <w:r w:rsidRPr="001F59A8">
        <w:t xml:space="preserve"> Clause 10(1) of the pricing order.</w:t>
      </w:r>
    </w:p>
  </w:footnote>
  <w:footnote w:id="15">
    <w:p w14:paraId="6311354C" w14:textId="07DE4554" w:rsidR="005F59BB" w:rsidRPr="001F59A8" w:rsidRDefault="005F59BB" w:rsidP="005F59BB">
      <w:pPr>
        <w:spacing w:line="240" w:lineRule="auto"/>
      </w:pPr>
      <w:r w:rsidRPr="001F59A8">
        <w:rPr>
          <w:rStyle w:val="FootnoteReference"/>
        </w:rPr>
        <w:footnoteRef/>
      </w:r>
      <w:r w:rsidRPr="001F59A8">
        <w:t xml:space="preserve"> </w:t>
      </w:r>
      <w:r>
        <w:rPr>
          <w:sz w:val="18"/>
          <w:szCs w:val="20"/>
        </w:rPr>
        <w:t>W</w:t>
      </w:r>
      <w:r w:rsidRPr="001F59A8">
        <w:rPr>
          <w:sz w:val="18"/>
          <w:szCs w:val="20"/>
        </w:rPr>
        <w:t>e used 2025–26</w:t>
      </w:r>
      <w:r>
        <w:rPr>
          <w:sz w:val="18"/>
          <w:szCs w:val="20"/>
        </w:rPr>
        <w:t xml:space="preserve"> </w:t>
      </w:r>
      <w:r w:rsidRPr="001F59A8">
        <w:rPr>
          <w:sz w:val="18"/>
          <w:szCs w:val="20"/>
        </w:rPr>
        <w:t>network tariffs</w:t>
      </w:r>
      <w:r>
        <w:rPr>
          <w:sz w:val="18"/>
          <w:szCs w:val="20"/>
        </w:rPr>
        <w:t xml:space="preserve"> f</w:t>
      </w:r>
      <w:r w:rsidRPr="001F59A8">
        <w:rPr>
          <w:sz w:val="18"/>
          <w:szCs w:val="20"/>
        </w:rPr>
        <w:t xml:space="preserve">or this final decision, approved by the Australian Energy Regulator in May 2025. </w:t>
      </w:r>
    </w:p>
  </w:footnote>
  <w:footnote w:id="16">
    <w:p w14:paraId="01F2C3B9" w14:textId="77777777" w:rsidR="00937FB0" w:rsidRPr="001F59A8" w:rsidRDefault="00937FB0" w:rsidP="00937FB0">
      <w:pPr>
        <w:pStyle w:val="FootnoteText"/>
      </w:pPr>
      <w:r w:rsidRPr="001F59A8">
        <w:rPr>
          <w:rStyle w:val="FootnoteReference"/>
        </w:rPr>
        <w:footnoteRef/>
      </w:r>
      <w:r w:rsidRPr="001F59A8">
        <w:t xml:space="preserve"> The expected returns approach seeks to estimate the minimum retail margin required to compensate equity investors in a notional electricity retailer for the systematic (i.e., non-diversifiable) risk they bear when committing equity capital to the firm.</w:t>
      </w:r>
    </w:p>
  </w:footnote>
  <w:footnote w:id="17">
    <w:p w14:paraId="2E67A0DE" w14:textId="2B29B4AF" w:rsidR="004C50E3" w:rsidRPr="001F59A8" w:rsidRDefault="004C50E3" w:rsidP="004C50E3">
      <w:pPr>
        <w:pStyle w:val="FootnoteText"/>
      </w:pPr>
      <w:r w:rsidRPr="001F59A8">
        <w:rPr>
          <w:rStyle w:val="FootnoteReference"/>
        </w:rPr>
        <w:footnoteRef/>
      </w:r>
      <w:r w:rsidRPr="001F59A8">
        <w:t xml:space="preserve"> The annual reference consumption amount reflects pricing order clause 15(5)(a). For domestic customers the average consumption assumes 4,000 kilowatt hours per year, we call this ‘</w:t>
      </w:r>
      <w:r w:rsidR="00143E32" w:rsidRPr="001F59A8">
        <w:t>representative</w:t>
      </w:r>
      <w:r w:rsidRPr="001F59A8">
        <w:t>’ usage.</w:t>
      </w:r>
    </w:p>
  </w:footnote>
  <w:footnote w:id="18">
    <w:p w14:paraId="587A9817" w14:textId="77777777" w:rsidR="00BA7F57" w:rsidRPr="001F59A8" w:rsidRDefault="00BA7F57" w:rsidP="00BA7F57">
      <w:pPr>
        <w:pStyle w:val="FootnoteText"/>
      </w:pPr>
      <w:r w:rsidRPr="001F59A8">
        <w:rPr>
          <w:rStyle w:val="FootnoteReference"/>
        </w:rPr>
        <w:footnoteRef/>
      </w:r>
      <w:r w:rsidRPr="001F59A8">
        <w:t xml:space="preserve"> </w:t>
      </w:r>
      <w:bookmarkStart w:id="30" w:name="_Hlk198824213"/>
      <w:r w:rsidRPr="001F59A8">
        <w:t>Values in the table may not sum to exact total due to rounding.</w:t>
      </w:r>
    </w:p>
    <w:bookmarkEnd w:id="30"/>
  </w:footnote>
  <w:footnote w:id="19">
    <w:p w14:paraId="558B71C0" w14:textId="3A7600B6" w:rsidR="002D2AF6" w:rsidRPr="001F59A8" w:rsidRDefault="002D2AF6" w:rsidP="002D2AF6">
      <w:pPr>
        <w:pStyle w:val="FootnoteText"/>
      </w:pPr>
      <w:r w:rsidRPr="001F59A8">
        <w:rPr>
          <w:rStyle w:val="FootnoteReference"/>
        </w:rPr>
        <w:footnoteRef/>
      </w:r>
      <w:r w:rsidRPr="001F59A8">
        <w:t xml:space="preserve"> The annual reference consumption amount reflects pricing order clause 15(5)(a). For small business customers the average consumption assumes 10,000 kWh per year, we call this ‘</w:t>
      </w:r>
      <w:r w:rsidR="00143E32" w:rsidRPr="001F59A8">
        <w:t>representative</w:t>
      </w:r>
      <w:r w:rsidRPr="001F59A8">
        <w:t xml:space="preserve">’ usage. The commission has historically reported Victorian Default Offer average annual bills for small business customers assuming an average usage of 20,000 kWh per year. We have used 10,000 kWh per year to align with how small businesses prices are reported in default market offers in other states. </w:t>
      </w:r>
    </w:p>
  </w:footnote>
  <w:footnote w:id="20">
    <w:p w14:paraId="0F596C73" w14:textId="77777777" w:rsidR="00902ACE" w:rsidRPr="001F59A8" w:rsidRDefault="00902ACE" w:rsidP="00902ACE">
      <w:pPr>
        <w:pStyle w:val="FootnoteText"/>
      </w:pPr>
      <w:r w:rsidRPr="001F59A8">
        <w:rPr>
          <w:rStyle w:val="FootnoteReference"/>
        </w:rPr>
        <w:footnoteRef/>
      </w:r>
      <w:r w:rsidRPr="001F59A8">
        <w:t xml:space="preserve"> Values in the table may not sum to exact total due to rounding.</w:t>
      </w:r>
    </w:p>
  </w:footnote>
  <w:footnote w:id="21">
    <w:p w14:paraId="4701D60B" w14:textId="5DEEFCE3" w:rsidR="00600D71" w:rsidRPr="001F59A8" w:rsidRDefault="00600D71">
      <w:pPr>
        <w:pStyle w:val="FootnoteText"/>
      </w:pPr>
      <w:r w:rsidRPr="001F59A8">
        <w:rPr>
          <w:rStyle w:val="FootnoteReference"/>
        </w:rPr>
        <w:footnoteRef/>
      </w:r>
      <w:r w:rsidRPr="001F59A8">
        <w:t xml:space="preserve"> </w:t>
      </w:r>
      <w:r w:rsidR="00775F02" w:rsidRPr="001F59A8">
        <w:t xml:space="preserve">Consumer Action Law Centre, submission to the Essential Services Commission, </w:t>
      </w:r>
      <w:r w:rsidR="00775F02" w:rsidRPr="001F59A8">
        <w:rPr>
          <w:i/>
          <w:iCs/>
        </w:rPr>
        <w:t>Victorian Default Offer 2025–26: Draft Decision Paper</w:t>
      </w:r>
      <w:r w:rsidR="00775F02" w:rsidRPr="001F59A8">
        <w:t xml:space="preserve">, April 2025, p.1; Alinta Energy, submission to the Essential Services Commission, </w:t>
      </w:r>
      <w:r w:rsidR="00775F02" w:rsidRPr="001F59A8">
        <w:rPr>
          <w:i/>
          <w:iCs/>
        </w:rPr>
        <w:t>Victorian Default Offer 2025–26: Draft Decision Paper</w:t>
      </w:r>
      <w:r w:rsidR="00775F02" w:rsidRPr="001F59A8">
        <w:t xml:space="preserve">, April 2025, p. 1; </w:t>
      </w:r>
      <w:r w:rsidR="00DD22A7" w:rsidRPr="001F59A8">
        <w:t xml:space="preserve">EnergyAustralia, submission to the Essential Services Commission, </w:t>
      </w:r>
      <w:r w:rsidR="00DD22A7" w:rsidRPr="001F59A8">
        <w:rPr>
          <w:i/>
          <w:iCs/>
        </w:rPr>
        <w:t>Victorian Default Offer 2025–26: Draft Decision Paper</w:t>
      </w:r>
      <w:r w:rsidR="00DD22A7" w:rsidRPr="001F59A8">
        <w:t>, April 2025, p</w:t>
      </w:r>
      <w:r w:rsidR="00914961">
        <w:t>p</w:t>
      </w:r>
      <w:r w:rsidR="00DD22A7" w:rsidRPr="001F59A8">
        <w:t>. 1</w:t>
      </w:r>
      <w:r w:rsidR="00750048" w:rsidRPr="005F72DC">
        <w:rPr>
          <w:i/>
          <w:iCs/>
        </w:rPr>
        <w:t>–</w:t>
      </w:r>
      <w:r w:rsidR="00DD22A7" w:rsidRPr="001F59A8">
        <w:t>3.</w:t>
      </w:r>
    </w:p>
  </w:footnote>
  <w:footnote w:id="22">
    <w:p w14:paraId="59C58795" w14:textId="5D442CC5" w:rsidR="00FC35AA" w:rsidRDefault="00FC35AA" w:rsidP="00FC35AA">
      <w:pPr>
        <w:pStyle w:val="FootnoteText"/>
      </w:pPr>
      <w:r>
        <w:rPr>
          <w:rStyle w:val="FootnoteReference"/>
        </w:rPr>
        <w:footnoteRef/>
      </w:r>
      <w:r>
        <w:t xml:space="preserve"> </w:t>
      </w:r>
      <w:r w:rsidRPr="009E4C43">
        <w:t xml:space="preserve">Consumer Action Law Centre, submission to the Essential Services Commission, </w:t>
      </w:r>
      <w:r w:rsidRPr="009E4C43">
        <w:rPr>
          <w:i/>
          <w:iCs/>
        </w:rPr>
        <w:t>Victorian Default Offer 2025–26: Draft Decision Paper</w:t>
      </w:r>
      <w:r w:rsidRPr="009E4C43">
        <w:t xml:space="preserve">, April 2025, </w:t>
      </w:r>
      <w:r>
        <w:t>1, 3</w:t>
      </w:r>
      <w:r w:rsidR="006200FA" w:rsidRPr="001F59A8">
        <w:rPr>
          <w:i/>
          <w:iCs/>
        </w:rPr>
        <w:t>–</w:t>
      </w:r>
      <w:r>
        <w:t xml:space="preserve">4; </w:t>
      </w:r>
      <w:r w:rsidRPr="009E4C43">
        <w:t>Joint submission from Victorian Council of Social Service</w:t>
      </w:r>
      <w:r w:rsidR="003D2285">
        <w:t>,</w:t>
      </w:r>
      <w:r w:rsidRPr="009E4C43">
        <w:t xml:space="preserve"> Brotherhood of St Laurence, Consumer Action Law Centre, Council </w:t>
      </w:r>
      <w:r w:rsidR="006200FA">
        <w:t>o</w:t>
      </w:r>
      <w:r w:rsidR="00F64B1B">
        <w:t>n</w:t>
      </w:r>
      <w:r w:rsidR="006200FA" w:rsidRPr="009E4C43">
        <w:t xml:space="preserve"> </w:t>
      </w:r>
      <w:r w:rsidR="006200FA">
        <w:t>t</w:t>
      </w:r>
      <w:r w:rsidR="006200FA" w:rsidRPr="009E4C43">
        <w:t>he</w:t>
      </w:r>
      <w:r w:rsidRPr="009E4C43">
        <w:t xml:space="preserve"> Ageing Victoria, Energy Consumers Australia, Financial Counselling Victoria Inc</w:t>
      </w:r>
      <w:r w:rsidR="006200FA">
        <w:t>.</w:t>
      </w:r>
      <w:r w:rsidR="006200FA" w:rsidRPr="009E4C43">
        <w:t>,</w:t>
      </w:r>
      <w:r w:rsidRPr="009E4C43">
        <w:t xml:space="preserve"> Uniting, submission to the Essential Services Commission, </w:t>
      </w:r>
      <w:r w:rsidRPr="009E4C43">
        <w:rPr>
          <w:i/>
          <w:iCs/>
        </w:rPr>
        <w:t>Victorian Default Offer 2025–26: Draft Decision Paper</w:t>
      </w:r>
      <w:r w:rsidRPr="009E4C43">
        <w:t>, April 2025, p</w:t>
      </w:r>
      <w:r>
        <w:t>p. 1</w:t>
      </w:r>
      <w:r w:rsidR="006200FA" w:rsidRPr="001F59A8">
        <w:rPr>
          <w:i/>
          <w:iCs/>
        </w:rPr>
        <w:t>–</w:t>
      </w:r>
      <w:r>
        <w:t>2, 8</w:t>
      </w:r>
      <w:r w:rsidR="006200FA" w:rsidRPr="001F59A8">
        <w:rPr>
          <w:i/>
          <w:iCs/>
        </w:rPr>
        <w:t>–</w:t>
      </w:r>
      <w:r>
        <w:t>9.</w:t>
      </w:r>
    </w:p>
  </w:footnote>
  <w:footnote w:id="23">
    <w:p w14:paraId="09EF385F" w14:textId="77777777" w:rsidR="00FC35AA" w:rsidRPr="002E117D" w:rsidRDefault="00FC35AA" w:rsidP="00FC35AA">
      <w:pPr>
        <w:pStyle w:val="FootnoteText"/>
      </w:pPr>
      <w:r>
        <w:rPr>
          <w:rStyle w:val="FootnoteReference"/>
        </w:rPr>
        <w:footnoteRef/>
      </w:r>
      <w:r>
        <w:t xml:space="preserve"> </w:t>
      </w:r>
      <w:r w:rsidRPr="002E117D">
        <w:t xml:space="preserve">Essential Services Commission, Reviewing the Energy Retail Code of Practice, </w:t>
      </w:r>
      <w:hyperlink r:id="rId1" w:history="1">
        <w:r w:rsidRPr="002E117D">
          <w:rPr>
            <w:rStyle w:val="Hyperlink"/>
          </w:rPr>
          <w:t>https://www.esc.vic.gov.au/electricity-and-gas/codes-guidelines-and-policies/energy-retail-code-practice/reviewing-energy-retail-code-practice</w:t>
        </w:r>
      </w:hyperlink>
      <w:r w:rsidRPr="002E117D">
        <w:t xml:space="preserve">. </w:t>
      </w:r>
      <w:r w:rsidRPr="0082624F">
        <w:t>Accessed 10 March 2025.</w:t>
      </w:r>
    </w:p>
  </w:footnote>
  <w:footnote w:id="24">
    <w:p w14:paraId="395254CD" w14:textId="77777777" w:rsidR="00FC35AA" w:rsidRDefault="00FC35AA" w:rsidP="00FC35AA">
      <w:pPr>
        <w:pStyle w:val="FootnoteText"/>
      </w:pPr>
      <w:r w:rsidRPr="002E117D">
        <w:rPr>
          <w:rStyle w:val="FootnoteReference"/>
        </w:rPr>
        <w:footnoteRef/>
      </w:r>
      <w:r w:rsidRPr="002E117D">
        <w:t xml:space="preserve"> This follows</w:t>
      </w:r>
      <w:r w:rsidRPr="00610458">
        <w:t xml:space="preserve"> a package of energy consumer reforms proposed by the Energy and Climate Change Ministerial Council (ECMC) on 19 July 2024, which submitted several related rule change requests to the Australian Energy Market Commission.</w:t>
      </w:r>
    </w:p>
  </w:footnote>
  <w:footnote w:id="25">
    <w:p w14:paraId="47BA9919" w14:textId="0C74C4B8" w:rsidR="00902ACE" w:rsidRPr="00F52FD1" w:rsidRDefault="00902ACE" w:rsidP="00902ACE">
      <w:pPr>
        <w:pStyle w:val="FootnoteText"/>
      </w:pPr>
      <w:r w:rsidRPr="001F59A8">
        <w:rPr>
          <w:rStyle w:val="FootnoteReference"/>
        </w:rPr>
        <w:footnoteRef/>
      </w:r>
      <w:r w:rsidRPr="001F59A8">
        <w:t xml:space="preserve"> </w:t>
      </w:r>
      <w:r w:rsidRPr="00F52FD1">
        <w:t xml:space="preserve">Energy Retail Code of Practice, Version </w:t>
      </w:r>
      <w:r w:rsidR="00E13B4B" w:rsidRPr="00F52FD1">
        <w:t>3</w:t>
      </w:r>
      <w:r w:rsidRPr="00F52FD1">
        <w:t>, 1 October 202</w:t>
      </w:r>
      <w:r w:rsidR="00E13B4B" w:rsidRPr="00F52FD1">
        <w:t>4</w:t>
      </w:r>
      <w:r w:rsidRPr="00F52FD1">
        <w:t xml:space="preserve">, </w:t>
      </w:r>
      <w:r w:rsidR="00E13B4B" w:rsidRPr="00F52FD1">
        <w:t>P</w:t>
      </w:r>
      <w:r w:rsidRPr="00F52FD1">
        <w:t xml:space="preserve">art 5, </w:t>
      </w:r>
      <w:r w:rsidR="00E13B4B" w:rsidRPr="00F52FD1">
        <w:t>D</w:t>
      </w:r>
      <w:r w:rsidRPr="00F52FD1">
        <w:t>ivision 5</w:t>
      </w:r>
      <w:r w:rsidR="00E13B4B" w:rsidRPr="00F52FD1">
        <w:t>.</w:t>
      </w:r>
      <w:r w:rsidR="00486595" w:rsidRPr="00F52FD1">
        <w:t xml:space="preserve"> Energy Retail Code of Practice, Version 3, 1 October 2024, Part</w:t>
      </w:r>
      <w:r w:rsidR="002F4A2C">
        <w:t xml:space="preserve"> 5 and Part</w:t>
      </w:r>
      <w:r w:rsidR="00486595" w:rsidRPr="00F52FD1">
        <w:t xml:space="preserve"> 6.</w:t>
      </w:r>
    </w:p>
  </w:footnote>
  <w:footnote w:id="26">
    <w:p w14:paraId="3442915B" w14:textId="43866820" w:rsidR="00751C1A" w:rsidRPr="00F52FD1" w:rsidRDefault="00751C1A" w:rsidP="00751C1A">
      <w:pPr>
        <w:pStyle w:val="FootnoteText"/>
      </w:pPr>
      <w:r w:rsidRPr="00F52FD1">
        <w:rPr>
          <w:rStyle w:val="FootnoteReference"/>
        </w:rPr>
        <w:footnoteRef/>
      </w:r>
      <w:r w:rsidRPr="00F52FD1">
        <w:t xml:space="preserve"> Energy Retail Code of Practice, Version </w:t>
      </w:r>
      <w:r w:rsidR="00015887" w:rsidRPr="00F52FD1">
        <w:t>3</w:t>
      </w:r>
      <w:r w:rsidRPr="00F52FD1">
        <w:t>, 1 October 202</w:t>
      </w:r>
      <w:r w:rsidR="00015887" w:rsidRPr="00F52FD1">
        <w:t>4</w:t>
      </w:r>
      <w:r w:rsidRPr="00F52FD1">
        <w:t>, Division 12, 128(</w:t>
      </w:r>
      <w:proofErr w:type="gramStart"/>
      <w:r w:rsidRPr="00F52FD1">
        <w:t>1)(</w:t>
      </w:r>
      <w:proofErr w:type="gramEnd"/>
      <w:r w:rsidRPr="00F52FD1">
        <w:t>d</w:t>
      </w:r>
      <w:r w:rsidR="006573F7" w:rsidRPr="00F52FD1">
        <w:t>-e</w:t>
      </w:r>
      <w:r w:rsidRPr="00F52FD1">
        <w:t>).</w:t>
      </w:r>
    </w:p>
  </w:footnote>
  <w:footnote w:id="27">
    <w:p w14:paraId="35930CCE" w14:textId="6340D356" w:rsidR="00A80477" w:rsidRPr="001F59A8" w:rsidRDefault="00A80477">
      <w:pPr>
        <w:pStyle w:val="FootnoteText"/>
      </w:pPr>
      <w:r w:rsidRPr="00F52FD1">
        <w:rPr>
          <w:rStyle w:val="FootnoteReference"/>
        </w:rPr>
        <w:footnoteRef/>
      </w:r>
      <w:r w:rsidRPr="00F52FD1">
        <w:t xml:space="preserve"> Victorian Government, </w:t>
      </w:r>
      <w:hyperlink r:id="rId2" w:history="1">
        <w:r w:rsidRPr="00F52FD1">
          <w:rPr>
            <w:rStyle w:val="Hyperlink"/>
          </w:rPr>
          <w:t>Energy Bill Relief</w:t>
        </w:r>
        <w:r w:rsidR="00A94F6A" w:rsidRPr="00F52FD1">
          <w:rPr>
            <w:rStyle w:val="Hyperlink"/>
          </w:rPr>
          <w:t xml:space="preserve"> Fu</w:t>
        </w:r>
        <w:bookmarkStart w:id="39" w:name="_Hlt194931235"/>
        <w:bookmarkStart w:id="40" w:name="_Hlt194931236"/>
        <w:r w:rsidR="00A94F6A" w:rsidRPr="00F52FD1">
          <w:rPr>
            <w:rStyle w:val="Hyperlink"/>
          </w:rPr>
          <w:t>n</w:t>
        </w:r>
        <w:bookmarkEnd w:id="39"/>
        <w:bookmarkEnd w:id="40"/>
        <w:r w:rsidR="00A94F6A" w:rsidRPr="00F52FD1">
          <w:rPr>
            <w:rStyle w:val="Hyperlink"/>
          </w:rPr>
          <w:t>d</w:t>
        </w:r>
      </w:hyperlink>
      <w:r w:rsidR="00A94F6A" w:rsidRPr="00F52FD1">
        <w:t xml:space="preserve"> for households and small business, accessed</w:t>
      </w:r>
      <w:r w:rsidR="00A94F6A" w:rsidRPr="001F59A8">
        <w:t xml:space="preserve"> </w:t>
      </w:r>
      <w:r w:rsidR="00484168">
        <w:t>4 May</w:t>
      </w:r>
      <w:r w:rsidR="00A94F6A" w:rsidRPr="001F59A8">
        <w:t xml:space="preserve"> 2025. </w:t>
      </w:r>
    </w:p>
  </w:footnote>
  <w:footnote w:id="28">
    <w:p w14:paraId="49CAA51C" w14:textId="0D3A5035" w:rsidR="00E01C7A" w:rsidRDefault="00E01C7A" w:rsidP="00E01C7A">
      <w:pPr>
        <w:pStyle w:val="FootnoteText"/>
      </w:pPr>
      <w:r w:rsidRPr="001D7FF1">
        <w:rPr>
          <w:rStyle w:val="FootnoteReference"/>
        </w:rPr>
        <w:footnoteRef/>
      </w:r>
      <w:r w:rsidRPr="001D7FF1">
        <w:t xml:space="preserve"> Victorian Government, </w:t>
      </w:r>
      <w:hyperlink r:id="rId3" w:history="1">
        <w:r w:rsidRPr="001D7FF1">
          <w:rPr>
            <w:rStyle w:val="Hyperlink"/>
          </w:rPr>
          <w:t>Victorian Budget 2025/26; Helping Victorians reduce power bills</w:t>
        </w:r>
      </w:hyperlink>
      <w:r w:rsidRPr="001D7FF1">
        <w:t>, access</w:t>
      </w:r>
      <w:r w:rsidR="00BB4D03">
        <w:t>ed</w:t>
      </w:r>
      <w:r w:rsidRPr="001D7FF1">
        <w:t xml:space="preserve"> 21 May 2025.</w:t>
      </w:r>
      <w:r>
        <w:t xml:space="preserve"> </w:t>
      </w:r>
    </w:p>
  </w:footnote>
  <w:footnote w:id="29">
    <w:p w14:paraId="5D818D50" w14:textId="21DF960E" w:rsidR="00DF7838" w:rsidRPr="001F59A8" w:rsidRDefault="00DF7838" w:rsidP="00DF7838">
      <w:pPr>
        <w:pStyle w:val="FootnoteText"/>
      </w:pPr>
      <w:r w:rsidRPr="001F59A8">
        <w:rPr>
          <w:rStyle w:val="FootnoteReference"/>
        </w:rPr>
        <w:footnoteRef/>
      </w:r>
      <w:r w:rsidRPr="001F59A8">
        <w:t xml:space="preserve"> </w:t>
      </w:r>
      <w:r w:rsidR="00400AED" w:rsidRPr="001F59A8">
        <w:t xml:space="preserve">Consumer Action Law Centre, submission to the Essential Services Commission, </w:t>
      </w:r>
      <w:r w:rsidR="00400AED" w:rsidRPr="001F59A8">
        <w:rPr>
          <w:i/>
          <w:iCs/>
        </w:rPr>
        <w:t>Victorian Default Offer 2025–26: Draft Decision Paper</w:t>
      </w:r>
      <w:r w:rsidR="00400AED" w:rsidRPr="001F59A8">
        <w:t>, April 2025, p</w:t>
      </w:r>
      <w:r w:rsidR="009C4C45" w:rsidRPr="001F59A8">
        <w:t>. 12</w:t>
      </w:r>
      <w:r w:rsidR="00400AED" w:rsidRPr="001F59A8">
        <w:t xml:space="preserve">; Joint submission from Victorian Council of Social Service, Brotherhood of St Laurence, Consumer Action Law Centre, Council </w:t>
      </w:r>
      <w:r w:rsidR="003A77AD">
        <w:t>on</w:t>
      </w:r>
      <w:r w:rsidR="003A77AD" w:rsidRPr="001F59A8">
        <w:t xml:space="preserve"> </w:t>
      </w:r>
      <w:r w:rsidR="003A77AD">
        <w:t>t</w:t>
      </w:r>
      <w:r w:rsidR="003A77AD" w:rsidRPr="001F59A8">
        <w:t>he</w:t>
      </w:r>
      <w:r w:rsidR="00400AED" w:rsidRPr="001F59A8">
        <w:t xml:space="preserve"> Ageing Victoria, Energy Consumers Australia, Financial Counselling Victoria Inc</w:t>
      </w:r>
      <w:r w:rsidR="00BA4B00">
        <w:t>.</w:t>
      </w:r>
      <w:r w:rsidR="00400AED" w:rsidRPr="001F59A8">
        <w:t xml:space="preserve">, Uniting, submission to the Essential Services Commission, </w:t>
      </w:r>
      <w:r w:rsidR="00400AED" w:rsidRPr="001F59A8">
        <w:rPr>
          <w:i/>
          <w:iCs/>
        </w:rPr>
        <w:t>Victorian Default Offer 2025–26: Draft Decision Paper</w:t>
      </w:r>
      <w:r w:rsidR="00400AED" w:rsidRPr="001F59A8">
        <w:t>, April 2025, pp</w:t>
      </w:r>
      <w:r w:rsidR="001C472D" w:rsidRPr="001F59A8">
        <w:t>.</w:t>
      </w:r>
      <w:r w:rsidR="00400AED" w:rsidRPr="001F59A8">
        <w:t xml:space="preserve"> </w:t>
      </w:r>
      <w:r w:rsidR="00CC7EFF" w:rsidRPr="001F59A8">
        <w:t>2, 11</w:t>
      </w:r>
      <w:r w:rsidR="009C4C45" w:rsidRPr="001F59A8">
        <w:t>.</w:t>
      </w:r>
    </w:p>
  </w:footnote>
  <w:footnote w:id="30">
    <w:p w14:paraId="6B81E381" w14:textId="77777777" w:rsidR="00C920FF" w:rsidRPr="001F59A8" w:rsidRDefault="00C920FF" w:rsidP="00C920FF">
      <w:pPr>
        <w:pStyle w:val="FootnoteText"/>
      </w:pPr>
      <w:r w:rsidRPr="001F59A8">
        <w:rPr>
          <w:rStyle w:val="FootnoteReference"/>
        </w:rPr>
        <w:footnoteRef/>
      </w:r>
      <w:r w:rsidRPr="001F59A8">
        <w:t xml:space="preserve"> Clause 12(3) of the pricing order.</w:t>
      </w:r>
    </w:p>
  </w:footnote>
  <w:footnote w:id="31">
    <w:p w14:paraId="7101C5EB" w14:textId="77777777" w:rsidR="00C920FF" w:rsidRPr="001F59A8" w:rsidRDefault="00C920FF" w:rsidP="00C920FF">
      <w:pPr>
        <w:pStyle w:val="FootnoteText"/>
      </w:pPr>
      <w:r w:rsidRPr="001F59A8">
        <w:rPr>
          <w:rStyle w:val="FootnoteReference"/>
        </w:rPr>
        <w:footnoteRef/>
      </w:r>
      <w:r w:rsidRPr="001F59A8">
        <w:t xml:space="preserve"> Clause 12(4) of the pricing order.</w:t>
      </w:r>
    </w:p>
  </w:footnote>
  <w:footnote w:id="32">
    <w:p w14:paraId="227E2941" w14:textId="77777777" w:rsidR="00735E08" w:rsidRPr="001F59A8" w:rsidRDefault="00735E08" w:rsidP="00735E08">
      <w:pPr>
        <w:pStyle w:val="FootnoteText"/>
      </w:pPr>
      <w:r w:rsidRPr="001F59A8">
        <w:rPr>
          <w:rStyle w:val="FootnoteReference"/>
        </w:rPr>
        <w:footnoteRef/>
      </w:r>
      <w:r w:rsidRPr="001F59A8">
        <w:t xml:space="preserve"> </w:t>
      </w:r>
      <w:r w:rsidRPr="001F59A8">
        <w:rPr>
          <w:szCs w:val="18"/>
        </w:rPr>
        <w:t xml:space="preserve">Clause 12(4)(b) of the pricing order. </w:t>
      </w:r>
      <w:r w:rsidRPr="001F59A8">
        <w:t xml:space="preserve"> </w:t>
      </w:r>
    </w:p>
  </w:footnote>
  <w:footnote w:id="33">
    <w:p w14:paraId="5A873BFA" w14:textId="424FB213" w:rsidR="007A4D78" w:rsidRPr="001F59A8" w:rsidRDefault="007A4D78" w:rsidP="007A4D78">
      <w:pPr>
        <w:pStyle w:val="FootnoteText"/>
      </w:pPr>
      <w:r w:rsidRPr="001F59A8">
        <w:rPr>
          <w:rStyle w:val="FootnoteReference"/>
        </w:rPr>
        <w:footnoteRef/>
      </w:r>
      <w:r w:rsidRPr="001F59A8">
        <w:t xml:space="preserve"> We amended the 2021 Victorian Default Offer price determination in July 2021 to incorporate a two-period time of use tariff. </w:t>
      </w:r>
    </w:p>
  </w:footnote>
  <w:footnote w:id="34">
    <w:p w14:paraId="28776163" w14:textId="6D37B4BB" w:rsidR="00EC1A23" w:rsidRPr="001F59A8" w:rsidRDefault="00EC1A23">
      <w:pPr>
        <w:pStyle w:val="FootnoteText"/>
        <w:rPr>
          <w:highlight w:val="yellow"/>
        </w:rPr>
      </w:pPr>
      <w:r w:rsidRPr="001F59A8">
        <w:rPr>
          <w:rStyle w:val="FootnoteReference"/>
        </w:rPr>
        <w:footnoteRef/>
      </w:r>
      <w:r w:rsidRPr="001F59A8">
        <w:t xml:space="preserve"> </w:t>
      </w:r>
      <w:r w:rsidR="00393555" w:rsidRPr="001F59A8">
        <w:t xml:space="preserve"> </w:t>
      </w:r>
      <w:hyperlink r:id="rId4" w:history="1">
        <w:r w:rsidR="00610EA7" w:rsidRPr="001F59A8">
          <w:rPr>
            <w:rStyle w:val="Hyperlink"/>
          </w:rPr>
          <w:t>AER 2025–26 pricing proposals for electricity distributors</w:t>
        </w:r>
      </w:hyperlink>
      <w:r w:rsidR="00F20D9F" w:rsidRPr="001F59A8">
        <w:t xml:space="preserve">. Accessed 22 April 2025. </w:t>
      </w:r>
    </w:p>
  </w:footnote>
  <w:footnote w:id="35">
    <w:p w14:paraId="107B69F0" w14:textId="6EC42B4C" w:rsidR="006A0B91" w:rsidRPr="001F59A8" w:rsidRDefault="006A0B91">
      <w:pPr>
        <w:pStyle w:val="FootnoteText"/>
      </w:pPr>
      <w:r w:rsidRPr="001F59A8">
        <w:rPr>
          <w:rStyle w:val="FootnoteReference"/>
        </w:rPr>
        <w:footnoteRef/>
      </w:r>
      <w:r w:rsidRPr="001F59A8">
        <w:t xml:space="preserve"> A cost pass-through is a mechanism through which regulated entities can directly recover costs incurred beyond the reasonable control of the business, such as new statutory obligations or damage to infrastructure caused by a natural disaster.</w:t>
      </w:r>
    </w:p>
  </w:footnote>
  <w:footnote w:id="36">
    <w:p w14:paraId="16EB678A" w14:textId="1AA74641" w:rsidR="00D664C3" w:rsidRDefault="00D664C3">
      <w:pPr>
        <w:pStyle w:val="FootnoteText"/>
      </w:pPr>
      <w:r>
        <w:rPr>
          <w:rStyle w:val="FootnoteReference"/>
        </w:rPr>
        <w:footnoteRef/>
      </w:r>
      <w:r>
        <w:t xml:space="preserve"> For Jemena, lower network tariffs for </w:t>
      </w:r>
      <w:r w:rsidRPr="00A158C0">
        <w:t>2025</w:t>
      </w:r>
      <w:r w:rsidR="00A158C0" w:rsidRPr="00A158C0">
        <w:t>–</w:t>
      </w:r>
      <w:r w:rsidRPr="00A158C0">
        <w:t>26</w:t>
      </w:r>
      <w:r>
        <w:t xml:space="preserve"> reflect that return of previously over-recovered revenues wholly offsets other drivers as </w:t>
      </w:r>
      <w:r w:rsidR="009B39AE">
        <w:t>a</w:t>
      </w:r>
      <w:r w:rsidRPr="00BF21CF">
        <w:t xml:space="preserve">dvised by the Australian Energy Regulator via email on </w:t>
      </w:r>
      <w:r>
        <w:t>1</w:t>
      </w:r>
      <w:r w:rsidR="00CB1BB0">
        <w:t>4</w:t>
      </w:r>
      <w:r>
        <w:t xml:space="preserve"> May</w:t>
      </w:r>
      <w:r w:rsidRPr="00BF21CF">
        <w:t xml:space="preserve"> 2025</w:t>
      </w:r>
      <w:r w:rsidR="00D73EA6">
        <w:t>.</w:t>
      </w:r>
    </w:p>
  </w:footnote>
  <w:footnote w:id="37">
    <w:p w14:paraId="4A67A40A" w14:textId="30CCD027" w:rsidR="001607A0" w:rsidRPr="001F59A8" w:rsidRDefault="001607A0">
      <w:pPr>
        <w:pStyle w:val="FootnoteText"/>
      </w:pPr>
      <w:r w:rsidRPr="001F59A8">
        <w:rPr>
          <w:rStyle w:val="FootnoteReference"/>
        </w:rPr>
        <w:footnoteRef/>
      </w:r>
      <w:r w:rsidRPr="001F59A8">
        <w:t xml:space="preserve"> Values in the table may not sum to exact total due to rounding</w:t>
      </w:r>
      <w:r w:rsidR="00D73EA6">
        <w:t>.</w:t>
      </w:r>
    </w:p>
  </w:footnote>
  <w:footnote w:id="38">
    <w:p w14:paraId="2114A5D2" w14:textId="7AC2C7FE" w:rsidR="005F3989" w:rsidRPr="00A158C0" w:rsidRDefault="005F3989" w:rsidP="000E5D50">
      <w:pPr>
        <w:rPr>
          <w:sz w:val="18"/>
          <w:szCs w:val="20"/>
        </w:rPr>
      </w:pPr>
      <w:r w:rsidRPr="001F59A8">
        <w:rPr>
          <w:rStyle w:val="FootnoteReference"/>
        </w:rPr>
        <w:footnoteRef/>
      </w:r>
      <w:r w:rsidRPr="001F59A8">
        <w:t xml:space="preserve"> </w:t>
      </w:r>
      <w:r w:rsidR="00834105" w:rsidRPr="00834105">
        <w:rPr>
          <w:rStyle w:val="FootnoteTextChar"/>
        </w:rPr>
        <w:t xml:space="preserve">On 15 October 2024 Jemena applied to the Australian Energy Regulator to revoke and substitute its distribution determination for the </w:t>
      </w:r>
      <w:r w:rsidR="00834105" w:rsidRPr="00A158C0">
        <w:rPr>
          <w:rStyle w:val="FootnoteTextChar"/>
        </w:rPr>
        <w:t>2021</w:t>
      </w:r>
      <w:r w:rsidR="00A158C0" w:rsidRPr="00A158C0">
        <w:rPr>
          <w:rStyle w:val="FootnoteTextChar"/>
        </w:rPr>
        <w:t>–</w:t>
      </w:r>
      <w:r w:rsidR="00834105" w:rsidRPr="00A158C0">
        <w:rPr>
          <w:rStyle w:val="FootnoteTextChar"/>
        </w:rPr>
        <w:t>26</w:t>
      </w:r>
      <w:r w:rsidR="00834105" w:rsidRPr="00834105">
        <w:rPr>
          <w:rStyle w:val="FootnoteTextChar"/>
        </w:rPr>
        <w:t xml:space="preserve"> regulatory control period, to adjust the total forecast capital expenditure approved in the April 2021 final </w:t>
      </w:r>
      <w:r w:rsidR="00834105" w:rsidRPr="008301C9">
        <w:rPr>
          <w:rStyle w:val="FootnoteTextChar"/>
        </w:rPr>
        <w:t xml:space="preserve">decision. </w:t>
      </w:r>
      <w:r w:rsidR="00EB4C85" w:rsidRPr="008301C9">
        <w:rPr>
          <w:rStyle w:val="FootnoteTextChar"/>
        </w:rPr>
        <w:t>On 14 May 20</w:t>
      </w:r>
      <w:r w:rsidR="00951596" w:rsidRPr="008301C9">
        <w:rPr>
          <w:rStyle w:val="FootnoteTextChar"/>
        </w:rPr>
        <w:t>2</w:t>
      </w:r>
      <w:r w:rsidR="00EB4C85" w:rsidRPr="008301C9">
        <w:rPr>
          <w:rStyle w:val="FootnoteTextChar"/>
        </w:rPr>
        <w:t xml:space="preserve">5, </w:t>
      </w:r>
      <w:r w:rsidR="00EB4C85" w:rsidRPr="008301C9">
        <w:rPr>
          <w:sz w:val="18"/>
          <w:szCs w:val="20"/>
        </w:rPr>
        <w:t>t</w:t>
      </w:r>
      <w:r w:rsidR="00834105" w:rsidRPr="008301C9">
        <w:rPr>
          <w:sz w:val="18"/>
          <w:szCs w:val="20"/>
        </w:rPr>
        <w:t xml:space="preserve">he </w:t>
      </w:r>
      <w:r w:rsidR="00BD60EE" w:rsidRPr="008301C9">
        <w:rPr>
          <w:sz w:val="18"/>
          <w:szCs w:val="20"/>
        </w:rPr>
        <w:t>AER</w:t>
      </w:r>
      <w:r w:rsidR="00834105" w:rsidRPr="008301C9">
        <w:rPr>
          <w:sz w:val="18"/>
          <w:szCs w:val="20"/>
        </w:rPr>
        <w:t xml:space="preserve"> has approved the </w:t>
      </w:r>
      <w:r w:rsidR="00773D3C" w:rsidRPr="008301C9">
        <w:rPr>
          <w:sz w:val="18"/>
          <w:szCs w:val="20"/>
        </w:rPr>
        <w:t>pricing proposal</w:t>
      </w:r>
      <w:r w:rsidR="00834105" w:rsidRPr="008301C9">
        <w:rPr>
          <w:sz w:val="18"/>
          <w:szCs w:val="20"/>
        </w:rPr>
        <w:t xml:space="preserve"> provided by Jemena without </w:t>
      </w:r>
      <w:r w:rsidR="00BD60EE" w:rsidRPr="008301C9">
        <w:rPr>
          <w:sz w:val="18"/>
          <w:szCs w:val="20"/>
        </w:rPr>
        <w:t>its proposed adjustments to the forecast capital expenditure</w:t>
      </w:r>
      <w:r w:rsidR="00834105" w:rsidRPr="008301C9">
        <w:rPr>
          <w:sz w:val="18"/>
          <w:szCs w:val="20"/>
        </w:rPr>
        <w:t xml:space="preserve">, therefore this is the </w:t>
      </w:r>
      <w:r w:rsidR="00BD60EE" w:rsidRPr="008301C9">
        <w:rPr>
          <w:sz w:val="18"/>
          <w:szCs w:val="20"/>
        </w:rPr>
        <w:t xml:space="preserve">network cost </w:t>
      </w:r>
      <w:r w:rsidR="00834105" w:rsidRPr="008301C9">
        <w:rPr>
          <w:sz w:val="18"/>
          <w:szCs w:val="20"/>
        </w:rPr>
        <w:t>scenario considered by the commission in the 2025</w:t>
      </w:r>
      <w:r w:rsidR="00BD60EE" w:rsidRPr="008301C9">
        <w:rPr>
          <w:sz w:val="18"/>
          <w:szCs w:val="20"/>
        </w:rPr>
        <w:t>-</w:t>
      </w:r>
      <w:r w:rsidR="00834105" w:rsidRPr="008301C9">
        <w:rPr>
          <w:sz w:val="18"/>
          <w:szCs w:val="20"/>
        </w:rPr>
        <w:t xml:space="preserve">26 </w:t>
      </w:r>
      <w:r w:rsidR="00BD60EE" w:rsidRPr="008301C9">
        <w:rPr>
          <w:sz w:val="18"/>
          <w:szCs w:val="20"/>
        </w:rPr>
        <w:t>VDO</w:t>
      </w:r>
      <w:r w:rsidR="00F86B80" w:rsidRPr="008301C9">
        <w:rPr>
          <w:sz w:val="18"/>
          <w:szCs w:val="20"/>
        </w:rPr>
        <w:t>.</w:t>
      </w:r>
    </w:p>
  </w:footnote>
  <w:footnote w:id="39">
    <w:p w14:paraId="422A2520" w14:textId="22A7687D" w:rsidR="00333109" w:rsidRPr="001F59A8" w:rsidRDefault="00333109">
      <w:pPr>
        <w:pStyle w:val="FootnoteText"/>
      </w:pPr>
      <w:r w:rsidRPr="00BB32C7">
        <w:rPr>
          <w:rStyle w:val="FootnoteReference"/>
        </w:rPr>
        <w:footnoteRef/>
      </w:r>
      <w:r w:rsidRPr="00BB32C7">
        <w:t xml:space="preserve"> </w:t>
      </w:r>
      <w:r w:rsidR="004254A3" w:rsidRPr="00BB32C7">
        <w:t>AGL</w:t>
      </w:r>
      <w:r w:rsidR="003F6C0F" w:rsidRPr="00BB32C7">
        <w:t>, submission</w:t>
      </w:r>
      <w:r w:rsidR="002E3BBC" w:rsidRPr="00BB32C7">
        <w:t xml:space="preserve"> to the Essential Services Commission </w:t>
      </w:r>
      <w:r w:rsidR="002E3BBC" w:rsidRPr="00BB32C7">
        <w:rPr>
          <w:i/>
          <w:iCs/>
        </w:rPr>
        <w:t>2025</w:t>
      </w:r>
      <w:r w:rsidR="00192FAB" w:rsidRPr="00BB32C7">
        <w:rPr>
          <w:i/>
          <w:iCs/>
        </w:rPr>
        <w:t>–</w:t>
      </w:r>
      <w:r w:rsidR="002E3BBC" w:rsidRPr="00BB32C7">
        <w:rPr>
          <w:i/>
        </w:rPr>
        <w:t xml:space="preserve">26 Victorian Default Offer: </w:t>
      </w:r>
      <w:r w:rsidR="00EF0D42" w:rsidRPr="00BB32C7">
        <w:rPr>
          <w:i/>
        </w:rPr>
        <w:t>Draft</w:t>
      </w:r>
      <w:r w:rsidR="00246491" w:rsidRPr="00BB32C7">
        <w:rPr>
          <w:i/>
        </w:rPr>
        <w:t xml:space="preserve"> Decision Paper</w:t>
      </w:r>
      <w:r w:rsidR="002E3BBC" w:rsidRPr="00BB32C7">
        <w:rPr>
          <w:i/>
        </w:rPr>
        <w:t xml:space="preserve"> </w:t>
      </w:r>
      <w:r w:rsidR="00246491" w:rsidRPr="00BB32C7">
        <w:t>April 2025</w:t>
      </w:r>
      <w:r w:rsidR="002E3BBC" w:rsidRPr="00BB32C7">
        <w:t xml:space="preserve"> p</w:t>
      </w:r>
      <w:r w:rsidR="00B1140A" w:rsidRPr="00BB32C7">
        <w:t>p.</w:t>
      </w:r>
      <w:r w:rsidR="002E3BBC" w:rsidRPr="00BB32C7">
        <w:t xml:space="preserve"> </w:t>
      </w:r>
      <w:r w:rsidR="00EF0D42" w:rsidRPr="00BB32C7">
        <w:t>1</w:t>
      </w:r>
      <w:r w:rsidR="00192FAB" w:rsidRPr="00BB32C7">
        <w:rPr>
          <w:i/>
          <w:iCs/>
        </w:rPr>
        <w:t>–</w:t>
      </w:r>
      <w:r w:rsidR="00EF0D42" w:rsidRPr="00BB32C7">
        <w:t>2</w:t>
      </w:r>
      <w:r w:rsidR="003F6C0F" w:rsidRPr="00BB32C7">
        <w:t>;</w:t>
      </w:r>
      <w:r w:rsidR="00C46627" w:rsidRPr="00BB32C7">
        <w:t xml:space="preserve"> 1</w:t>
      </w:r>
      <w:r w:rsidR="00C46627" w:rsidRPr="00BB32C7">
        <w:rPr>
          <w:vertAlign w:val="superscript"/>
        </w:rPr>
        <w:t>st</w:t>
      </w:r>
      <w:r w:rsidR="00C46627" w:rsidRPr="00BB32C7">
        <w:t xml:space="preserve"> Energy</w:t>
      </w:r>
      <w:r w:rsidR="003F6C0F" w:rsidRPr="00BB32C7">
        <w:t>, submission</w:t>
      </w:r>
      <w:r w:rsidR="002E3BBC" w:rsidRPr="00BB32C7">
        <w:t xml:space="preserve"> to the Essential Services Commission </w:t>
      </w:r>
      <w:r w:rsidR="002E3BBC" w:rsidRPr="00BB32C7">
        <w:rPr>
          <w:i/>
          <w:iCs/>
        </w:rPr>
        <w:t>2025</w:t>
      </w:r>
      <w:r w:rsidR="00192FAB" w:rsidRPr="00BB32C7">
        <w:rPr>
          <w:i/>
          <w:iCs/>
        </w:rPr>
        <w:t>–</w:t>
      </w:r>
      <w:r w:rsidR="002E3BBC" w:rsidRPr="00BB32C7">
        <w:rPr>
          <w:i/>
        </w:rPr>
        <w:t xml:space="preserve">26 Victorian Default Offer: </w:t>
      </w:r>
      <w:r w:rsidR="00EF0D42" w:rsidRPr="00BB32C7">
        <w:rPr>
          <w:i/>
        </w:rPr>
        <w:t>Draft</w:t>
      </w:r>
      <w:r w:rsidR="00246491" w:rsidRPr="00BB32C7">
        <w:rPr>
          <w:i/>
        </w:rPr>
        <w:t xml:space="preserve"> Decision Paper</w:t>
      </w:r>
      <w:r w:rsidR="002E3BBC" w:rsidRPr="00BB32C7">
        <w:rPr>
          <w:i/>
        </w:rPr>
        <w:t xml:space="preserve"> </w:t>
      </w:r>
      <w:r w:rsidR="00246491" w:rsidRPr="00BB32C7">
        <w:t>April 2025</w:t>
      </w:r>
      <w:r w:rsidR="002E3BBC" w:rsidRPr="00BB32C7">
        <w:t xml:space="preserve"> p</w:t>
      </w:r>
      <w:r w:rsidR="00B1140A" w:rsidRPr="00BB32C7">
        <w:t>.</w:t>
      </w:r>
      <w:r w:rsidR="00C46627" w:rsidRPr="00BB32C7">
        <w:t xml:space="preserve"> 2</w:t>
      </w:r>
      <w:r w:rsidR="003F6C0F" w:rsidRPr="00BB32C7">
        <w:t>;</w:t>
      </w:r>
      <w:r w:rsidR="00C46627" w:rsidRPr="00BB32C7">
        <w:t xml:space="preserve"> A</w:t>
      </w:r>
      <w:r w:rsidR="00316144" w:rsidRPr="00BB32C7">
        <w:t>linta Energy</w:t>
      </w:r>
      <w:r w:rsidR="003F6C0F" w:rsidRPr="00BB32C7">
        <w:t>, submission</w:t>
      </w:r>
      <w:r w:rsidR="00C46627" w:rsidRPr="00BB32C7">
        <w:t xml:space="preserve"> to the Essential Services Commission </w:t>
      </w:r>
      <w:r w:rsidR="00C46627" w:rsidRPr="00BB32C7">
        <w:rPr>
          <w:i/>
          <w:iCs/>
        </w:rPr>
        <w:t>2025</w:t>
      </w:r>
      <w:r w:rsidR="00192FAB" w:rsidRPr="00BB32C7">
        <w:rPr>
          <w:i/>
          <w:iCs/>
        </w:rPr>
        <w:t>–</w:t>
      </w:r>
      <w:r w:rsidR="00C46627" w:rsidRPr="00BB32C7">
        <w:rPr>
          <w:i/>
        </w:rPr>
        <w:t>26 Victorian Default Offer: Draft Decision Paper</w:t>
      </w:r>
      <w:r w:rsidR="00AC607D" w:rsidRPr="00BB32C7">
        <w:rPr>
          <w:i/>
        </w:rPr>
        <w:t>,</w:t>
      </w:r>
      <w:r w:rsidR="00C46627" w:rsidRPr="00BB32C7">
        <w:rPr>
          <w:i/>
        </w:rPr>
        <w:t xml:space="preserve"> </w:t>
      </w:r>
      <w:r w:rsidR="00C46627" w:rsidRPr="00BB32C7">
        <w:t>April 2025</w:t>
      </w:r>
      <w:r w:rsidR="00AC607D" w:rsidRPr="00BB32C7">
        <w:t>,</w:t>
      </w:r>
      <w:r w:rsidR="00C46627" w:rsidRPr="00BB32C7">
        <w:t xml:space="preserve"> p</w:t>
      </w:r>
      <w:r w:rsidR="003F6C0F" w:rsidRPr="00BB32C7">
        <w:t>p.</w:t>
      </w:r>
      <w:r w:rsidR="00C46627" w:rsidRPr="00BB32C7">
        <w:t xml:space="preserve"> </w:t>
      </w:r>
      <w:r w:rsidR="00292DD8" w:rsidRPr="00BB32C7">
        <w:t>1</w:t>
      </w:r>
      <w:r w:rsidR="00192FAB" w:rsidRPr="00BB32C7">
        <w:rPr>
          <w:i/>
          <w:iCs/>
        </w:rPr>
        <w:t>–</w:t>
      </w:r>
      <w:r w:rsidR="00292DD8" w:rsidRPr="00BB32C7">
        <w:t>3</w:t>
      </w:r>
      <w:r w:rsidR="000523F0">
        <w:t>;</w:t>
      </w:r>
      <w:r w:rsidR="00292DD8" w:rsidRPr="00BB32C7">
        <w:t xml:space="preserve"> </w:t>
      </w:r>
      <w:r w:rsidR="00F9694B" w:rsidRPr="00BB32C7">
        <w:t>Origin Energy</w:t>
      </w:r>
      <w:r w:rsidR="003F6C0F" w:rsidRPr="00BB32C7">
        <w:t>, submission</w:t>
      </w:r>
      <w:r w:rsidR="00292DD8" w:rsidRPr="00BB32C7">
        <w:t xml:space="preserve"> to the Essential Services Commission </w:t>
      </w:r>
      <w:r w:rsidR="00292DD8" w:rsidRPr="00BB32C7">
        <w:rPr>
          <w:i/>
          <w:iCs/>
        </w:rPr>
        <w:t>2025</w:t>
      </w:r>
      <w:r w:rsidR="00192FAB" w:rsidRPr="00BB32C7">
        <w:rPr>
          <w:i/>
          <w:iCs/>
        </w:rPr>
        <w:t>–</w:t>
      </w:r>
      <w:r w:rsidR="00292DD8" w:rsidRPr="00BB32C7">
        <w:rPr>
          <w:i/>
        </w:rPr>
        <w:t>26 Victorian Default Offer: Draft Decision Paper</w:t>
      </w:r>
      <w:r w:rsidR="00DC45DC" w:rsidRPr="00BB32C7">
        <w:rPr>
          <w:i/>
        </w:rPr>
        <w:t>,</w:t>
      </w:r>
      <w:r w:rsidR="00292DD8" w:rsidRPr="00BB32C7">
        <w:rPr>
          <w:i/>
        </w:rPr>
        <w:t xml:space="preserve"> </w:t>
      </w:r>
      <w:r w:rsidR="00292DD8" w:rsidRPr="00BB32C7">
        <w:t>April 2025</w:t>
      </w:r>
      <w:r w:rsidR="00DC45DC" w:rsidRPr="00BB32C7">
        <w:t>,</w:t>
      </w:r>
      <w:r w:rsidR="00292DD8" w:rsidRPr="00BB32C7">
        <w:t xml:space="preserve"> p</w:t>
      </w:r>
      <w:r w:rsidR="003F6C0F" w:rsidRPr="00BB32C7">
        <w:t>.</w:t>
      </w:r>
      <w:r w:rsidR="00292DD8" w:rsidRPr="00BB32C7">
        <w:t xml:space="preserve"> 2</w:t>
      </w:r>
      <w:r w:rsidR="00F9694B" w:rsidRPr="00BB32C7">
        <w:t xml:space="preserve">, </w:t>
      </w:r>
      <w:r w:rsidR="00667FCE" w:rsidRPr="00BB32C7">
        <w:t>Consumer Action Law Centre</w:t>
      </w:r>
      <w:r w:rsidR="00DC45DC" w:rsidRPr="00BB32C7">
        <w:t>, submission</w:t>
      </w:r>
      <w:r w:rsidR="00667FCE" w:rsidRPr="00BB32C7">
        <w:t xml:space="preserve"> to the Essential Services Commission</w:t>
      </w:r>
      <w:r w:rsidR="00DC45DC" w:rsidRPr="00BB32C7">
        <w:t>,</w:t>
      </w:r>
      <w:r w:rsidR="00667FCE" w:rsidRPr="00BB32C7">
        <w:t xml:space="preserve"> </w:t>
      </w:r>
      <w:r w:rsidR="00667FCE" w:rsidRPr="00BB32C7">
        <w:rPr>
          <w:i/>
          <w:iCs/>
        </w:rPr>
        <w:t>2025</w:t>
      </w:r>
      <w:r w:rsidR="00192FAB" w:rsidRPr="00BB32C7">
        <w:rPr>
          <w:i/>
          <w:iCs/>
        </w:rPr>
        <w:t>–</w:t>
      </w:r>
      <w:r w:rsidR="00667FCE" w:rsidRPr="00BB32C7">
        <w:rPr>
          <w:i/>
        </w:rPr>
        <w:t xml:space="preserve">26 Victorian Default Offer: Draft Decision Paper </w:t>
      </w:r>
      <w:r w:rsidR="00667FCE" w:rsidRPr="00BB32C7">
        <w:t>April 2025 p</w:t>
      </w:r>
      <w:r w:rsidR="0003067E">
        <w:t>.</w:t>
      </w:r>
      <w:r w:rsidR="00667FCE" w:rsidRPr="00BB32C7">
        <w:t xml:space="preserve"> 1</w:t>
      </w:r>
      <w:r w:rsidR="00977B70" w:rsidRPr="00BB32C7">
        <w:t>1</w:t>
      </w:r>
      <w:r w:rsidR="0003067E">
        <w:t>;</w:t>
      </w:r>
      <w:r w:rsidR="00977B70" w:rsidRPr="00BB32C7">
        <w:t xml:space="preserve"> </w:t>
      </w:r>
      <w:r w:rsidR="00DF214F" w:rsidRPr="00BB32C7">
        <w:t xml:space="preserve">Joint </w:t>
      </w:r>
      <w:r w:rsidR="00107C49" w:rsidRPr="00BB32C7">
        <w:t xml:space="preserve">submission from Victorian Council of Social Service, Brotherhood of St Laurence, Consumer Action Law Centre, Council </w:t>
      </w:r>
      <w:r w:rsidR="00192FAB">
        <w:t>on</w:t>
      </w:r>
      <w:r w:rsidR="00192FAB" w:rsidRPr="00BB32C7">
        <w:t xml:space="preserve"> </w:t>
      </w:r>
      <w:r w:rsidR="00192FAB">
        <w:t>t</w:t>
      </w:r>
      <w:r w:rsidR="00192FAB" w:rsidRPr="00BB32C7">
        <w:t>he</w:t>
      </w:r>
      <w:r w:rsidR="00107C49" w:rsidRPr="00BB32C7">
        <w:t xml:space="preserve"> Ageing Victoria, Energy Consumers Australia, Financial Counselling Victoria Inc</w:t>
      </w:r>
      <w:r w:rsidR="00192FAB">
        <w:t>.</w:t>
      </w:r>
      <w:r w:rsidR="00192FAB" w:rsidRPr="00BB32C7">
        <w:t>,</w:t>
      </w:r>
      <w:r w:rsidR="00107C49" w:rsidRPr="00BB32C7">
        <w:t xml:space="preserve"> Uniting, submission</w:t>
      </w:r>
      <w:r w:rsidR="00977B70" w:rsidRPr="00BB32C7">
        <w:t xml:space="preserve"> to the Essential Services Commission</w:t>
      </w:r>
      <w:r w:rsidR="00107C49" w:rsidRPr="00BB32C7">
        <w:t>,</w:t>
      </w:r>
      <w:r w:rsidR="00977B70" w:rsidRPr="00BB32C7">
        <w:t xml:space="preserve"> </w:t>
      </w:r>
      <w:r w:rsidR="00977B70" w:rsidRPr="00BB32C7">
        <w:rPr>
          <w:i/>
        </w:rPr>
        <w:t>Victorian Default Offer</w:t>
      </w:r>
      <w:r w:rsidR="00107C49" w:rsidRPr="00BB32C7">
        <w:rPr>
          <w:i/>
          <w:iCs/>
        </w:rPr>
        <w:t xml:space="preserve"> 2025–26</w:t>
      </w:r>
      <w:r w:rsidR="00977B70" w:rsidRPr="00BB32C7">
        <w:rPr>
          <w:i/>
        </w:rPr>
        <w:t>: Draft Decision Paper</w:t>
      </w:r>
      <w:r w:rsidR="00107C49" w:rsidRPr="00BB32C7">
        <w:t>,</w:t>
      </w:r>
      <w:r w:rsidR="00977B70" w:rsidRPr="00BB32C7">
        <w:t xml:space="preserve"> April 2025</w:t>
      </w:r>
      <w:r w:rsidR="00107C49" w:rsidRPr="00BB32C7">
        <w:t>,</w:t>
      </w:r>
      <w:r w:rsidR="00977B70" w:rsidRPr="00BB32C7">
        <w:t xml:space="preserve"> p</w:t>
      </w:r>
      <w:r w:rsidR="00107C49" w:rsidRPr="00BB32C7">
        <w:t>.</w:t>
      </w:r>
      <w:r w:rsidR="00977B70" w:rsidRPr="00BB32C7">
        <w:t xml:space="preserve"> 7</w:t>
      </w:r>
      <w:r w:rsidR="00192FAB">
        <w:t>.</w:t>
      </w:r>
    </w:p>
  </w:footnote>
  <w:footnote w:id="40">
    <w:p w14:paraId="1EA0DDA2" w14:textId="77777777" w:rsidR="006B7E22" w:rsidRPr="001F59A8" w:rsidRDefault="006B7E22" w:rsidP="006B7E22">
      <w:pPr>
        <w:pStyle w:val="FootnoteText"/>
      </w:pPr>
      <w:r w:rsidRPr="001F59A8">
        <w:rPr>
          <w:rStyle w:val="FootnoteReference"/>
        </w:rPr>
        <w:footnoteRef/>
      </w:r>
      <w:r w:rsidRPr="001F59A8">
        <w:t xml:space="preserve"> Clauses 12(3) and 12(4)(a) of the pricing order.</w:t>
      </w:r>
    </w:p>
  </w:footnote>
  <w:footnote w:id="41">
    <w:p w14:paraId="6A3D8EBB" w14:textId="08390639" w:rsidR="004D70AF" w:rsidRPr="001F59A8" w:rsidRDefault="004D70AF">
      <w:pPr>
        <w:pStyle w:val="FootnoteText"/>
      </w:pPr>
      <w:r w:rsidRPr="001F59A8">
        <w:rPr>
          <w:rStyle w:val="FootnoteReference"/>
        </w:rPr>
        <w:footnoteRef/>
      </w:r>
      <w:r w:rsidRPr="001F59A8">
        <w:t xml:space="preserve"> </w:t>
      </w:r>
      <w:r w:rsidR="00111AF1" w:rsidRPr="001F59A8">
        <w:t xml:space="preserve">Frontier Economics 2025, </w:t>
      </w:r>
      <w:r w:rsidR="00111AF1" w:rsidRPr="001F59A8">
        <w:rPr>
          <w:i/>
          <w:iCs/>
        </w:rPr>
        <w:t>Advice on load profile to use for the VDO:</w:t>
      </w:r>
      <w:r w:rsidR="009B4153" w:rsidRPr="001F59A8">
        <w:rPr>
          <w:i/>
          <w:iCs/>
        </w:rPr>
        <w:t xml:space="preserve"> </w:t>
      </w:r>
      <w:r w:rsidR="00111AF1" w:rsidRPr="001F59A8">
        <w:rPr>
          <w:i/>
          <w:iCs/>
        </w:rPr>
        <w:t xml:space="preserve">A note for the </w:t>
      </w:r>
      <w:r w:rsidR="00111AF1" w:rsidRPr="001F59A8">
        <w:t>ESC, 12 February.</w:t>
      </w:r>
      <w:r w:rsidRPr="001F59A8">
        <w:t xml:space="preserve"> </w:t>
      </w:r>
      <w:r w:rsidRPr="001F59A8">
        <w:rPr>
          <w:szCs w:val="18"/>
        </w:rPr>
        <w:t xml:space="preserve">Frontier Economics 2025, </w:t>
      </w:r>
      <w:r w:rsidRPr="001F59A8">
        <w:rPr>
          <w:i/>
          <w:iCs/>
          <w:szCs w:val="18"/>
        </w:rPr>
        <w:t xml:space="preserve">Wholesale electricity costs for 2025–26: A </w:t>
      </w:r>
      <w:r w:rsidR="009078A3" w:rsidRPr="001F59A8">
        <w:rPr>
          <w:i/>
          <w:iCs/>
          <w:szCs w:val="18"/>
        </w:rPr>
        <w:t xml:space="preserve">final </w:t>
      </w:r>
      <w:r w:rsidRPr="001F59A8">
        <w:rPr>
          <w:i/>
          <w:iCs/>
          <w:szCs w:val="18"/>
        </w:rPr>
        <w:t xml:space="preserve">report for the Essential Services </w:t>
      </w:r>
      <w:r w:rsidRPr="00A93496">
        <w:rPr>
          <w:i/>
          <w:iCs/>
          <w:szCs w:val="18"/>
        </w:rPr>
        <w:t>Commission</w:t>
      </w:r>
      <w:r w:rsidRPr="00A93496">
        <w:rPr>
          <w:szCs w:val="18"/>
        </w:rPr>
        <w:t xml:space="preserve">, </w:t>
      </w:r>
      <w:r w:rsidR="00DD2945" w:rsidRPr="00A93496">
        <w:rPr>
          <w:szCs w:val="18"/>
        </w:rPr>
        <w:t>2</w:t>
      </w:r>
      <w:r w:rsidR="00071695" w:rsidRPr="00A93496">
        <w:rPr>
          <w:szCs w:val="18"/>
        </w:rPr>
        <w:t xml:space="preserve"> May</w:t>
      </w:r>
      <w:r w:rsidR="006B4E4F" w:rsidRPr="001F59A8">
        <w:rPr>
          <w:szCs w:val="18"/>
        </w:rPr>
        <w:t xml:space="preserve"> </w:t>
      </w:r>
      <w:r w:rsidRPr="001F59A8">
        <w:rPr>
          <w:szCs w:val="18"/>
        </w:rPr>
        <w:t>2025.</w:t>
      </w:r>
    </w:p>
  </w:footnote>
  <w:footnote w:id="42">
    <w:p w14:paraId="2A0E3F38" w14:textId="6503AC5D" w:rsidR="005B0926" w:rsidRPr="001F59A8" w:rsidRDefault="005B0926" w:rsidP="005B0926">
      <w:pPr>
        <w:pStyle w:val="FootnoteText"/>
      </w:pPr>
      <w:r w:rsidRPr="001F59A8">
        <w:rPr>
          <w:rStyle w:val="FootnoteReference"/>
        </w:rPr>
        <w:footnoteRef/>
      </w:r>
      <w:r w:rsidRPr="001F59A8">
        <w:t xml:space="preserve"> Australian Energy Regulator, </w:t>
      </w:r>
      <w:hyperlink r:id="rId5" w:history="1">
        <w:r w:rsidRPr="001F59A8">
          <w:rPr>
            <w:rStyle w:val="Hyperlink"/>
          </w:rPr>
          <w:t>202</w:t>
        </w:r>
        <w:r w:rsidR="00923E57" w:rsidRPr="001F59A8">
          <w:rPr>
            <w:rStyle w:val="Hyperlink"/>
          </w:rPr>
          <w:t>5</w:t>
        </w:r>
        <w:r w:rsidRPr="001F59A8">
          <w:rPr>
            <w:rStyle w:val="Hyperlink"/>
          </w:rPr>
          <w:t>–202</w:t>
        </w:r>
        <w:r w:rsidR="00923E57" w:rsidRPr="001F59A8">
          <w:rPr>
            <w:rStyle w:val="Hyperlink"/>
          </w:rPr>
          <w:t>6</w:t>
        </w:r>
        <w:r w:rsidRPr="001F59A8">
          <w:rPr>
            <w:rStyle w:val="Hyperlink"/>
          </w:rPr>
          <w:t xml:space="preserve"> Default market offer prices: </w:t>
        </w:r>
        <w:r w:rsidR="00923E57" w:rsidRPr="001F59A8">
          <w:rPr>
            <w:rStyle w:val="Hyperlink"/>
          </w:rPr>
          <w:t>Draft</w:t>
        </w:r>
        <w:r w:rsidRPr="001F59A8">
          <w:rPr>
            <w:rStyle w:val="Hyperlink"/>
          </w:rPr>
          <w:t xml:space="preserve"> </w:t>
        </w:r>
        <w:r w:rsidR="00793E02" w:rsidRPr="001F59A8">
          <w:rPr>
            <w:rStyle w:val="Hyperlink"/>
          </w:rPr>
          <w:t>decision</w:t>
        </w:r>
      </w:hyperlink>
      <w:r w:rsidRPr="001F59A8">
        <w:t xml:space="preserve">, </w:t>
      </w:r>
      <w:r w:rsidR="00923E57" w:rsidRPr="001F59A8">
        <w:t>March</w:t>
      </w:r>
      <w:r w:rsidRPr="001F59A8">
        <w:t xml:space="preserve"> 202</w:t>
      </w:r>
      <w:r w:rsidR="00944464" w:rsidRPr="001F59A8">
        <w:t>5</w:t>
      </w:r>
      <w:r w:rsidR="007D02E9" w:rsidRPr="001F59A8">
        <w:t xml:space="preserve">, accessed </w:t>
      </w:r>
      <w:r w:rsidR="003C7868" w:rsidRPr="001F59A8">
        <w:t>24</w:t>
      </w:r>
      <w:r w:rsidR="00C3307D" w:rsidRPr="001F59A8">
        <w:t xml:space="preserve"> April 2025</w:t>
      </w:r>
      <w:r w:rsidR="00976FFC">
        <w:t>.</w:t>
      </w:r>
    </w:p>
  </w:footnote>
  <w:footnote w:id="43">
    <w:p w14:paraId="17A16D82" w14:textId="19BE6957" w:rsidR="00953C21" w:rsidRPr="001F59A8" w:rsidRDefault="00953C21" w:rsidP="00953C21">
      <w:pPr>
        <w:pStyle w:val="FootnoteText"/>
      </w:pPr>
      <w:r w:rsidRPr="001F59A8">
        <w:rPr>
          <w:rStyle w:val="FootnoteReference"/>
        </w:rPr>
        <w:footnoteRef/>
      </w:r>
      <w:r w:rsidRPr="001F59A8">
        <w:t xml:space="preserve"> </w:t>
      </w:r>
      <w:r w:rsidR="00775C76" w:rsidRPr="001F59A8">
        <w:t>Requested via em</w:t>
      </w:r>
      <w:r w:rsidR="00D5035D" w:rsidRPr="001F59A8">
        <w:t xml:space="preserve">ail </w:t>
      </w:r>
      <w:r w:rsidR="001D18A0" w:rsidRPr="001F59A8">
        <w:t xml:space="preserve">on </w:t>
      </w:r>
      <w:r w:rsidR="00E351E7" w:rsidRPr="001F59A8">
        <w:t xml:space="preserve">7 February 2025. </w:t>
      </w:r>
    </w:p>
  </w:footnote>
  <w:footnote w:id="44">
    <w:p w14:paraId="5B64266B" w14:textId="04A73480" w:rsidR="003460B2" w:rsidRPr="001F59A8" w:rsidRDefault="003460B2">
      <w:pPr>
        <w:pStyle w:val="FootnoteText"/>
        <w:rPr>
          <w:i/>
          <w:iCs/>
        </w:rPr>
      </w:pPr>
      <w:r w:rsidRPr="001F59A8">
        <w:rPr>
          <w:rStyle w:val="FootnoteReference"/>
        </w:rPr>
        <w:footnoteRef/>
      </w:r>
      <w:r w:rsidRPr="001F59A8">
        <w:t xml:space="preserve"> EnergyAustralia, submission to the Essential Services Commission, </w:t>
      </w:r>
      <w:r w:rsidRPr="001F59A8">
        <w:rPr>
          <w:i/>
          <w:iCs/>
        </w:rPr>
        <w:t xml:space="preserve">Victorian Default Offer </w:t>
      </w:r>
      <w:r w:rsidRPr="00A158C0">
        <w:rPr>
          <w:i/>
        </w:rPr>
        <w:t>2025</w:t>
      </w:r>
      <w:r w:rsidR="00A158C0" w:rsidRPr="00A158C0">
        <w:rPr>
          <w:i/>
        </w:rPr>
        <w:t>–</w:t>
      </w:r>
      <w:r w:rsidRPr="00A158C0">
        <w:rPr>
          <w:i/>
        </w:rPr>
        <w:t>26</w:t>
      </w:r>
      <w:r w:rsidRPr="001F59A8">
        <w:rPr>
          <w:i/>
          <w:iCs/>
        </w:rPr>
        <w:t>: Draft Decision Paper, April 2025</w:t>
      </w:r>
      <w:r w:rsidRPr="001F59A8">
        <w:t>,</w:t>
      </w:r>
      <w:r w:rsidRPr="001F59A8">
        <w:rPr>
          <w:i/>
          <w:iCs/>
        </w:rPr>
        <w:t xml:space="preserve"> </w:t>
      </w:r>
      <w:r w:rsidRPr="001F59A8">
        <w:t xml:space="preserve">p. </w:t>
      </w:r>
      <w:r w:rsidR="00561F8C" w:rsidRPr="001F59A8">
        <w:t>3.</w:t>
      </w:r>
      <w:r w:rsidR="00CC053B" w:rsidRPr="001F59A8">
        <w:t xml:space="preserve"> Consumer Action Law Centre, submission to the Essential Services Commission, </w:t>
      </w:r>
      <w:r w:rsidR="00CC053B" w:rsidRPr="001F59A8">
        <w:rPr>
          <w:i/>
          <w:iCs/>
        </w:rPr>
        <w:t>Victorian Default Offer 2025–26: Draft Decision Paper</w:t>
      </w:r>
      <w:r w:rsidR="00CC053B" w:rsidRPr="001F59A8">
        <w:t>, April 2025, p</w:t>
      </w:r>
      <w:r w:rsidR="000C7DC0" w:rsidRPr="001F59A8">
        <w:t>. 5</w:t>
      </w:r>
      <w:r w:rsidR="00CC053B" w:rsidRPr="001F59A8">
        <w:t xml:space="preserve">; Joint submission from Victorian Council of Social Service, Brotherhood of St Laurence, Consumer Action Law Centre, Council </w:t>
      </w:r>
      <w:r w:rsidR="00F153C5" w:rsidRPr="00F153C5">
        <w:t>on the</w:t>
      </w:r>
      <w:r w:rsidR="00CC053B" w:rsidRPr="001F59A8">
        <w:t xml:space="preserve"> Ageing Victoria, Energy Consumers Australia, Financial Counselling Victoria Inc</w:t>
      </w:r>
      <w:r w:rsidR="00BA4B00">
        <w:t>.</w:t>
      </w:r>
      <w:r w:rsidR="00CC053B" w:rsidRPr="001F59A8">
        <w:t xml:space="preserve">, Uniting, submission to the Essential Services Commission, </w:t>
      </w:r>
      <w:r w:rsidR="00CC053B" w:rsidRPr="001F59A8">
        <w:rPr>
          <w:i/>
          <w:iCs/>
        </w:rPr>
        <w:t>Victorian Default Offer 2025–26: Draft Decision Paper</w:t>
      </w:r>
      <w:r w:rsidR="00CC053B" w:rsidRPr="001F59A8">
        <w:t>, April 2025, pp</w:t>
      </w:r>
      <w:r w:rsidR="00E2456D" w:rsidRPr="001F59A8">
        <w:t>.</w:t>
      </w:r>
      <w:r w:rsidR="00CC053B" w:rsidRPr="001F59A8">
        <w:t xml:space="preserve"> 1</w:t>
      </w:r>
      <w:r w:rsidR="00E2456D" w:rsidRPr="001F59A8">
        <w:t>, 6</w:t>
      </w:r>
      <w:r w:rsidR="00CC053B" w:rsidRPr="001F59A8">
        <w:t>.</w:t>
      </w:r>
    </w:p>
  </w:footnote>
  <w:footnote w:id="45">
    <w:p w14:paraId="1E952448" w14:textId="6DA5C8C6" w:rsidR="00490429" w:rsidRDefault="00490429">
      <w:pPr>
        <w:pStyle w:val="FootnoteText"/>
      </w:pPr>
      <w:r>
        <w:rPr>
          <w:rStyle w:val="FootnoteReference"/>
        </w:rPr>
        <w:footnoteRef/>
      </w:r>
      <w:r>
        <w:t xml:space="preserve"> </w:t>
      </w:r>
      <w:r w:rsidRPr="001F59A8">
        <w:t>AGL Energy,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p. 4</w:t>
      </w:r>
      <w:r>
        <w:t>.</w:t>
      </w:r>
    </w:p>
  </w:footnote>
  <w:footnote w:id="46">
    <w:p w14:paraId="33E521F9" w14:textId="3D70FBDA" w:rsidR="00E92270" w:rsidRPr="001F59A8" w:rsidRDefault="00E92270">
      <w:pPr>
        <w:pStyle w:val="FootnoteText"/>
      </w:pPr>
      <w:r w:rsidRPr="001F59A8">
        <w:rPr>
          <w:rStyle w:val="FootnoteReference"/>
        </w:rPr>
        <w:footnoteRef/>
      </w:r>
      <w:r w:rsidRPr="001F59A8">
        <w:t xml:space="preserve"> </w:t>
      </w:r>
      <w:r w:rsidR="006001D4" w:rsidRPr="001F59A8">
        <w:t>1</w:t>
      </w:r>
      <w:r w:rsidR="006001D4" w:rsidRPr="001F59A8">
        <w:rPr>
          <w:vertAlign w:val="superscript"/>
        </w:rPr>
        <w:t>st</w:t>
      </w:r>
      <w:r w:rsidR="006001D4" w:rsidRPr="001F59A8">
        <w:t xml:space="preserve"> Energy,</w:t>
      </w:r>
      <w:r w:rsidR="00965D2B" w:rsidRPr="001F59A8">
        <w:t xml:space="preserve"> submission to the Essential Services Commission,</w:t>
      </w:r>
      <w:r w:rsidR="00965D2B" w:rsidRPr="001F59A8">
        <w:rPr>
          <w:color w:val="FDC030"/>
        </w:rPr>
        <w:t xml:space="preserve"> </w:t>
      </w:r>
      <w:r w:rsidR="00965D2B" w:rsidRPr="001F59A8">
        <w:rPr>
          <w:i/>
        </w:rPr>
        <w:t>Victorian Default Offer 2025–26: Draft Decision Paper</w:t>
      </w:r>
      <w:r w:rsidR="00965D2B" w:rsidRPr="001F59A8">
        <w:t>, April 2025,</w:t>
      </w:r>
      <w:r w:rsidR="00965D2B" w:rsidRPr="001F59A8">
        <w:rPr>
          <w:color w:val="FDC030"/>
        </w:rPr>
        <w:t xml:space="preserve"> </w:t>
      </w:r>
      <w:r w:rsidR="00965D2B" w:rsidRPr="001F59A8">
        <w:t xml:space="preserve">p. </w:t>
      </w:r>
      <w:r w:rsidR="00BE50F6" w:rsidRPr="001F59A8">
        <w:t>2</w:t>
      </w:r>
      <w:r w:rsidR="00965D2B" w:rsidRPr="001F59A8">
        <w:t xml:space="preserve">; </w:t>
      </w:r>
      <w:r w:rsidR="00DC6198" w:rsidRPr="001F59A8">
        <w:t xml:space="preserve">Alinta Energy, submission to the Essential Services Commission, </w:t>
      </w:r>
      <w:r w:rsidR="00DC6198" w:rsidRPr="001F59A8">
        <w:rPr>
          <w:i/>
        </w:rPr>
        <w:t>Victorian Default Offer 2025–26: Draft Decision Paper</w:t>
      </w:r>
      <w:r w:rsidR="00DC6198" w:rsidRPr="001F59A8">
        <w:t xml:space="preserve">, April 2025, p. </w:t>
      </w:r>
      <w:r w:rsidR="00CD0665" w:rsidRPr="001F59A8">
        <w:t>3</w:t>
      </w:r>
      <w:r w:rsidR="00DC6198" w:rsidRPr="001F59A8">
        <w:t xml:space="preserve">; </w:t>
      </w:r>
      <w:r w:rsidR="001814FF" w:rsidRPr="001F59A8">
        <w:t xml:space="preserve">Energy Locals, submission to the Essential Services Commission, </w:t>
      </w:r>
      <w:r w:rsidR="001814FF" w:rsidRPr="001F59A8">
        <w:rPr>
          <w:i/>
        </w:rPr>
        <w:t>Victorian Default Offer 2025–26: Draft Decision Paper</w:t>
      </w:r>
      <w:r w:rsidR="001814FF" w:rsidRPr="001F59A8">
        <w:t xml:space="preserve">, April 2025, p. 1; </w:t>
      </w:r>
      <w:r w:rsidR="00D7628E">
        <w:t>ENGI</w:t>
      </w:r>
      <w:r w:rsidR="00A85953">
        <w:t>E</w:t>
      </w:r>
      <w:r w:rsidR="002118B9" w:rsidRPr="001F59A8">
        <w:t xml:space="preserve">, submission to the Essential Services Commission, </w:t>
      </w:r>
      <w:r w:rsidR="002118B9" w:rsidRPr="001F59A8">
        <w:rPr>
          <w:i/>
        </w:rPr>
        <w:t>Victorian Default Offer 2025–26: Draft Decision Paper</w:t>
      </w:r>
      <w:r w:rsidR="002118B9" w:rsidRPr="001F59A8">
        <w:t xml:space="preserve">, April 2025, p. </w:t>
      </w:r>
      <w:r w:rsidR="000D693A" w:rsidRPr="001F59A8">
        <w:t>2</w:t>
      </w:r>
      <w:r w:rsidR="00DC73CD" w:rsidRPr="001F59A8">
        <w:t>; GloBird</w:t>
      </w:r>
      <w:r w:rsidR="00677AB3">
        <w:t xml:space="preserve"> Energy</w:t>
      </w:r>
      <w:r w:rsidR="00A85953">
        <w:t>,</w:t>
      </w:r>
      <w:r w:rsidR="00DC73CD" w:rsidRPr="001F59A8">
        <w:t xml:space="preserve"> submission to the Essential Services Commission, </w:t>
      </w:r>
      <w:r w:rsidR="00DC73CD" w:rsidRPr="001F59A8">
        <w:rPr>
          <w:i/>
        </w:rPr>
        <w:t>Victorian Default Offer 2025–26: Draft Decision Paper</w:t>
      </w:r>
      <w:r w:rsidR="00DC73CD" w:rsidRPr="001F59A8">
        <w:t>, April 2025, p</w:t>
      </w:r>
      <w:r w:rsidR="00C352BA">
        <w:t>p</w:t>
      </w:r>
      <w:r w:rsidR="00DC73CD" w:rsidRPr="001F59A8">
        <w:t>. 1-2</w:t>
      </w:r>
      <w:r w:rsidR="003300EA" w:rsidRPr="001F59A8">
        <w:t>; Red Energy</w:t>
      </w:r>
      <w:r w:rsidR="00B442A3" w:rsidRPr="001F59A8">
        <w:t xml:space="preserve"> and Lumo Energy</w:t>
      </w:r>
      <w:r w:rsidR="003300EA" w:rsidRPr="001F59A8">
        <w:t>, submission to the Essential Services Commission,</w:t>
      </w:r>
      <w:r w:rsidR="003300EA" w:rsidRPr="001F59A8">
        <w:rPr>
          <w:color w:val="FDC030"/>
        </w:rPr>
        <w:t xml:space="preserve"> </w:t>
      </w:r>
      <w:r w:rsidR="003300EA" w:rsidRPr="001F59A8">
        <w:rPr>
          <w:i/>
        </w:rPr>
        <w:t>Victorian Default Offer 2025–26: Draft Decision Paper</w:t>
      </w:r>
      <w:r w:rsidR="003300EA" w:rsidRPr="001F59A8">
        <w:t>, April 2025,</w:t>
      </w:r>
      <w:r w:rsidR="003300EA" w:rsidRPr="001F59A8">
        <w:rPr>
          <w:color w:val="FDC030"/>
        </w:rPr>
        <w:t xml:space="preserve"> </w:t>
      </w:r>
      <w:r w:rsidR="003300EA" w:rsidRPr="001F59A8">
        <w:t>pp. 1-2.</w:t>
      </w:r>
    </w:p>
  </w:footnote>
  <w:footnote w:id="47">
    <w:p w14:paraId="10B11D57" w14:textId="77777777" w:rsidR="00256476" w:rsidRPr="001F59A8" w:rsidRDefault="00256476">
      <w:pPr>
        <w:pStyle w:val="FootnoteText"/>
      </w:pPr>
      <w:r w:rsidRPr="001F59A8">
        <w:rPr>
          <w:rStyle w:val="FootnoteReference"/>
        </w:rPr>
        <w:footnoteRef/>
      </w:r>
      <w:r w:rsidR="004659C6" w:rsidRPr="001F59A8">
        <w:t xml:space="preserve"> Frontier Economics 2025, </w:t>
      </w:r>
      <w:r w:rsidR="004659C6" w:rsidRPr="001F59A8">
        <w:rPr>
          <w:i/>
        </w:rPr>
        <w:t>Wholesale electricity costs for 2025–26: A final report for the Essential Services Commission</w:t>
      </w:r>
      <w:r w:rsidR="004659C6" w:rsidRPr="001F59A8">
        <w:t xml:space="preserve">, </w:t>
      </w:r>
      <w:r w:rsidR="004659C6" w:rsidRPr="0094542E">
        <w:t>2 May</w:t>
      </w:r>
      <w:r w:rsidR="004659C6" w:rsidRPr="001F59A8">
        <w:t xml:space="preserve"> 2025.</w:t>
      </w:r>
    </w:p>
  </w:footnote>
  <w:footnote w:id="48">
    <w:p w14:paraId="0302AC3C" w14:textId="2D930B7A" w:rsidR="00DB77E6" w:rsidRDefault="00DB77E6">
      <w:pPr>
        <w:pStyle w:val="FootnoteText"/>
      </w:pPr>
      <w:r>
        <w:rPr>
          <w:rStyle w:val="FootnoteReference"/>
        </w:rPr>
        <w:footnoteRef/>
      </w:r>
      <w:r>
        <w:t xml:space="preserve"> </w:t>
      </w:r>
      <w:r w:rsidRPr="001F59A8">
        <w:rPr>
          <w:szCs w:val="18"/>
        </w:rPr>
        <w:t xml:space="preserve">Frontier Economics 2025, </w:t>
      </w:r>
      <w:r w:rsidRPr="001F59A8">
        <w:rPr>
          <w:i/>
          <w:iCs/>
          <w:szCs w:val="18"/>
        </w:rPr>
        <w:t xml:space="preserve">Wholesale electricity costs for 2025–26: A final report for the Essential Services </w:t>
      </w:r>
      <w:r w:rsidRPr="00DB77E6">
        <w:rPr>
          <w:i/>
          <w:iCs/>
          <w:szCs w:val="18"/>
        </w:rPr>
        <w:t>Commission</w:t>
      </w:r>
      <w:r w:rsidRPr="00DB77E6">
        <w:rPr>
          <w:szCs w:val="18"/>
        </w:rPr>
        <w:t>, 2 May 2025,</w:t>
      </w:r>
      <w:r>
        <w:rPr>
          <w:szCs w:val="18"/>
        </w:rPr>
        <w:t xml:space="preserve"> p.12</w:t>
      </w:r>
      <w:r w:rsidRPr="001F59A8">
        <w:rPr>
          <w:szCs w:val="18"/>
        </w:rPr>
        <w:t>.</w:t>
      </w:r>
      <w:r w:rsidR="007B7141">
        <w:rPr>
          <w:szCs w:val="18"/>
        </w:rPr>
        <w:t xml:space="preserve"> WEC is an acronym for wholesale electricity costs, VDO is an acronym for Victorian Default Offer and FiT is an acronym for feed-in tariff. </w:t>
      </w:r>
    </w:p>
  </w:footnote>
  <w:footnote w:id="49">
    <w:p w14:paraId="212CD1AE" w14:textId="134AD12E" w:rsidR="00AB4E08" w:rsidRPr="001F59A8" w:rsidRDefault="00AB4E08">
      <w:pPr>
        <w:pStyle w:val="FootnoteText"/>
      </w:pPr>
      <w:r w:rsidRPr="001F59A8">
        <w:rPr>
          <w:rStyle w:val="FootnoteReference"/>
        </w:rPr>
        <w:footnoteRef/>
      </w:r>
      <w:r w:rsidRPr="001F59A8">
        <w:t xml:space="preserve"> Essential Services Commission analysis </w:t>
      </w:r>
      <w:r w:rsidR="00E13D9B" w:rsidRPr="001F59A8">
        <w:t>of customer billing</w:t>
      </w:r>
      <w:r w:rsidRPr="001F59A8">
        <w:t xml:space="preserve"> data.</w:t>
      </w:r>
    </w:p>
  </w:footnote>
  <w:footnote w:id="50">
    <w:p w14:paraId="71F84088" w14:textId="77777777" w:rsidR="00B30B09" w:rsidRDefault="00B30B09" w:rsidP="00B30B09">
      <w:pPr>
        <w:pStyle w:val="FootnoteText"/>
      </w:pPr>
      <w:r>
        <w:rPr>
          <w:rStyle w:val="FootnoteReference"/>
        </w:rPr>
        <w:footnoteRef/>
      </w:r>
      <w:r>
        <w:t xml:space="preserve"> Clause 3 of the pricing order.</w:t>
      </w:r>
    </w:p>
  </w:footnote>
  <w:footnote w:id="51">
    <w:p w14:paraId="3B53ECBE" w14:textId="57F2EAB7" w:rsidR="005D2B58" w:rsidRDefault="005D2B58">
      <w:pPr>
        <w:pStyle w:val="FootnoteText"/>
      </w:pPr>
      <w:r>
        <w:rPr>
          <w:rStyle w:val="FootnoteReference"/>
        </w:rPr>
        <w:footnoteRef/>
      </w:r>
      <w:r>
        <w:t xml:space="preserve"> </w:t>
      </w:r>
      <w:r w:rsidRPr="001F59A8">
        <w:t>GloBird</w:t>
      </w:r>
      <w:r w:rsidR="00677AB3">
        <w:t xml:space="preserve"> Energy</w:t>
      </w:r>
      <w:r w:rsidRPr="001F59A8">
        <w:t xml:space="preserve">, submission to the Essential Services Commission, </w:t>
      </w:r>
      <w:r w:rsidRPr="001F59A8">
        <w:rPr>
          <w:i/>
        </w:rPr>
        <w:t>Victorian Default Offer 2025–26: Draft Decision Paper</w:t>
      </w:r>
      <w:r w:rsidRPr="001F59A8">
        <w:t>, April 2025, p. 1</w:t>
      </w:r>
      <w:r>
        <w:t>.</w:t>
      </w:r>
    </w:p>
  </w:footnote>
  <w:footnote w:id="52">
    <w:p w14:paraId="792983B8" w14:textId="77777777" w:rsidR="007328DB" w:rsidRPr="001F59A8" w:rsidRDefault="007328DB" w:rsidP="007328DB">
      <w:pPr>
        <w:pStyle w:val="FootnoteText"/>
      </w:pPr>
      <w:r w:rsidRPr="001F59A8">
        <w:rPr>
          <w:rStyle w:val="FootnoteReference"/>
        </w:rPr>
        <w:footnoteRef/>
      </w:r>
      <w:r w:rsidRPr="001F59A8">
        <w:t xml:space="preserve"> </w:t>
      </w:r>
      <w:r w:rsidRPr="001F59A8">
        <w:rPr>
          <w:i/>
          <w:iCs/>
        </w:rPr>
        <w:t>Electricity Industry Act 200</w:t>
      </w:r>
      <w:r>
        <w:rPr>
          <w:i/>
          <w:iCs/>
        </w:rPr>
        <w:t>0</w:t>
      </w:r>
      <w:r w:rsidRPr="001F59A8">
        <w:t>, Section 23</w:t>
      </w:r>
      <w:proofErr w:type="gramStart"/>
      <w:r w:rsidRPr="001F59A8">
        <w:t>C(</w:t>
      </w:r>
      <w:proofErr w:type="gramEnd"/>
      <w:r w:rsidRPr="001F59A8">
        <w:t>1).</w:t>
      </w:r>
    </w:p>
  </w:footnote>
  <w:footnote w:id="53">
    <w:p w14:paraId="2AF17C69" w14:textId="0394D0EC" w:rsidR="00E12B09" w:rsidRPr="001F59A8" w:rsidRDefault="00E12B09" w:rsidP="00E12B09">
      <w:pPr>
        <w:pStyle w:val="FootnoteText"/>
      </w:pPr>
      <w:r w:rsidRPr="001F59A8">
        <w:rPr>
          <w:rStyle w:val="FootnoteReference"/>
        </w:rPr>
        <w:footnoteRef/>
      </w:r>
      <w:r w:rsidRPr="001F59A8">
        <w:t xml:space="preserve"> </w:t>
      </w:r>
      <w:r w:rsidRPr="001F59A8">
        <w:rPr>
          <w:szCs w:val="18"/>
        </w:rPr>
        <w:t xml:space="preserve">Frontier Economics 2025, </w:t>
      </w:r>
      <w:r w:rsidRPr="001F59A8">
        <w:rPr>
          <w:i/>
          <w:iCs/>
          <w:szCs w:val="18"/>
        </w:rPr>
        <w:t>Wholesale electricity costs for 2025–26: A final report for the Essential Services Commission</w:t>
      </w:r>
      <w:r w:rsidRPr="001F59A8">
        <w:rPr>
          <w:szCs w:val="18"/>
        </w:rPr>
        <w:t xml:space="preserve">, </w:t>
      </w:r>
      <w:r w:rsidRPr="0094542E">
        <w:rPr>
          <w:szCs w:val="18"/>
        </w:rPr>
        <w:t>2 May</w:t>
      </w:r>
      <w:r w:rsidRPr="001F59A8">
        <w:rPr>
          <w:szCs w:val="18"/>
        </w:rPr>
        <w:t xml:space="preserve"> 2025</w:t>
      </w:r>
      <w:r w:rsidR="00DF058D">
        <w:rPr>
          <w:szCs w:val="18"/>
        </w:rPr>
        <w:t>,</w:t>
      </w:r>
      <w:r w:rsidRPr="001F59A8">
        <w:rPr>
          <w:szCs w:val="18"/>
        </w:rPr>
        <w:t xml:space="preserve"> pp. 11-14.</w:t>
      </w:r>
    </w:p>
  </w:footnote>
  <w:footnote w:id="54">
    <w:p w14:paraId="5AD7F69F" w14:textId="77777777" w:rsidR="00E15699" w:rsidRDefault="00E15699" w:rsidP="00E15699">
      <w:pPr>
        <w:pStyle w:val="FootnoteText"/>
      </w:pPr>
      <w:r>
        <w:rPr>
          <w:rStyle w:val="FootnoteReference"/>
        </w:rPr>
        <w:footnoteRef/>
      </w:r>
      <w:r>
        <w:t xml:space="preserve"> </w:t>
      </w:r>
      <w:r w:rsidRPr="001F59A8">
        <w:t>Red Energy and Lumo Energy,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p</w:t>
      </w:r>
      <w:r>
        <w:t>. 1.</w:t>
      </w:r>
    </w:p>
  </w:footnote>
  <w:footnote w:id="55">
    <w:p w14:paraId="35A49B6E" w14:textId="7D344511" w:rsidR="002A4AF2" w:rsidRDefault="002A4AF2">
      <w:pPr>
        <w:pStyle w:val="FootnoteText"/>
      </w:pPr>
      <w:r>
        <w:rPr>
          <w:rStyle w:val="FootnoteReference"/>
        </w:rPr>
        <w:footnoteRef/>
      </w:r>
      <w:r>
        <w:t xml:space="preserve"> </w:t>
      </w:r>
      <w:r w:rsidRPr="001F59A8">
        <w:rPr>
          <w:szCs w:val="18"/>
        </w:rPr>
        <w:t xml:space="preserve">Frontier Economics 2025, </w:t>
      </w:r>
      <w:r w:rsidRPr="001F59A8">
        <w:rPr>
          <w:i/>
          <w:iCs/>
          <w:szCs w:val="18"/>
        </w:rPr>
        <w:t>Wholesale electricity costs for 2025–26: A final report for the Essential Services Commission</w:t>
      </w:r>
      <w:r w:rsidRPr="001F59A8">
        <w:rPr>
          <w:szCs w:val="18"/>
        </w:rPr>
        <w:t xml:space="preserve">, </w:t>
      </w:r>
      <w:r w:rsidRPr="0094542E">
        <w:rPr>
          <w:szCs w:val="18"/>
        </w:rPr>
        <w:t>2 May</w:t>
      </w:r>
      <w:r w:rsidRPr="001F59A8">
        <w:rPr>
          <w:szCs w:val="18"/>
        </w:rPr>
        <w:t xml:space="preserve"> 2025</w:t>
      </w:r>
      <w:r>
        <w:rPr>
          <w:szCs w:val="18"/>
        </w:rPr>
        <w:t>,</w:t>
      </w:r>
      <w:r w:rsidRPr="001F59A8">
        <w:rPr>
          <w:szCs w:val="18"/>
        </w:rPr>
        <w:t xml:space="preserve"> p</w:t>
      </w:r>
      <w:r>
        <w:rPr>
          <w:szCs w:val="18"/>
        </w:rPr>
        <w:t>. 11.</w:t>
      </w:r>
    </w:p>
  </w:footnote>
  <w:footnote w:id="56">
    <w:p w14:paraId="2171703B" w14:textId="77777777" w:rsidR="009C4266" w:rsidRPr="001F59A8" w:rsidRDefault="009C4266" w:rsidP="009C4266">
      <w:pPr>
        <w:pStyle w:val="FootnoteText"/>
      </w:pPr>
      <w:r w:rsidRPr="001F59A8">
        <w:rPr>
          <w:rStyle w:val="FootnoteReference"/>
        </w:rPr>
        <w:footnoteRef/>
      </w:r>
      <w:r w:rsidRPr="001F59A8">
        <w:t xml:space="preserve"> Clause 12(3) of the pricing order.</w:t>
      </w:r>
    </w:p>
  </w:footnote>
  <w:footnote w:id="57">
    <w:p w14:paraId="03105B4F" w14:textId="5D79643B" w:rsidR="00E9405A" w:rsidRDefault="00E9405A">
      <w:pPr>
        <w:pStyle w:val="FootnoteText"/>
      </w:pPr>
      <w:r>
        <w:rPr>
          <w:rStyle w:val="FootnoteReference"/>
        </w:rPr>
        <w:footnoteRef/>
      </w:r>
      <w:r>
        <w:t xml:space="preserve"> </w:t>
      </w:r>
      <w:r w:rsidRPr="001F59A8">
        <w:t>Clause 12(8) of the pricing order.</w:t>
      </w:r>
    </w:p>
  </w:footnote>
  <w:footnote w:id="58">
    <w:p w14:paraId="2C3DF6FF" w14:textId="4DBA2800" w:rsidR="00E64253" w:rsidRPr="001F59A8" w:rsidRDefault="00E64253" w:rsidP="00E64253">
      <w:pPr>
        <w:pStyle w:val="FootnoteText"/>
      </w:pPr>
      <w:r w:rsidRPr="001F59A8">
        <w:rPr>
          <w:rStyle w:val="FootnoteReference"/>
        </w:rPr>
        <w:footnoteRef/>
      </w:r>
      <w:r w:rsidRPr="001F59A8">
        <w:t xml:space="preserve"> AGL Energy,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 xml:space="preserve">p. 4; EnergyAustralia, submission to the Essential Services Commission, </w:t>
      </w:r>
      <w:r w:rsidRPr="001F59A8">
        <w:rPr>
          <w:i/>
          <w:iCs/>
        </w:rPr>
        <w:t xml:space="preserve">Victorian Default Offer </w:t>
      </w:r>
      <w:r w:rsidRPr="00A158C0">
        <w:rPr>
          <w:i/>
        </w:rPr>
        <w:t>2025</w:t>
      </w:r>
      <w:r w:rsidR="00A158C0" w:rsidRPr="00A158C0">
        <w:rPr>
          <w:i/>
        </w:rPr>
        <w:t>–</w:t>
      </w:r>
      <w:r w:rsidRPr="00A158C0">
        <w:rPr>
          <w:i/>
        </w:rPr>
        <w:t>‍26</w:t>
      </w:r>
      <w:r w:rsidRPr="001F59A8">
        <w:rPr>
          <w:i/>
          <w:iCs/>
        </w:rPr>
        <w:t>: Draft Decision Paper, April 2025</w:t>
      </w:r>
      <w:r w:rsidRPr="001F59A8">
        <w:t>,</w:t>
      </w:r>
      <w:r w:rsidRPr="001F59A8">
        <w:rPr>
          <w:i/>
          <w:iCs/>
        </w:rPr>
        <w:t xml:space="preserve"> </w:t>
      </w:r>
      <w:r w:rsidRPr="001F59A8">
        <w:t>p. 3.</w:t>
      </w:r>
    </w:p>
  </w:footnote>
  <w:footnote w:id="59">
    <w:p w14:paraId="0508F08A" w14:textId="339D41E8" w:rsidR="00916CB9" w:rsidRPr="001F59A8" w:rsidRDefault="00916CB9">
      <w:pPr>
        <w:pStyle w:val="FootnoteText"/>
      </w:pPr>
      <w:r w:rsidRPr="001F59A8">
        <w:rPr>
          <w:rStyle w:val="FootnoteReference"/>
        </w:rPr>
        <w:footnoteRef/>
      </w:r>
      <w:r w:rsidRPr="001F59A8">
        <w:t xml:space="preserve"> Essential Services Commission 2024, </w:t>
      </w:r>
      <w:r w:rsidRPr="001F59A8">
        <w:rPr>
          <w:i/>
          <w:iCs/>
        </w:rPr>
        <w:t>Victorian Default Offer 2024–25: Final Decision Paper</w:t>
      </w:r>
      <w:r w:rsidRPr="001F59A8">
        <w:t>, 20 May, p. 15.</w:t>
      </w:r>
    </w:p>
  </w:footnote>
  <w:footnote w:id="60">
    <w:p w14:paraId="4B8AE8A1" w14:textId="2F9FC9F1" w:rsidR="002066DF" w:rsidRPr="001F59A8" w:rsidRDefault="002066DF">
      <w:pPr>
        <w:pStyle w:val="FootnoteText"/>
      </w:pPr>
      <w:r w:rsidRPr="001F59A8">
        <w:rPr>
          <w:rStyle w:val="FootnoteReference"/>
        </w:rPr>
        <w:footnoteRef/>
      </w:r>
      <w:r w:rsidRPr="001F59A8">
        <w:t xml:space="preserve"> </w:t>
      </w:r>
      <w:r w:rsidR="00AF72AB" w:rsidRPr="001F59A8">
        <w:t xml:space="preserve">Australian Energy Regulator, </w:t>
      </w:r>
      <w:hyperlink r:id="rId6" w:history="1">
        <w:r w:rsidR="00AF72AB" w:rsidRPr="001F59A8">
          <w:rPr>
            <w:rStyle w:val="Hyperlink"/>
          </w:rPr>
          <w:t>202</w:t>
        </w:r>
        <w:r w:rsidR="00F409F8" w:rsidRPr="001F59A8">
          <w:rPr>
            <w:rStyle w:val="Hyperlink"/>
          </w:rPr>
          <w:t>4</w:t>
        </w:r>
        <w:r w:rsidR="00AF72AB" w:rsidRPr="001F59A8">
          <w:rPr>
            <w:rStyle w:val="Hyperlink"/>
          </w:rPr>
          <w:t>–202</w:t>
        </w:r>
        <w:r w:rsidR="00F409F8" w:rsidRPr="001F59A8">
          <w:rPr>
            <w:rStyle w:val="Hyperlink"/>
          </w:rPr>
          <w:t>5</w:t>
        </w:r>
        <w:r w:rsidR="00AF72AB" w:rsidRPr="001F59A8">
          <w:rPr>
            <w:rStyle w:val="Hyperlink"/>
          </w:rPr>
          <w:t xml:space="preserve"> Default market offer prices: Draft decision</w:t>
        </w:r>
      </w:hyperlink>
      <w:r w:rsidR="00AF72AB" w:rsidRPr="001F59A8">
        <w:t>, May 202</w:t>
      </w:r>
      <w:r w:rsidR="005D37CA" w:rsidRPr="001F59A8">
        <w:t>4</w:t>
      </w:r>
      <w:r w:rsidR="00AF72AB" w:rsidRPr="001F59A8">
        <w:t>, accessed 2</w:t>
      </w:r>
      <w:r w:rsidR="00F409F8" w:rsidRPr="001F59A8">
        <w:t>8</w:t>
      </w:r>
      <w:r w:rsidR="00AF72AB" w:rsidRPr="001F59A8">
        <w:t xml:space="preserve"> April 2025</w:t>
      </w:r>
      <w:r w:rsidR="00AB4B89" w:rsidRPr="001F59A8">
        <w:t>.</w:t>
      </w:r>
    </w:p>
  </w:footnote>
  <w:footnote w:id="61">
    <w:p w14:paraId="5B27F6FB" w14:textId="02BB8A16" w:rsidR="00886DAD" w:rsidRPr="001F59A8" w:rsidRDefault="00886DAD" w:rsidP="00886DAD">
      <w:pPr>
        <w:pStyle w:val="FootnoteText"/>
      </w:pPr>
      <w:r w:rsidRPr="001F59A8">
        <w:rPr>
          <w:rStyle w:val="FootnoteReference"/>
        </w:rPr>
        <w:footnoteRef/>
      </w:r>
      <w:r w:rsidRPr="001F59A8">
        <w:t xml:space="preserve"> 1</w:t>
      </w:r>
      <w:r w:rsidRPr="001F59A8">
        <w:rPr>
          <w:vertAlign w:val="superscript"/>
        </w:rPr>
        <w:t>st</w:t>
      </w:r>
      <w:r w:rsidRPr="001F59A8">
        <w:t xml:space="preserve"> Energy,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 xml:space="preserve">p. 2; Alinta Energy, submission to the Essential Services Commission, </w:t>
      </w:r>
      <w:r w:rsidRPr="001F59A8">
        <w:rPr>
          <w:i/>
        </w:rPr>
        <w:t>Victorian Default Offer 2025–26: Draft Decision Paper</w:t>
      </w:r>
      <w:r w:rsidRPr="001F59A8">
        <w:t>, April 2025, p</w:t>
      </w:r>
      <w:r>
        <w:t>p</w:t>
      </w:r>
      <w:r w:rsidRPr="001F59A8">
        <w:t xml:space="preserve">. 1, 3; Energy Locals, submission to the Essential Services Commission, </w:t>
      </w:r>
      <w:r w:rsidRPr="001F59A8">
        <w:rPr>
          <w:i/>
          <w:iCs/>
        </w:rPr>
        <w:t xml:space="preserve">Victorian Default Offer 2025–26: Draft Decision </w:t>
      </w:r>
      <w:r w:rsidRPr="001F59A8">
        <w:t>Paper, p</w:t>
      </w:r>
      <w:r>
        <w:t>p</w:t>
      </w:r>
      <w:r w:rsidRPr="001F59A8">
        <w:t xml:space="preserve">. 1-2; </w:t>
      </w:r>
      <w:r w:rsidR="00127039">
        <w:t>ENGIE</w:t>
      </w:r>
      <w:r w:rsidRPr="001F59A8">
        <w:t xml:space="preserve">, submission to the Essential Services Commission, </w:t>
      </w:r>
      <w:r w:rsidRPr="001F59A8">
        <w:rPr>
          <w:i/>
        </w:rPr>
        <w:t>Victorian Default Offer 2025–26: Draft Decision Paper</w:t>
      </w:r>
      <w:r w:rsidRPr="001F59A8">
        <w:t xml:space="preserve">, April 2025, p. 2; GloBird </w:t>
      </w:r>
      <w:r w:rsidR="00677AB3">
        <w:t>Energy</w:t>
      </w:r>
      <w:r w:rsidRPr="001F59A8">
        <w:t xml:space="preserve"> submission to the Essential Services Commission, </w:t>
      </w:r>
      <w:r w:rsidRPr="001F59A8">
        <w:rPr>
          <w:i/>
          <w:iCs/>
        </w:rPr>
        <w:t>Victorian Default Offer 2025–26: Draft Decision Paper</w:t>
      </w:r>
      <w:r w:rsidRPr="001F59A8">
        <w:t>, April 2025, p</w:t>
      </w:r>
      <w:r>
        <w:t>p</w:t>
      </w:r>
      <w:r w:rsidRPr="001F59A8">
        <w:t xml:space="preserve">. 1-2; Powershop submission to the Essential Services Commission, </w:t>
      </w:r>
      <w:r w:rsidRPr="001F59A8">
        <w:rPr>
          <w:i/>
          <w:iCs/>
        </w:rPr>
        <w:t>Victorian Default Offer 2025–26: Draft Decision Paper</w:t>
      </w:r>
      <w:r w:rsidRPr="001F59A8">
        <w:t>, April 2025, p</w:t>
      </w:r>
      <w:r>
        <w:t>p</w:t>
      </w:r>
      <w:r w:rsidRPr="001F59A8">
        <w:t>. 2-3; Red Energy and Lumo Energy,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pp. 1-2.</w:t>
      </w:r>
    </w:p>
  </w:footnote>
  <w:footnote w:id="62">
    <w:p w14:paraId="2A975124" w14:textId="2A974932" w:rsidR="005B4A6A" w:rsidRDefault="005B4A6A" w:rsidP="005B4A6A">
      <w:pPr>
        <w:pStyle w:val="FootnoteText"/>
      </w:pPr>
      <w:r>
        <w:rPr>
          <w:rStyle w:val="FootnoteReference"/>
        </w:rPr>
        <w:footnoteRef/>
      </w:r>
      <w:r>
        <w:t xml:space="preserve"> </w:t>
      </w:r>
      <w:r w:rsidR="00F36EF0" w:rsidRPr="00F36EF0">
        <w:t>From 1 July 2025, the amount to be credited in each financial year against the charges payable to a retailer by a customer who is a relevant generator of the electricity the retailer supplies to the customer ('a general renewable energy credit') is no longer determined by the commission. Rather, the general renewable energy credit (often referred to as a 'solar feed</w:t>
      </w:r>
      <w:r w:rsidR="00454843">
        <w:t>-</w:t>
      </w:r>
      <w:r w:rsidR="00F36EF0" w:rsidRPr="00F36EF0">
        <w:t xml:space="preserve">in tariff') is the amount determined by the retailer at the rate or rates published as part of the retailer's general renewable energy feed-in terms and conditions. This amount cannot be less than $0.00 per kilowatt-hour. </w:t>
      </w:r>
      <w:r>
        <w:t>E</w:t>
      </w:r>
      <w:r w:rsidRPr="00B615EB">
        <w:t>nergy and Land Legislation Amendment (Energy Safety) Act 2025, s97A to s97D</w:t>
      </w:r>
      <w:r w:rsidR="00147C8B">
        <w:t>.</w:t>
      </w:r>
    </w:p>
  </w:footnote>
  <w:footnote w:id="63">
    <w:p w14:paraId="7568800C" w14:textId="77777777" w:rsidR="00386C6C" w:rsidRPr="001F59A8" w:rsidRDefault="00386C6C" w:rsidP="00386C6C">
      <w:pPr>
        <w:pStyle w:val="FootnoteText"/>
      </w:pPr>
      <w:r w:rsidRPr="001F59A8">
        <w:rPr>
          <w:rStyle w:val="FootnoteReference"/>
        </w:rPr>
        <w:footnoteRef/>
      </w:r>
      <w:r w:rsidRPr="001F59A8">
        <w:t xml:space="preserve"> GloBird Energy, submission to the Essential Services Commission, </w:t>
      </w:r>
      <w:r w:rsidRPr="001F59A8">
        <w:rPr>
          <w:i/>
        </w:rPr>
        <w:t>Victorian Default Offer 2025–26: Draft Decision Paper</w:t>
      </w:r>
      <w:r w:rsidRPr="001F59A8">
        <w:t>, April 2025, p.2.</w:t>
      </w:r>
    </w:p>
  </w:footnote>
  <w:footnote w:id="64">
    <w:p w14:paraId="5C3517CB" w14:textId="77777777" w:rsidR="00386C6C" w:rsidRPr="001F59A8" w:rsidRDefault="00386C6C" w:rsidP="00386C6C">
      <w:pPr>
        <w:pStyle w:val="FootnoteText"/>
      </w:pPr>
      <w:r w:rsidRPr="001F59A8">
        <w:rPr>
          <w:rStyle w:val="FootnoteReference"/>
        </w:rPr>
        <w:footnoteRef/>
      </w:r>
      <w:r w:rsidRPr="001F59A8">
        <w:t xml:space="preserve"> Essential Services Commission 2025, </w:t>
      </w:r>
      <w:r w:rsidRPr="001F59A8">
        <w:rPr>
          <w:i/>
          <w:iCs/>
        </w:rPr>
        <w:t>Minimum Electricity Feed-in Tariffs from 1 July 2025: Final Decision</w:t>
      </w:r>
      <w:r w:rsidRPr="001F59A8">
        <w:t>, 27 February, p. 13.</w:t>
      </w:r>
    </w:p>
  </w:footnote>
  <w:footnote w:id="65">
    <w:p w14:paraId="0C3C4E1A" w14:textId="05D7FE94" w:rsidR="001B21AC" w:rsidRDefault="001B21AC">
      <w:pPr>
        <w:pStyle w:val="FootnoteText"/>
      </w:pPr>
      <w:r>
        <w:rPr>
          <w:rStyle w:val="FootnoteReference"/>
        </w:rPr>
        <w:footnoteRef/>
      </w:r>
      <w:r>
        <w:t xml:space="preserve"> </w:t>
      </w:r>
      <w:r w:rsidR="00147C8B">
        <w:t>E</w:t>
      </w:r>
      <w:r w:rsidR="00147C8B" w:rsidRPr="00B615EB">
        <w:t>nergy and Land Legislation Amendment (Energy Safety) Act 2025, s97A to s97D</w:t>
      </w:r>
      <w:r w:rsidR="00147C8B">
        <w:t>.</w:t>
      </w:r>
    </w:p>
  </w:footnote>
  <w:footnote w:id="66">
    <w:p w14:paraId="0B96B2AD" w14:textId="6610F1A5" w:rsidR="00C97E5A" w:rsidRPr="001F59A8" w:rsidRDefault="00C97E5A">
      <w:pPr>
        <w:pStyle w:val="FootnoteText"/>
      </w:pPr>
      <w:r w:rsidRPr="001F59A8">
        <w:rPr>
          <w:rStyle w:val="FootnoteReference"/>
        </w:rPr>
        <w:footnoteRef/>
      </w:r>
      <w:r w:rsidRPr="001F59A8">
        <w:t xml:space="preserve"> A Monte Carlo simulation is a mathematical technique</w:t>
      </w:r>
      <w:r w:rsidR="00087C2D" w:rsidRPr="001F59A8">
        <w:t xml:space="preserve"> used to estimate </w:t>
      </w:r>
      <w:r w:rsidR="007B0DFC" w:rsidRPr="001F59A8">
        <w:t xml:space="preserve">the </w:t>
      </w:r>
      <w:r w:rsidR="00087C2D" w:rsidRPr="001F59A8">
        <w:t>possible outcomes o</w:t>
      </w:r>
      <w:r w:rsidR="00523CCA" w:rsidRPr="001F59A8">
        <w:t>f</w:t>
      </w:r>
      <w:r w:rsidR="00087C2D" w:rsidRPr="001F59A8">
        <w:t xml:space="preserve"> </w:t>
      </w:r>
      <w:r w:rsidR="007B0DFC" w:rsidRPr="001F59A8">
        <w:t xml:space="preserve">an uncertain event or </w:t>
      </w:r>
      <w:r w:rsidR="00087C2D" w:rsidRPr="001F59A8">
        <w:t xml:space="preserve">process by </w:t>
      </w:r>
      <w:r w:rsidR="0057214F" w:rsidRPr="001F59A8">
        <w:t xml:space="preserve">running </w:t>
      </w:r>
      <w:r w:rsidR="00FE4B3C" w:rsidRPr="001F59A8">
        <w:t>many</w:t>
      </w:r>
      <w:r w:rsidR="0057214F" w:rsidRPr="001F59A8">
        <w:t xml:space="preserve"> random trials. Frontier Economics provide</w:t>
      </w:r>
      <w:r w:rsidR="00D166FB" w:rsidRPr="001F59A8">
        <w:t>s</w:t>
      </w:r>
      <w:r w:rsidR="0057214F" w:rsidRPr="001F59A8">
        <w:t xml:space="preserve"> more detail in their report, </w:t>
      </w:r>
      <w:r w:rsidR="00D93C48" w:rsidRPr="001F59A8">
        <w:t xml:space="preserve">Frontier </w:t>
      </w:r>
      <w:r w:rsidR="00907630" w:rsidRPr="001F59A8">
        <w:rPr>
          <w:szCs w:val="18"/>
        </w:rPr>
        <w:t xml:space="preserve">Economics 2025, </w:t>
      </w:r>
      <w:r w:rsidR="00907630" w:rsidRPr="001F59A8">
        <w:rPr>
          <w:i/>
          <w:szCs w:val="18"/>
        </w:rPr>
        <w:t>Wholesale electricity costs for 2025–26</w:t>
      </w:r>
      <w:r w:rsidR="00907630" w:rsidRPr="00090EC5">
        <w:rPr>
          <w:i/>
          <w:szCs w:val="18"/>
        </w:rPr>
        <w:t xml:space="preserve">: A </w:t>
      </w:r>
      <w:r w:rsidR="000814E6" w:rsidRPr="00090EC5">
        <w:rPr>
          <w:i/>
          <w:szCs w:val="18"/>
        </w:rPr>
        <w:t xml:space="preserve">final </w:t>
      </w:r>
      <w:r w:rsidR="00907630" w:rsidRPr="00090EC5">
        <w:rPr>
          <w:i/>
          <w:szCs w:val="18"/>
        </w:rPr>
        <w:t>report for</w:t>
      </w:r>
      <w:r w:rsidR="00907630" w:rsidRPr="001F59A8">
        <w:rPr>
          <w:i/>
          <w:szCs w:val="18"/>
        </w:rPr>
        <w:t xml:space="preserve"> the Essential Services Commission</w:t>
      </w:r>
      <w:r w:rsidR="00907630" w:rsidRPr="00090EC5">
        <w:rPr>
          <w:szCs w:val="18"/>
        </w:rPr>
        <w:t xml:space="preserve">, </w:t>
      </w:r>
      <w:r w:rsidR="00FE4B3C" w:rsidRPr="00090EC5">
        <w:rPr>
          <w:szCs w:val="18"/>
        </w:rPr>
        <w:t>pp</w:t>
      </w:r>
      <w:r w:rsidR="00444666" w:rsidRPr="00090EC5">
        <w:rPr>
          <w:szCs w:val="18"/>
        </w:rPr>
        <w:t>.</w:t>
      </w:r>
      <w:r w:rsidR="00FE4B3C" w:rsidRPr="00090EC5">
        <w:rPr>
          <w:szCs w:val="18"/>
        </w:rPr>
        <w:t xml:space="preserve"> 16</w:t>
      </w:r>
      <w:r w:rsidR="00791CAA" w:rsidRPr="00090EC5">
        <w:rPr>
          <w:szCs w:val="18"/>
        </w:rPr>
        <w:t>–</w:t>
      </w:r>
      <w:r w:rsidR="00FE4B3C" w:rsidRPr="00090EC5">
        <w:rPr>
          <w:szCs w:val="18"/>
        </w:rPr>
        <w:t xml:space="preserve">18, </w:t>
      </w:r>
      <w:r w:rsidR="003D2B7E" w:rsidRPr="00090EC5">
        <w:rPr>
          <w:szCs w:val="18"/>
        </w:rPr>
        <w:t>2</w:t>
      </w:r>
      <w:r w:rsidR="009A3A73" w:rsidRPr="00090EC5">
        <w:rPr>
          <w:szCs w:val="18"/>
        </w:rPr>
        <w:t xml:space="preserve"> May</w:t>
      </w:r>
      <w:r w:rsidR="004F3F24" w:rsidRPr="00090EC5">
        <w:rPr>
          <w:szCs w:val="18"/>
        </w:rPr>
        <w:t xml:space="preserve"> 2025</w:t>
      </w:r>
      <w:r w:rsidR="00FE4B3C" w:rsidRPr="00090EC5">
        <w:rPr>
          <w:szCs w:val="18"/>
        </w:rPr>
        <w:t>.</w:t>
      </w:r>
    </w:p>
  </w:footnote>
  <w:footnote w:id="67">
    <w:p w14:paraId="683B3D58" w14:textId="77777777" w:rsidR="006B7E22" w:rsidRPr="001F59A8" w:rsidRDefault="006B7E22" w:rsidP="006B7E22">
      <w:pPr>
        <w:pStyle w:val="FootnoteText"/>
      </w:pPr>
      <w:r w:rsidRPr="001F59A8">
        <w:rPr>
          <w:rStyle w:val="FootnoteReference"/>
        </w:rPr>
        <w:footnoteRef/>
      </w:r>
      <w:r w:rsidRPr="001F59A8">
        <w:t xml:space="preserve"> Frontier Economics use a random drawing of data from a pool of like days, where days are classified as either weekdays or weekends, from either Q1 (January to March), Q2 (April to June), Q3 (July to September) and Q4 (October to December).</w:t>
      </w:r>
    </w:p>
  </w:footnote>
  <w:footnote w:id="68">
    <w:p w14:paraId="43AD599F" w14:textId="77777777" w:rsidR="006B7E22" w:rsidRPr="001F59A8" w:rsidRDefault="006B7E22" w:rsidP="006B7E22">
      <w:pPr>
        <w:pStyle w:val="FootnoteText"/>
      </w:pPr>
      <w:r w:rsidRPr="001F59A8">
        <w:rPr>
          <w:rStyle w:val="FootnoteReference"/>
        </w:rPr>
        <w:footnoteRef/>
      </w:r>
      <w:r w:rsidRPr="001F59A8">
        <w:t xml:space="preserve"> The assumed contract premium is five per cent on the underlying prices.</w:t>
      </w:r>
    </w:p>
  </w:footnote>
  <w:footnote w:id="69">
    <w:p w14:paraId="39483AC0" w14:textId="0FC80896" w:rsidR="006B7E22" w:rsidRPr="001F59A8" w:rsidRDefault="006B7E22" w:rsidP="006B7E22">
      <w:pPr>
        <w:pStyle w:val="FootnoteText"/>
      </w:pPr>
      <w:r w:rsidRPr="001F59A8">
        <w:rPr>
          <w:rStyle w:val="FootnoteReference"/>
        </w:rPr>
        <w:footnoteRef/>
      </w:r>
      <w:r w:rsidRPr="001F59A8">
        <w:t xml:space="preserve"> Clause 12(3) </w:t>
      </w:r>
      <w:r w:rsidR="00E226B8">
        <w:t>and (8)</w:t>
      </w:r>
      <w:r w:rsidRPr="001F59A8">
        <w:t xml:space="preserve"> of the pricing order.</w:t>
      </w:r>
    </w:p>
  </w:footnote>
  <w:footnote w:id="70">
    <w:p w14:paraId="30344B1A" w14:textId="08A6A92A" w:rsidR="00287AD9" w:rsidRPr="001F59A8" w:rsidRDefault="00287AD9" w:rsidP="00287AD9">
      <w:pPr>
        <w:pStyle w:val="FootnoteText"/>
        <w:rPr>
          <w:highlight w:val="yellow"/>
        </w:rPr>
      </w:pPr>
      <w:r w:rsidRPr="001F59A8">
        <w:rPr>
          <w:rStyle w:val="FootnoteReference"/>
        </w:rPr>
        <w:footnoteRef/>
      </w:r>
      <w:r w:rsidRPr="001F59A8">
        <w:t xml:space="preserve"> Clause 12(4)(c) of the </w:t>
      </w:r>
      <w:r w:rsidR="004E2145" w:rsidRPr="001F59A8">
        <w:t>pricing order</w:t>
      </w:r>
      <w:r w:rsidRPr="001F59A8">
        <w:t>.</w:t>
      </w:r>
    </w:p>
  </w:footnote>
  <w:footnote w:id="71">
    <w:p w14:paraId="3C38AB71" w14:textId="4D5B9CF9" w:rsidR="00CD6F7B" w:rsidRPr="001F59A8" w:rsidRDefault="00CD6F7B" w:rsidP="00CD6F7B">
      <w:pPr>
        <w:pStyle w:val="FootnoteText"/>
      </w:pPr>
      <w:r w:rsidRPr="001F59A8">
        <w:rPr>
          <w:rStyle w:val="FootnoteReference"/>
        </w:rPr>
        <w:footnoteRef/>
      </w:r>
      <w:r w:rsidRPr="001F59A8">
        <w:t xml:space="preserve"> Clause 12(3) of the </w:t>
      </w:r>
      <w:r w:rsidR="004E2145" w:rsidRPr="001F59A8">
        <w:t>pricing order</w:t>
      </w:r>
      <w:r w:rsidRPr="001F59A8">
        <w:t xml:space="preserve">. </w:t>
      </w:r>
    </w:p>
  </w:footnote>
  <w:footnote w:id="72">
    <w:p w14:paraId="11E5B4AB" w14:textId="7FA5E29B" w:rsidR="0037154C" w:rsidRDefault="0037154C" w:rsidP="0037154C">
      <w:pPr>
        <w:pStyle w:val="FootnoteText"/>
      </w:pPr>
      <w:r>
        <w:rPr>
          <w:rStyle w:val="FootnoteReference"/>
        </w:rPr>
        <w:footnoteRef/>
      </w:r>
      <w:r>
        <w:t xml:space="preserve"> </w:t>
      </w:r>
      <w:r w:rsidR="00A02755">
        <w:t>E</w:t>
      </w:r>
      <w:r w:rsidR="00A02755" w:rsidRPr="00B615EB">
        <w:t>nergy and Land Legislation Amendment (Energy Safety) Act 2025, s97A to s97D</w:t>
      </w:r>
      <w:r w:rsidR="00A02755">
        <w:t>.</w:t>
      </w:r>
    </w:p>
  </w:footnote>
  <w:footnote w:id="73">
    <w:p w14:paraId="788D3A0B" w14:textId="206F2EAB" w:rsidR="00C67454" w:rsidRPr="00611B44" w:rsidRDefault="00C67454" w:rsidP="00C67454">
      <w:pPr>
        <w:pStyle w:val="FootnoteText"/>
      </w:pPr>
      <w:r w:rsidRPr="001F59A8">
        <w:rPr>
          <w:rStyle w:val="FootnoteReference"/>
        </w:rPr>
        <w:footnoteRef/>
      </w:r>
      <w:r w:rsidRPr="001F59A8">
        <w:t xml:space="preserve"> Clean </w:t>
      </w:r>
      <w:r w:rsidRPr="00611B44">
        <w:t xml:space="preserve">Energy Regulator set the renewable power percentage at 17.91 per cent for 2025. Clean Energy Regulator </w:t>
      </w:r>
      <w:hyperlink r:id="rId7" w:history="1">
        <w:r w:rsidRPr="00611B44">
          <w:rPr>
            <w:rStyle w:val="Hyperlink"/>
          </w:rPr>
          <w:t>https://www.cleanenergyregulator.gov.au/RET/Scheme-participants-and-industry/the-renewable-power-percentage</w:t>
        </w:r>
      </w:hyperlink>
      <w:r w:rsidRPr="00611B44">
        <w:t>, accessed 8</w:t>
      </w:r>
      <w:r w:rsidR="003D2B7E" w:rsidRPr="00611B44">
        <w:t xml:space="preserve"> </w:t>
      </w:r>
      <w:r w:rsidRPr="00611B44">
        <w:t xml:space="preserve">April 2025.  </w:t>
      </w:r>
    </w:p>
  </w:footnote>
  <w:footnote w:id="74">
    <w:p w14:paraId="3F862226" w14:textId="2297020A" w:rsidR="00287AD9" w:rsidRPr="001F59A8" w:rsidDel="00235F66" w:rsidRDefault="00287AD9" w:rsidP="00287AD9">
      <w:pPr>
        <w:pStyle w:val="FootnoteText"/>
        <w:rPr>
          <w:i/>
          <w:iCs/>
        </w:rPr>
      </w:pPr>
      <w:r w:rsidRPr="00611B44" w:rsidDel="00235F66">
        <w:rPr>
          <w:rStyle w:val="FootnoteReference"/>
        </w:rPr>
        <w:footnoteRef/>
      </w:r>
      <w:r w:rsidRPr="00611B44" w:rsidDel="00235F66">
        <w:t xml:space="preserve"> We have used the most recent 12</w:t>
      </w:r>
      <w:r w:rsidR="00315FE0" w:rsidRPr="00611B44">
        <w:t xml:space="preserve"> </w:t>
      </w:r>
      <w:r w:rsidRPr="00611B44" w:rsidDel="00235F66">
        <w:t xml:space="preserve">months of </w:t>
      </w:r>
      <w:r w:rsidR="00252D44" w:rsidRPr="00611B44">
        <w:t xml:space="preserve">trade-weighted </w:t>
      </w:r>
      <w:r w:rsidRPr="00611B44" w:rsidDel="00235F66">
        <w:t>average market prices for LGCs</w:t>
      </w:r>
      <w:r w:rsidR="00DF1304" w:rsidRPr="00611B44">
        <w:t xml:space="preserve"> settled in 2025–26 as of </w:t>
      </w:r>
      <w:r w:rsidR="008375DA" w:rsidRPr="00611B44">
        <w:t>16</w:t>
      </w:r>
      <w:r w:rsidR="00B435F6" w:rsidRPr="00611B44">
        <w:t xml:space="preserve"> April</w:t>
      </w:r>
      <w:r w:rsidR="00DF1304" w:rsidRPr="00611B44">
        <w:t xml:space="preserve"> 2025</w:t>
      </w:r>
      <w:r w:rsidRPr="00611B44" w:rsidDel="00235F66">
        <w:t xml:space="preserve">. Frontier Economics, </w:t>
      </w:r>
      <w:r w:rsidRPr="00611B44" w:rsidDel="00235F66">
        <w:rPr>
          <w:i/>
        </w:rPr>
        <w:t>Wholesale electricity costs for 202</w:t>
      </w:r>
      <w:r w:rsidR="00357E29" w:rsidRPr="00611B44">
        <w:rPr>
          <w:i/>
        </w:rPr>
        <w:t>5</w:t>
      </w:r>
      <w:r w:rsidRPr="00611B44" w:rsidDel="00235F66">
        <w:rPr>
          <w:i/>
        </w:rPr>
        <w:t>–2</w:t>
      </w:r>
      <w:r w:rsidR="00357E29" w:rsidRPr="00611B44">
        <w:rPr>
          <w:i/>
        </w:rPr>
        <w:t>6</w:t>
      </w:r>
      <w:r w:rsidRPr="00611B44" w:rsidDel="00235F66">
        <w:rPr>
          <w:i/>
        </w:rPr>
        <w:t xml:space="preserve">: A </w:t>
      </w:r>
      <w:r w:rsidR="006A23AE" w:rsidRPr="00611B44">
        <w:rPr>
          <w:i/>
        </w:rPr>
        <w:t>final</w:t>
      </w:r>
      <w:r w:rsidR="006A23AE" w:rsidRPr="00611B44" w:rsidDel="00235F66">
        <w:rPr>
          <w:i/>
        </w:rPr>
        <w:t xml:space="preserve"> </w:t>
      </w:r>
      <w:r w:rsidRPr="00611B44" w:rsidDel="00235F66">
        <w:rPr>
          <w:i/>
        </w:rPr>
        <w:t>report for the Essential Services Commis</w:t>
      </w:r>
      <w:r w:rsidRPr="00611B44">
        <w:rPr>
          <w:i/>
        </w:rPr>
        <w:t>sion</w:t>
      </w:r>
      <w:r w:rsidRPr="00611B44">
        <w:t xml:space="preserve">, </w:t>
      </w:r>
      <w:r w:rsidR="006E7B7A" w:rsidRPr="00611B44">
        <w:t>2</w:t>
      </w:r>
      <w:r w:rsidR="006A23AE" w:rsidRPr="00611B44">
        <w:t xml:space="preserve"> May</w:t>
      </w:r>
      <w:r w:rsidR="006A23AE" w:rsidRPr="00611B44" w:rsidDel="00235F66">
        <w:t xml:space="preserve"> </w:t>
      </w:r>
      <w:r w:rsidRPr="00611B44" w:rsidDel="00235F66">
        <w:t>202</w:t>
      </w:r>
      <w:r w:rsidR="000F2093" w:rsidRPr="00611B44">
        <w:t>5</w:t>
      </w:r>
      <w:r w:rsidRPr="00611B44" w:rsidDel="00235F66">
        <w:t xml:space="preserve"> p. 44</w:t>
      </w:r>
      <w:r w:rsidR="00E54487" w:rsidRPr="00611B44">
        <w:t>.</w:t>
      </w:r>
    </w:p>
  </w:footnote>
  <w:footnote w:id="75">
    <w:p w14:paraId="4267C1E3" w14:textId="7DAE462D" w:rsidR="006A42E5" w:rsidRPr="001F59A8" w:rsidRDefault="006A42E5">
      <w:pPr>
        <w:pStyle w:val="FootnoteText"/>
      </w:pPr>
      <w:r w:rsidRPr="001F59A8">
        <w:rPr>
          <w:rStyle w:val="FootnoteReference"/>
        </w:rPr>
        <w:footnoteRef/>
      </w:r>
      <w:r w:rsidRPr="001F59A8">
        <w:t xml:space="preserve"> </w:t>
      </w:r>
      <w:r w:rsidR="001173B2">
        <w:t>We also include a</w:t>
      </w:r>
      <w:r w:rsidR="00EF657A">
        <w:t>n adjustment for the previous regulatory period.</w:t>
      </w:r>
      <w:r w:rsidRPr="001F59A8">
        <w:t xml:space="preserve"> The </w:t>
      </w:r>
      <w:r w:rsidR="002C2CBB" w:rsidRPr="001F59A8">
        <w:t xml:space="preserve">regulatory period </w:t>
      </w:r>
      <w:r w:rsidRPr="001F59A8">
        <w:t xml:space="preserve">adjustment value accounts for </w:t>
      </w:r>
      <w:r w:rsidR="00A437A2">
        <w:t xml:space="preserve">changes to the liability percentage as well </w:t>
      </w:r>
      <w:r w:rsidRPr="001F59A8">
        <w:t>retail operating margin, network line losses and GST.</w:t>
      </w:r>
      <w:r w:rsidR="007214AA">
        <w:t xml:space="preserve"> The value of </w:t>
      </w:r>
      <w:r w:rsidR="000815FF">
        <w:t xml:space="preserve">the adjustment to the </w:t>
      </w:r>
      <w:r w:rsidR="000815FF" w:rsidRPr="002E59C4">
        <w:t>2024</w:t>
      </w:r>
      <w:r w:rsidR="002C17D8" w:rsidRPr="002E59C4">
        <w:t>–</w:t>
      </w:r>
      <w:r w:rsidR="000815FF" w:rsidRPr="002E59C4">
        <w:t>25</w:t>
      </w:r>
      <w:r w:rsidR="000815FF">
        <w:t xml:space="preserve"> period for the </w:t>
      </w:r>
      <w:r w:rsidR="007961C9">
        <w:t>L</w:t>
      </w:r>
      <w:r w:rsidR="000815FF">
        <w:t>RE</w:t>
      </w:r>
      <w:r w:rsidR="007961C9">
        <w:t xml:space="preserve">T </w:t>
      </w:r>
      <w:r w:rsidR="000815FF">
        <w:t xml:space="preserve">is </w:t>
      </w:r>
      <w:r w:rsidR="007B0F67">
        <w:t>-0.</w:t>
      </w:r>
      <w:r w:rsidR="001C3DB3">
        <w:t>17</w:t>
      </w:r>
      <w:r w:rsidR="007B0F67">
        <w:t xml:space="preserve"> cents.</w:t>
      </w:r>
    </w:p>
  </w:footnote>
  <w:footnote w:id="76">
    <w:p w14:paraId="17D8D922" w14:textId="77D02140" w:rsidR="00287AD9" w:rsidRPr="001F59A8" w:rsidRDefault="00287AD9" w:rsidP="00287AD9">
      <w:pPr>
        <w:pStyle w:val="FootnoteText"/>
      </w:pPr>
      <w:r w:rsidRPr="001F59A8">
        <w:rPr>
          <w:rStyle w:val="FootnoteReference"/>
        </w:rPr>
        <w:footnoteRef/>
      </w:r>
      <w:r w:rsidRPr="001F59A8">
        <w:t xml:space="preserve"> For more information see </w:t>
      </w:r>
      <w:hyperlink r:id="rId8" w:history="1">
        <w:r w:rsidRPr="001F59A8">
          <w:rPr>
            <w:rStyle w:val="Hyperlink"/>
          </w:rPr>
          <w:t>https://www.cleanenergyregulator.gov.au/RET/About-the-Renewable-Energy-Target/How-the-scheme-works/Small-scale-Renewable-Energy-Scheme</w:t>
        </w:r>
      </w:hyperlink>
      <w:r w:rsidRPr="001F59A8">
        <w:t xml:space="preserve">, accessed </w:t>
      </w:r>
      <w:r w:rsidR="00194C1F" w:rsidRPr="001F59A8">
        <w:t>8</w:t>
      </w:r>
      <w:r w:rsidR="00C473EF">
        <w:t xml:space="preserve"> </w:t>
      </w:r>
      <w:r w:rsidR="00194C1F" w:rsidRPr="001F59A8">
        <w:t xml:space="preserve">April </w:t>
      </w:r>
      <w:r w:rsidRPr="001F59A8">
        <w:t>202</w:t>
      </w:r>
      <w:r w:rsidR="00E648A8" w:rsidRPr="001F59A8">
        <w:t>5</w:t>
      </w:r>
      <w:r w:rsidRPr="001F59A8">
        <w:t xml:space="preserve">. </w:t>
      </w:r>
    </w:p>
  </w:footnote>
  <w:footnote w:id="77">
    <w:p w14:paraId="750EB235" w14:textId="655C8089" w:rsidR="00287AD9" w:rsidRPr="001F59A8" w:rsidRDefault="00287AD9" w:rsidP="00287AD9">
      <w:pPr>
        <w:pStyle w:val="FootnoteText"/>
      </w:pPr>
      <w:r w:rsidRPr="001F59A8">
        <w:rPr>
          <w:rStyle w:val="FootnoteReference"/>
        </w:rPr>
        <w:footnoteRef/>
      </w:r>
      <w:r w:rsidRPr="001F59A8">
        <w:t xml:space="preserve"> Clean Energy Regulator, </w:t>
      </w:r>
      <w:hyperlink r:id="rId9" w:history="1">
        <w:r w:rsidRPr="001F59A8">
          <w:rPr>
            <w:rStyle w:val="Hyperlink"/>
          </w:rPr>
          <w:t>https://www.cleanenergyregulator.gov.au/RET/Scheme-participants-and-industry/the-small-scale-technology-percentage</w:t>
        </w:r>
      </w:hyperlink>
      <w:r w:rsidRPr="001F59A8">
        <w:t xml:space="preserve">, accessed </w:t>
      </w:r>
      <w:r w:rsidR="00C339DF" w:rsidRPr="001F59A8">
        <w:t xml:space="preserve">8 April </w:t>
      </w:r>
      <w:r w:rsidRPr="001F59A8">
        <w:t>202</w:t>
      </w:r>
      <w:r w:rsidR="00AA24DA" w:rsidRPr="001F59A8">
        <w:t>5</w:t>
      </w:r>
      <w:r w:rsidRPr="001F59A8">
        <w:t xml:space="preserve">.   </w:t>
      </w:r>
    </w:p>
  </w:footnote>
  <w:footnote w:id="78">
    <w:p w14:paraId="4FD798AF" w14:textId="53F3F5F9" w:rsidR="00287AD9" w:rsidRPr="001F59A8" w:rsidRDefault="00287AD9" w:rsidP="00287AD9">
      <w:pPr>
        <w:pStyle w:val="FootnoteText"/>
        <w:rPr>
          <w:highlight w:val="yellow"/>
        </w:rPr>
      </w:pPr>
      <w:r w:rsidRPr="001F59A8">
        <w:rPr>
          <w:rStyle w:val="FootnoteReference"/>
        </w:rPr>
        <w:footnoteRef/>
      </w:r>
      <w:r w:rsidRPr="001F59A8">
        <w:t xml:space="preserve"> Small-scale renewable energy system owners and registered agents have the option to sell STCs through the open market for an uncapped price, or through the STC clearing house at a </w:t>
      </w:r>
      <w:r w:rsidRPr="00603A25">
        <w:t>fixed price of $</w:t>
      </w:r>
      <w:r w:rsidR="00F653B3" w:rsidRPr="00603A25">
        <w:t>40</w:t>
      </w:r>
      <w:r w:rsidRPr="00603A25">
        <w:t xml:space="preserve"> (excluding</w:t>
      </w:r>
      <w:r w:rsidRPr="001F59A8">
        <w:t xml:space="preserve"> GST). Clean Energy Regulator, </w:t>
      </w:r>
      <w:hyperlink r:id="rId10" w:history="1">
        <w:r w:rsidRPr="001F59A8">
          <w:rPr>
            <w:rStyle w:val="Hyperlink"/>
          </w:rPr>
          <w:t>https://www.cleanenergyregulator.gov.au/OSR/REC/STC-clearing-house</w:t>
        </w:r>
      </w:hyperlink>
      <w:r w:rsidRPr="001F59A8">
        <w:t xml:space="preserve">, accessed </w:t>
      </w:r>
      <w:r w:rsidR="0062048C" w:rsidRPr="001F59A8">
        <w:t xml:space="preserve">8 April </w:t>
      </w:r>
      <w:r w:rsidR="00AA24DA" w:rsidRPr="001F59A8">
        <w:t>2025</w:t>
      </w:r>
      <w:r w:rsidRPr="001F59A8">
        <w:t xml:space="preserve">. </w:t>
      </w:r>
    </w:p>
  </w:footnote>
  <w:footnote w:id="79">
    <w:p w14:paraId="66B670D0" w14:textId="6E86CBAD" w:rsidR="009A2B7E" w:rsidRPr="001F59A8" w:rsidRDefault="009A2B7E">
      <w:pPr>
        <w:pStyle w:val="FootnoteText"/>
      </w:pPr>
      <w:r w:rsidRPr="001F59A8">
        <w:rPr>
          <w:rStyle w:val="FootnoteReference"/>
        </w:rPr>
        <w:footnoteRef/>
      </w:r>
      <w:r w:rsidRPr="001F59A8">
        <w:t xml:space="preserve"> </w:t>
      </w:r>
      <w:r w:rsidR="007961C9">
        <w:t>We also include an adjustment for the previous regulatory period.</w:t>
      </w:r>
      <w:r w:rsidRPr="001F59A8">
        <w:t xml:space="preserve"> The regulatory period adjustment </w:t>
      </w:r>
      <w:r w:rsidR="007961C9" w:rsidRPr="001F59A8">
        <w:t xml:space="preserve">value accounts for </w:t>
      </w:r>
      <w:r w:rsidR="007961C9">
        <w:t xml:space="preserve">changes to the liability percentage as well </w:t>
      </w:r>
      <w:r w:rsidR="007961C9" w:rsidRPr="001F59A8">
        <w:t>retail operating margin, network line losses and GST.</w:t>
      </w:r>
      <w:r w:rsidR="007961C9">
        <w:t xml:space="preserve"> The value of the adjustment to the </w:t>
      </w:r>
      <w:r w:rsidR="007961C9" w:rsidRPr="00857D6F">
        <w:t>2024</w:t>
      </w:r>
      <w:r w:rsidR="002C17D8" w:rsidRPr="00857D6F">
        <w:t>–</w:t>
      </w:r>
      <w:r w:rsidR="007961C9" w:rsidRPr="00857D6F">
        <w:t>25</w:t>
      </w:r>
      <w:r w:rsidR="007961C9">
        <w:t xml:space="preserve"> period for the SRES is -0.55 cents.</w:t>
      </w:r>
    </w:p>
  </w:footnote>
  <w:footnote w:id="80">
    <w:p w14:paraId="2AEC62A2" w14:textId="0584D303" w:rsidR="000C2382" w:rsidRPr="001F59A8" w:rsidRDefault="000C2382">
      <w:pPr>
        <w:pStyle w:val="FootnoteText"/>
      </w:pPr>
      <w:r w:rsidRPr="001F59A8">
        <w:rPr>
          <w:rStyle w:val="FootnoteReference"/>
        </w:rPr>
        <w:footnoteRef/>
      </w:r>
      <w:r w:rsidR="00656DFC" w:rsidRPr="001F59A8">
        <w:t xml:space="preserve"> </w:t>
      </w:r>
      <w:r w:rsidR="00E1691A" w:rsidRPr="001F59A8">
        <w:t xml:space="preserve">Essential Services Commission, </w:t>
      </w:r>
      <w:r w:rsidR="00562840" w:rsidRPr="001F59A8">
        <w:t xml:space="preserve">‘About the Victorian Energy Upgrades program’, </w:t>
      </w:r>
      <w:hyperlink r:id="rId11" w:history="1">
        <w:r w:rsidR="00EF7DEA" w:rsidRPr="001F59A8">
          <w:rPr>
            <w:rStyle w:val="Hyperlink"/>
          </w:rPr>
          <w:t>https://www.esc.vic.gov.au/victorian-energy-upgrades/about-victorian-energy-upgrades-program</w:t>
        </w:r>
      </w:hyperlink>
      <w:r w:rsidR="00562840" w:rsidRPr="001F59A8">
        <w:t xml:space="preserve"> accessed </w:t>
      </w:r>
      <w:r w:rsidR="001B1089" w:rsidRPr="001F59A8">
        <w:t>8</w:t>
      </w:r>
      <w:r w:rsidR="00562840" w:rsidRPr="001F59A8">
        <w:t xml:space="preserve"> </w:t>
      </w:r>
      <w:r w:rsidR="001B1089" w:rsidRPr="001F59A8">
        <w:t xml:space="preserve">April </w:t>
      </w:r>
      <w:r w:rsidR="00562840" w:rsidRPr="001F59A8">
        <w:t>2025.</w:t>
      </w:r>
    </w:p>
  </w:footnote>
  <w:footnote w:id="81">
    <w:p w14:paraId="46703CEA" w14:textId="5B56A55D" w:rsidR="00403905" w:rsidRDefault="00403905">
      <w:pPr>
        <w:pStyle w:val="FootnoteText"/>
      </w:pPr>
      <w:r>
        <w:rPr>
          <w:rStyle w:val="FootnoteReference"/>
        </w:rPr>
        <w:footnoteRef/>
      </w:r>
      <w:r>
        <w:t xml:space="preserve"> </w:t>
      </w:r>
      <w:r w:rsidR="005F5BE4">
        <w:t>1</w:t>
      </w:r>
      <w:r w:rsidR="005F5BE4" w:rsidRPr="005F5BE4">
        <w:rPr>
          <w:vertAlign w:val="superscript"/>
        </w:rPr>
        <w:t>st</w:t>
      </w:r>
      <w:r w:rsidR="005F5BE4">
        <w:t xml:space="preserve"> Energy</w:t>
      </w:r>
      <w:r>
        <w:t>,</w:t>
      </w:r>
      <w:r w:rsidRPr="001F59A8">
        <w:t xml:space="preserve"> submission to the Essential Services Commission,</w:t>
      </w:r>
      <w:r w:rsidRPr="001F59A8">
        <w:rPr>
          <w:color w:val="FDC030"/>
        </w:rPr>
        <w:t xml:space="preserve"> </w:t>
      </w:r>
      <w:r w:rsidRPr="001F59A8">
        <w:rPr>
          <w:i/>
        </w:rPr>
        <w:t>Victorian Default Offer 2025–26: Draft Decision Paper</w:t>
      </w:r>
      <w:r w:rsidRPr="001F59A8">
        <w:t>, April 2025,</w:t>
      </w:r>
      <w:r w:rsidRPr="001F59A8">
        <w:rPr>
          <w:color w:val="FDC030"/>
        </w:rPr>
        <w:t xml:space="preserve"> </w:t>
      </w:r>
      <w:r w:rsidRPr="001F59A8">
        <w:t xml:space="preserve">p. </w:t>
      </w:r>
      <w:r w:rsidR="003E3A43">
        <w:t>3</w:t>
      </w:r>
      <w:r w:rsidR="005F5BE4">
        <w:t xml:space="preserve">, </w:t>
      </w:r>
      <w:r w:rsidR="00D65018">
        <w:t>Australian Energy Council,</w:t>
      </w:r>
      <w:r w:rsidR="00D65018" w:rsidRPr="001F59A8">
        <w:t xml:space="preserve"> submission to the Essential Services Commission,</w:t>
      </w:r>
      <w:r w:rsidR="00D65018" w:rsidRPr="001F59A8">
        <w:rPr>
          <w:color w:val="FDC030"/>
        </w:rPr>
        <w:t xml:space="preserve"> </w:t>
      </w:r>
      <w:r w:rsidR="00D65018" w:rsidRPr="001F59A8">
        <w:rPr>
          <w:i/>
        </w:rPr>
        <w:t>Victorian Default Offer 2025–26: Draft Decision Paper</w:t>
      </w:r>
      <w:r w:rsidR="00D65018" w:rsidRPr="001F59A8">
        <w:t>, April 2025,</w:t>
      </w:r>
      <w:r w:rsidR="00D65018" w:rsidRPr="001F59A8">
        <w:rPr>
          <w:color w:val="FDC030"/>
        </w:rPr>
        <w:t xml:space="preserve"> </w:t>
      </w:r>
      <w:r w:rsidR="00D65018" w:rsidRPr="001F59A8">
        <w:t xml:space="preserve">p. </w:t>
      </w:r>
      <w:r w:rsidR="0076208C">
        <w:t>2</w:t>
      </w:r>
      <w:r w:rsidR="00D65018">
        <w:t xml:space="preserve">, </w:t>
      </w:r>
      <w:r w:rsidR="006B5D29">
        <w:t>AGL Energy,</w:t>
      </w:r>
      <w:r w:rsidR="006B5D29" w:rsidRPr="001F59A8">
        <w:t xml:space="preserve"> submission to the Essential Services Commission,</w:t>
      </w:r>
      <w:r w:rsidR="006B5D29" w:rsidRPr="001F59A8">
        <w:rPr>
          <w:color w:val="FDC030"/>
        </w:rPr>
        <w:t xml:space="preserve"> </w:t>
      </w:r>
      <w:r w:rsidR="006B5D29" w:rsidRPr="001F59A8">
        <w:rPr>
          <w:i/>
        </w:rPr>
        <w:t>Victorian Default Offer 2025–26: Draft Decision Paper</w:t>
      </w:r>
      <w:r w:rsidR="006B5D29" w:rsidRPr="001F59A8">
        <w:t>, April 2025,</w:t>
      </w:r>
      <w:r w:rsidR="006B5D29" w:rsidRPr="001F59A8">
        <w:rPr>
          <w:color w:val="FDC030"/>
        </w:rPr>
        <w:t xml:space="preserve"> </w:t>
      </w:r>
      <w:r w:rsidR="006B5D29" w:rsidRPr="001F59A8">
        <w:t xml:space="preserve">p. </w:t>
      </w:r>
      <w:r w:rsidR="002F170D">
        <w:t>5</w:t>
      </w:r>
      <w:r w:rsidR="006B5D29">
        <w:t xml:space="preserve">, </w:t>
      </w:r>
      <w:r w:rsidR="00127039">
        <w:t>ENGIE</w:t>
      </w:r>
      <w:r w:rsidR="00490770">
        <w:t xml:space="preserve"> </w:t>
      </w:r>
      <w:r w:rsidR="00490770" w:rsidRPr="001F59A8">
        <w:t>submission to the Essential Services Commission,</w:t>
      </w:r>
      <w:r w:rsidR="00490770" w:rsidRPr="001F59A8">
        <w:rPr>
          <w:color w:val="FDC030"/>
        </w:rPr>
        <w:t xml:space="preserve"> </w:t>
      </w:r>
      <w:r w:rsidR="00490770" w:rsidRPr="001F59A8">
        <w:rPr>
          <w:i/>
        </w:rPr>
        <w:t>Victorian Default Offer 2025–26: Draft Decision Paper</w:t>
      </w:r>
      <w:r w:rsidR="00490770" w:rsidRPr="001F59A8">
        <w:t>, April 2025,</w:t>
      </w:r>
      <w:r w:rsidR="00490770" w:rsidRPr="001F59A8">
        <w:rPr>
          <w:color w:val="FDC030"/>
        </w:rPr>
        <w:t xml:space="preserve"> </w:t>
      </w:r>
      <w:r w:rsidR="00490770" w:rsidRPr="001F59A8">
        <w:t xml:space="preserve">p. </w:t>
      </w:r>
      <w:r w:rsidR="0064110F">
        <w:t>3</w:t>
      </w:r>
      <w:r w:rsidR="001D13D5">
        <w:t xml:space="preserve">, Origin Energy, </w:t>
      </w:r>
      <w:r w:rsidR="001D13D5" w:rsidRPr="001F59A8">
        <w:t>submission to the Essential Services Commission,</w:t>
      </w:r>
      <w:r w:rsidR="001D13D5" w:rsidRPr="001F59A8">
        <w:rPr>
          <w:color w:val="FDC030"/>
        </w:rPr>
        <w:t xml:space="preserve"> </w:t>
      </w:r>
      <w:r w:rsidR="001D13D5" w:rsidRPr="001F59A8">
        <w:rPr>
          <w:i/>
        </w:rPr>
        <w:t>Victorian Default Offer 2025–26: Draft Decision Paper</w:t>
      </w:r>
      <w:r w:rsidR="001D13D5" w:rsidRPr="001F59A8">
        <w:t>, April 2025,</w:t>
      </w:r>
      <w:r w:rsidR="001D13D5" w:rsidRPr="001F59A8">
        <w:rPr>
          <w:color w:val="FDC030"/>
        </w:rPr>
        <w:t xml:space="preserve"> </w:t>
      </w:r>
      <w:r w:rsidR="001D13D5" w:rsidRPr="001F59A8">
        <w:t xml:space="preserve">p. </w:t>
      </w:r>
      <w:r w:rsidR="00F229D7">
        <w:t>6</w:t>
      </w:r>
    </w:p>
  </w:footnote>
  <w:footnote w:id="82">
    <w:p w14:paraId="3E32D215" w14:textId="2D557F74" w:rsidR="00D0546B" w:rsidRPr="001F59A8" w:rsidRDefault="00D0546B">
      <w:pPr>
        <w:pStyle w:val="FootnoteText"/>
      </w:pPr>
      <w:r w:rsidRPr="001F59A8">
        <w:rPr>
          <w:rStyle w:val="FootnoteReference"/>
        </w:rPr>
        <w:footnoteRef/>
      </w:r>
      <w:r w:rsidRPr="001F59A8">
        <w:t xml:space="preserve"> </w:t>
      </w:r>
      <w:r w:rsidR="00800447" w:rsidRPr="001F59A8">
        <w:t>Consumer Action Law Centre</w:t>
      </w:r>
      <w:r w:rsidR="00F00998">
        <w:t>,</w:t>
      </w:r>
      <w:r w:rsidR="00800447" w:rsidRPr="001F59A8">
        <w:t xml:space="preserve"> </w:t>
      </w:r>
      <w:r w:rsidR="00434EE5" w:rsidRPr="001F59A8">
        <w:t>submission to the Essential Services Commission,</w:t>
      </w:r>
      <w:r w:rsidR="00434EE5" w:rsidRPr="001F59A8">
        <w:rPr>
          <w:color w:val="FDC030"/>
        </w:rPr>
        <w:t xml:space="preserve"> </w:t>
      </w:r>
      <w:r w:rsidR="00434EE5" w:rsidRPr="001F59A8">
        <w:rPr>
          <w:i/>
        </w:rPr>
        <w:t>Victorian Default Offer 2025–26: Draft Decision Paper</w:t>
      </w:r>
      <w:r w:rsidR="00434EE5" w:rsidRPr="001F59A8">
        <w:t>, April 2025,</w:t>
      </w:r>
      <w:r w:rsidR="00434EE5" w:rsidRPr="001F59A8">
        <w:rPr>
          <w:color w:val="FDC030"/>
        </w:rPr>
        <w:t xml:space="preserve"> </w:t>
      </w:r>
      <w:r w:rsidR="00434EE5" w:rsidRPr="001F59A8">
        <w:t>p. 5</w:t>
      </w:r>
      <w:r w:rsidR="00646C4B">
        <w:t>.</w:t>
      </w:r>
    </w:p>
  </w:footnote>
  <w:footnote w:id="83">
    <w:p w14:paraId="2A51263C" w14:textId="1DD5E3EE" w:rsidR="00F84C0E" w:rsidRPr="001F59A8" w:rsidRDefault="00F84C0E">
      <w:pPr>
        <w:pStyle w:val="FootnoteText"/>
      </w:pPr>
      <w:r w:rsidRPr="001F59A8">
        <w:rPr>
          <w:rStyle w:val="FootnoteReference"/>
        </w:rPr>
        <w:footnoteRef/>
      </w:r>
      <w:r w:rsidRPr="001F59A8">
        <w:t xml:space="preserve"> </w:t>
      </w:r>
      <w:r w:rsidR="00632416" w:rsidRPr="001F59A8">
        <w:t xml:space="preserve">Essential Services Commission analysis of </w:t>
      </w:r>
      <w:r w:rsidR="00075782" w:rsidRPr="001F59A8">
        <w:t xml:space="preserve">cost data reported by a sample of </w:t>
      </w:r>
      <w:r w:rsidR="0025351A" w:rsidRPr="001F59A8">
        <w:t xml:space="preserve">licenced electricity retailers in Victoria with over 10,000 small customers, provided </w:t>
      </w:r>
      <w:r w:rsidR="002A5490" w:rsidRPr="001F59A8">
        <w:t>via</w:t>
      </w:r>
      <w:r w:rsidR="0025351A" w:rsidRPr="001F59A8">
        <w:t xml:space="preserve"> </w:t>
      </w:r>
      <w:r w:rsidR="00905F53" w:rsidRPr="001F59A8">
        <w:t>information gathering notices</w:t>
      </w:r>
      <w:r w:rsidR="003416F3" w:rsidRPr="001F59A8">
        <w:t xml:space="preserve"> </w:t>
      </w:r>
      <w:r w:rsidR="002A5490" w:rsidRPr="001F59A8">
        <w:t>under Section 36 of</w:t>
      </w:r>
      <w:r w:rsidR="0025351A" w:rsidRPr="001F59A8">
        <w:t xml:space="preserve"> </w:t>
      </w:r>
      <w:r w:rsidR="0025351A" w:rsidRPr="001F59A8">
        <w:rPr>
          <w:i/>
        </w:rPr>
        <w:t>Essential Services Commission Act 2001</w:t>
      </w:r>
      <w:r w:rsidR="0025351A" w:rsidRPr="001F59A8">
        <w:t xml:space="preserve">. </w:t>
      </w:r>
      <w:r w:rsidRPr="001F59A8">
        <w:t xml:space="preserve">Essential Services Commission 2024, </w:t>
      </w:r>
      <w:r w:rsidRPr="001F59A8">
        <w:rPr>
          <w:i/>
        </w:rPr>
        <w:t>Victorian Default Offer 2024–25: Final Decision Paper</w:t>
      </w:r>
      <w:r w:rsidRPr="001F59A8">
        <w:t>, 20 May</w:t>
      </w:r>
      <w:r w:rsidR="003C1E8E" w:rsidRPr="001F59A8">
        <w:t xml:space="preserve"> p. 27. </w:t>
      </w:r>
    </w:p>
  </w:footnote>
  <w:footnote w:id="84">
    <w:p w14:paraId="5CA7FA2B" w14:textId="44074248" w:rsidR="00285E97" w:rsidRPr="001F59A8" w:rsidRDefault="00285E97">
      <w:pPr>
        <w:pStyle w:val="FootnoteText"/>
      </w:pPr>
      <w:r w:rsidRPr="001F59A8">
        <w:rPr>
          <w:rStyle w:val="FootnoteReference"/>
        </w:rPr>
        <w:footnoteRef/>
      </w:r>
      <w:r w:rsidRPr="001F59A8">
        <w:t xml:space="preserve"> </w:t>
      </w:r>
      <w:r w:rsidR="00262C42" w:rsidRPr="001F59A8">
        <w:t>AGL Energy, submission to the Essential Services Commission</w:t>
      </w:r>
      <w:r w:rsidR="00735353" w:rsidRPr="001F59A8">
        <w:t>,</w:t>
      </w:r>
      <w:r w:rsidR="00262C42" w:rsidRPr="001F59A8">
        <w:rPr>
          <w:color w:val="FDC030"/>
        </w:rPr>
        <w:t xml:space="preserve"> </w:t>
      </w:r>
      <w:r w:rsidR="00262C42" w:rsidRPr="001F59A8">
        <w:rPr>
          <w:i/>
        </w:rPr>
        <w:t>Victorian Default Offer</w:t>
      </w:r>
      <w:r w:rsidR="00735353" w:rsidRPr="001F59A8">
        <w:rPr>
          <w:i/>
        </w:rPr>
        <w:t xml:space="preserve"> 2025–26: Draft Decision Paper</w:t>
      </w:r>
      <w:r w:rsidR="00735353" w:rsidRPr="001F59A8">
        <w:t>, April</w:t>
      </w:r>
      <w:r w:rsidR="00262C42" w:rsidRPr="001F59A8">
        <w:t xml:space="preserve"> 2025</w:t>
      </w:r>
      <w:r w:rsidR="00735353" w:rsidRPr="001F59A8">
        <w:t>,</w:t>
      </w:r>
      <w:r w:rsidR="00735353" w:rsidRPr="001F59A8">
        <w:rPr>
          <w:color w:val="FDC030"/>
        </w:rPr>
        <w:t xml:space="preserve"> </w:t>
      </w:r>
      <w:r w:rsidR="00735353" w:rsidRPr="001F59A8">
        <w:t xml:space="preserve">p. </w:t>
      </w:r>
      <w:r w:rsidR="00622930" w:rsidRPr="001F59A8">
        <w:t>5</w:t>
      </w:r>
      <w:r w:rsidR="001C795D" w:rsidRPr="001F59A8">
        <w:t>; Origin Energy</w:t>
      </w:r>
      <w:r w:rsidR="00F00998">
        <w:t>,</w:t>
      </w:r>
      <w:r w:rsidR="001C795D" w:rsidRPr="001F59A8">
        <w:t xml:space="preserve"> submission to the Essential Services Commission,</w:t>
      </w:r>
      <w:r w:rsidR="001C795D" w:rsidRPr="001F59A8">
        <w:rPr>
          <w:color w:val="FDC030"/>
        </w:rPr>
        <w:t xml:space="preserve"> </w:t>
      </w:r>
      <w:r w:rsidR="001C795D" w:rsidRPr="001F59A8">
        <w:rPr>
          <w:i/>
        </w:rPr>
        <w:t>Victorian Default Offer 2025–</w:t>
      </w:r>
      <w:r w:rsidR="00562D08" w:rsidRPr="001F59A8">
        <w:rPr>
          <w:i/>
        </w:rPr>
        <w:t>‍</w:t>
      </w:r>
      <w:r w:rsidR="001C795D" w:rsidRPr="001F59A8">
        <w:rPr>
          <w:i/>
        </w:rPr>
        <w:t>26: Draft Decision Paper</w:t>
      </w:r>
      <w:r w:rsidR="001C795D" w:rsidRPr="001F59A8">
        <w:t>, April 2025,</w:t>
      </w:r>
      <w:r w:rsidR="001C795D" w:rsidRPr="001F59A8">
        <w:rPr>
          <w:color w:val="FDC030"/>
        </w:rPr>
        <w:t xml:space="preserve"> </w:t>
      </w:r>
      <w:r w:rsidR="001C795D" w:rsidRPr="001F59A8">
        <w:t xml:space="preserve">p. </w:t>
      </w:r>
      <w:r w:rsidR="00464666" w:rsidRPr="001F59A8">
        <w:t>2</w:t>
      </w:r>
      <w:r w:rsidR="001C795D" w:rsidRPr="001F59A8">
        <w:t xml:space="preserve">. </w:t>
      </w:r>
    </w:p>
  </w:footnote>
  <w:footnote w:id="85">
    <w:p w14:paraId="73A68E30" w14:textId="1CCE3AAA" w:rsidR="00583C9E" w:rsidRPr="001F59A8" w:rsidRDefault="00583C9E" w:rsidP="00583C9E">
      <w:pPr>
        <w:pStyle w:val="FootnoteText"/>
      </w:pPr>
      <w:r w:rsidRPr="001F59A8">
        <w:rPr>
          <w:rStyle w:val="FootnoteReference"/>
        </w:rPr>
        <w:footnoteRef/>
      </w:r>
      <w:r w:rsidR="00127039">
        <w:t>ENGIE</w:t>
      </w:r>
      <w:r w:rsidRPr="001F59A8">
        <w:t>, submission to the Essential Services Commission</w:t>
      </w:r>
      <w:r w:rsidR="00AC1379" w:rsidRPr="001F59A8">
        <w:t>,</w:t>
      </w:r>
      <w:r w:rsidRPr="001F59A8">
        <w:rPr>
          <w:color w:val="FDC030"/>
        </w:rPr>
        <w:t xml:space="preserve"> </w:t>
      </w:r>
      <w:r w:rsidRPr="001F59A8">
        <w:rPr>
          <w:i/>
        </w:rPr>
        <w:t>Victorian Default Offer</w:t>
      </w:r>
      <w:r w:rsidR="00AC1379" w:rsidRPr="001F59A8">
        <w:rPr>
          <w:i/>
        </w:rPr>
        <w:t xml:space="preserve"> 2025–26: Draft Decision Paper</w:t>
      </w:r>
      <w:r w:rsidR="00AC1379" w:rsidRPr="001F59A8">
        <w:t>, April 2025</w:t>
      </w:r>
      <w:r w:rsidRPr="001F59A8">
        <w:t>,</w:t>
      </w:r>
      <w:r w:rsidRPr="001F59A8">
        <w:rPr>
          <w:color w:val="FDC030"/>
        </w:rPr>
        <w:t xml:space="preserve"> </w:t>
      </w:r>
      <w:r w:rsidRPr="001F59A8">
        <w:t xml:space="preserve">p. </w:t>
      </w:r>
      <w:r w:rsidR="002A0CBB" w:rsidRPr="001F59A8">
        <w:t>4</w:t>
      </w:r>
      <w:r w:rsidR="008E6589" w:rsidRPr="001F59A8">
        <w:t>.</w:t>
      </w:r>
    </w:p>
  </w:footnote>
  <w:footnote w:id="86">
    <w:p w14:paraId="19F2673A" w14:textId="6DB6D158" w:rsidR="00C50100" w:rsidRDefault="00C50100">
      <w:pPr>
        <w:pStyle w:val="FootnoteText"/>
      </w:pPr>
      <w:r>
        <w:rPr>
          <w:rStyle w:val="FootnoteReference"/>
        </w:rPr>
        <w:footnoteRef/>
      </w:r>
      <w:r>
        <w:t xml:space="preserve"> </w:t>
      </w:r>
      <w:r w:rsidR="00114749">
        <w:t xml:space="preserve">Essential Services Commission, </w:t>
      </w:r>
      <w:r w:rsidR="00FB649B">
        <w:t xml:space="preserve">Industry </w:t>
      </w:r>
      <w:r w:rsidR="00203620">
        <w:t xml:space="preserve">market update and work program, </w:t>
      </w:r>
      <w:hyperlink r:id="rId12" w:history="1">
        <w:r w:rsidR="00C15B51" w:rsidRPr="00C43FCE">
          <w:rPr>
            <w:rStyle w:val="Hyperlink"/>
          </w:rPr>
          <w:t>https://www.energy.vic.gov.au/victorian-energy-upgrades/installers/industry-market-update-work-program</w:t>
        </w:r>
      </w:hyperlink>
      <w:r w:rsidR="00C15B51">
        <w:t>,</w:t>
      </w:r>
      <w:r w:rsidR="008C7CB2">
        <w:t xml:space="preserve"> accessed 12 May 2025.</w:t>
      </w:r>
    </w:p>
  </w:footnote>
  <w:footnote w:id="87">
    <w:p w14:paraId="09066E87" w14:textId="2D083B58" w:rsidR="00287AD9" w:rsidRPr="001F59A8" w:rsidRDefault="00287AD9" w:rsidP="00287AD9">
      <w:pPr>
        <w:pStyle w:val="FootnoteText"/>
      </w:pPr>
      <w:r w:rsidRPr="001F59A8">
        <w:rPr>
          <w:rStyle w:val="FootnoteReference"/>
        </w:rPr>
        <w:footnoteRef/>
      </w:r>
      <w:r w:rsidRPr="001F59A8">
        <w:t xml:space="preserve"> Greenhouse gas reduction rate for 202</w:t>
      </w:r>
      <w:r w:rsidR="00212D3A" w:rsidRPr="001F59A8">
        <w:t>5</w:t>
      </w:r>
      <w:r w:rsidRPr="001F59A8">
        <w:t xml:space="preserve"> is 0.15</w:t>
      </w:r>
      <w:r w:rsidR="00A94C53" w:rsidRPr="001F59A8">
        <w:t>126</w:t>
      </w:r>
      <w:r w:rsidRPr="001F59A8">
        <w:t xml:space="preserve">. Essential Services Commission, </w:t>
      </w:r>
      <w:hyperlink r:id="rId13" w:history="1">
        <w:r w:rsidR="00304455" w:rsidRPr="001F59A8">
          <w:rPr>
            <w:rStyle w:val="Hyperlink"/>
          </w:rPr>
          <w:t>https://www.esc.vic.gov.au/victorian-energy-upgrades-program/participating-veu-program/energy-retailers-veu-program</w:t>
        </w:r>
      </w:hyperlink>
      <w:r w:rsidRPr="001F59A8">
        <w:t xml:space="preserve">, accessed </w:t>
      </w:r>
      <w:r w:rsidR="003C5584" w:rsidRPr="001F59A8">
        <w:t>8</w:t>
      </w:r>
      <w:r w:rsidRPr="001F59A8">
        <w:t xml:space="preserve"> </w:t>
      </w:r>
      <w:r w:rsidR="003C5584" w:rsidRPr="001F59A8">
        <w:t>April</w:t>
      </w:r>
      <w:r w:rsidRPr="001F59A8">
        <w:t xml:space="preserve"> 202</w:t>
      </w:r>
      <w:r w:rsidR="003F780A" w:rsidRPr="001F59A8">
        <w:t>5</w:t>
      </w:r>
      <w:r w:rsidRPr="001F59A8">
        <w:t xml:space="preserve">.  </w:t>
      </w:r>
    </w:p>
  </w:footnote>
  <w:footnote w:id="88">
    <w:p w14:paraId="1DEFA248" w14:textId="53CFE42A" w:rsidR="00CA6286" w:rsidRPr="001F59A8" w:rsidRDefault="00CA6286">
      <w:pPr>
        <w:pStyle w:val="FootnoteText"/>
      </w:pPr>
      <w:r w:rsidRPr="001F59A8">
        <w:rPr>
          <w:rStyle w:val="FootnoteReference"/>
        </w:rPr>
        <w:footnoteRef/>
      </w:r>
      <w:r w:rsidRPr="001F59A8">
        <w:t xml:space="preserve"> </w:t>
      </w:r>
      <w:r w:rsidR="00250518" w:rsidRPr="001F59A8">
        <w:t xml:space="preserve">The </w:t>
      </w:r>
      <w:r w:rsidR="0016275A" w:rsidRPr="001F59A8">
        <w:t xml:space="preserve">date range for VEEC trades and volumes </w:t>
      </w:r>
      <w:r w:rsidR="0034583A" w:rsidRPr="001F59A8">
        <w:t xml:space="preserve">covered the period </w:t>
      </w:r>
      <w:r w:rsidR="00922DF4" w:rsidRPr="001F59A8">
        <w:t>15</w:t>
      </w:r>
      <w:r w:rsidR="00875C45" w:rsidRPr="001F59A8">
        <w:t xml:space="preserve"> April</w:t>
      </w:r>
      <w:r w:rsidR="00F20E11">
        <w:t xml:space="preserve"> </w:t>
      </w:r>
      <w:r w:rsidR="0034583A" w:rsidRPr="001F59A8">
        <w:t>2024 to</w:t>
      </w:r>
      <w:r w:rsidR="0016275A" w:rsidRPr="001F59A8">
        <w:t xml:space="preserve"> </w:t>
      </w:r>
      <w:r w:rsidR="00797003" w:rsidRPr="001F59A8">
        <w:t>14 April</w:t>
      </w:r>
      <w:r w:rsidR="00B6568D" w:rsidRPr="001F59A8">
        <w:t xml:space="preserve"> 2025. </w:t>
      </w:r>
    </w:p>
  </w:footnote>
  <w:footnote w:id="89">
    <w:p w14:paraId="032CD598" w14:textId="77777777" w:rsidR="00D92C96" w:rsidRDefault="00D92C96" w:rsidP="00D92C96">
      <w:pPr>
        <w:pStyle w:val="FootnoteText"/>
      </w:pPr>
      <w:r>
        <w:rPr>
          <w:rStyle w:val="FootnoteReference"/>
        </w:rPr>
        <w:footnoteRef/>
      </w:r>
      <w:r>
        <w:t xml:space="preserve"> E</w:t>
      </w:r>
      <w:r w:rsidRPr="00B615EB">
        <w:t>nergy and Land Legislation Amendment (Energy Safety) Act 2025, s97A to s97D</w:t>
      </w:r>
      <w:r>
        <w:t>.</w:t>
      </w:r>
    </w:p>
  </w:footnote>
  <w:footnote w:id="90">
    <w:p w14:paraId="3C33A933" w14:textId="77777777" w:rsidR="003961EC" w:rsidRPr="001F59A8" w:rsidDel="00BA106E" w:rsidRDefault="003961EC" w:rsidP="003961EC">
      <w:pPr>
        <w:pStyle w:val="FootnoteText"/>
      </w:pPr>
      <w:r w:rsidRPr="001F59A8">
        <w:rPr>
          <w:rStyle w:val="FootnoteReference"/>
        </w:rPr>
        <w:footnoteRef/>
      </w:r>
      <w:r w:rsidRPr="001F59A8">
        <w:t xml:space="preserve"> </w:t>
      </w:r>
      <w:r w:rsidRPr="001F59A8">
        <w:rPr>
          <w:szCs w:val="18"/>
        </w:rPr>
        <w:t xml:space="preserve">Clause 12(4)(d) of the pricing order. </w:t>
      </w:r>
      <w:r w:rsidRPr="001F59A8">
        <w:t xml:space="preserve"> </w:t>
      </w:r>
    </w:p>
  </w:footnote>
  <w:footnote w:id="91">
    <w:p w14:paraId="23A5CB2F" w14:textId="22518F79" w:rsidR="00637F68" w:rsidRPr="001F59A8" w:rsidRDefault="00637F68">
      <w:pPr>
        <w:pStyle w:val="FootnoteText"/>
      </w:pPr>
      <w:r w:rsidRPr="001F59A8">
        <w:rPr>
          <w:rStyle w:val="FootnoteReference"/>
        </w:rPr>
        <w:footnoteRef/>
      </w:r>
      <w:r w:rsidRPr="001F59A8">
        <w:t xml:space="preserve"> </w:t>
      </w:r>
      <w:r w:rsidR="004469FC" w:rsidRPr="001F59A8">
        <w:t>These other costs</w:t>
      </w:r>
      <w:r w:rsidR="00437B19" w:rsidRPr="001F59A8">
        <w:t xml:space="preserve"> </w:t>
      </w:r>
      <w:r w:rsidR="00052D3C" w:rsidRPr="001F59A8">
        <w:t xml:space="preserve">category </w:t>
      </w:r>
      <w:r w:rsidR="00847ADA" w:rsidRPr="001F59A8">
        <w:t xml:space="preserve">only </w:t>
      </w:r>
      <w:r w:rsidR="00F50676" w:rsidRPr="001F59A8">
        <w:t>includes cost</w:t>
      </w:r>
      <w:r w:rsidR="00052D3C" w:rsidRPr="001F59A8">
        <w:t>s associated with</w:t>
      </w:r>
      <w:r w:rsidR="00F50676" w:rsidRPr="001F59A8">
        <w:t xml:space="preserve"> retail operation. </w:t>
      </w:r>
      <w:r w:rsidR="00052D3C" w:rsidRPr="001F59A8">
        <w:t>C</w:t>
      </w:r>
      <w:r w:rsidR="00173623" w:rsidRPr="001F59A8">
        <w:t xml:space="preserve">ost </w:t>
      </w:r>
      <w:r w:rsidR="00052D3C" w:rsidRPr="001F59A8">
        <w:t>items such as</w:t>
      </w:r>
      <w:r w:rsidR="001711B7" w:rsidRPr="001F59A8">
        <w:t xml:space="preserve"> </w:t>
      </w:r>
      <w:r w:rsidR="00437B19" w:rsidRPr="001F59A8">
        <w:t xml:space="preserve">market fee, licence fee are </w:t>
      </w:r>
      <w:r w:rsidR="007A0D0B" w:rsidRPr="001F59A8">
        <w:t xml:space="preserve">separately </w:t>
      </w:r>
      <w:r w:rsidR="00437B19" w:rsidRPr="001F59A8">
        <w:t xml:space="preserve">accounted in the cost stack </w:t>
      </w:r>
    </w:p>
  </w:footnote>
  <w:footnote w:id="92">
    <w:p w14:paraId="2025C4C3" w14:textId="77777777" w:rsidR="00A52D81" w:rsidRPr="001F59A8" w:rsidRDefault="00A52D81" w:rsidP="00A52D81">
      <w:pPr>
        <w:pStyle w:val="FootnoteText"/>
      </w:pPr>
      <w:r w:rsidRPr="001F59A8">
        <w:rPr>
          <w:rStyle w:val="FootnoteReference"/>
        </w:rPr>
        <w:footnoteRef/>
      </w:r>
      <w:r w:rsidRPr="001F59A8">
        <w:t xml:space="preserve"> Essential Services Commission’s internal calculation based on retailers’ actual reported costs.</w:t>
      </w:r>
    </w:p>
  </w:footnote>
  <w:footnote w:id="93">
    <w:p w14:paraId="0E96CB03" w14:textId="408915C9" w:rsidR="00A52D81" w:rsidRPr="00E85CDC" w:rsidRDefault="00A52D81" w:rsidP="00A52D81">
      <w:pPr>
        <w:pStyle w:val="FootnoteText"/>
        <w:rPr>
          <w:sz w:val="2"/>
          <w:szCs w:val="2"/>
        </w:rPr>
      </w:pPr>
      <w:r w:rsidRPr="00E85CDC">
        <w:rPr>
          <w:rStyle w:val="FootnoteReference"/>
        </w:rPr>
        <w:footnoteRef/>
      </w:r>
      <w:r w:rsidR="582AA30C" w:rsidRPr="00E85CDC">
        <w:t xml:space="preserve"> </w:t>
      </w:r>
      <w:hyperlink r:id="rId14" w:history="1">
        <w:hyperlink r:id="rId15" w:history="1">
          <w:r w:rsidR="582AA30C" w:rsidRPr="00E85CDC">
            <w:rPr>
              <w:rStyle w:val="Hyperlink"/>
            </w:rPr>
            <w:t>Australian Bureau of Statistics</w:t>
          </w:r>
        </w:hyperlink>
      </w:hyperlink>
      <w:r w:rsidR="582AA30C" w:rsidRPr="00E85CDC">
        <w:t xml:space="preserve">, All groups CPI, Australia Series ID A2325846C, accessed 30 April 2025. </w:t>
      </w:r>
    </w:p>
  </w:footnote>
  <w:footnote w:id="94">
    <w:p w14:paraId="49F6FCF1" w14:textId="63350F13" w:rsidR="00A52D81" w:rsidRPr="001F59A8" w:rsidRDefault="00A52D81" w:rsidP="00A52D81">
      <w:pPr>
        <w:pStyle w:val="FootnoteText"/>
      </w:pPr>
      <w:r w:rsidRPr="00E85CDC">
        <w:rPr>
          <w:rStyle w:val="FootnoteReference"/>
        </w:rPr>
        <w:footnoteRef/>
      </w:r>
      <w:r w:rsidRPr="00E85CDC">
        <w:t xml:space="preserve"> We applied the CPI from June 2024 (138.8</w:t>
      </w:r>
      <w:r w:rsidR="000429B4" w:rsidRPr="00E85CDC">
        <w:t>0</w:t>
      </w:r>
      <w:r w:rsidRPr="00E85CDC">
        <w:t xml:space="preserve">) to 31 </w:t>
      </w:r>
      <w:r w:rsidR="2503D484" w:rsidRPr="00E85CDC">
        <w:t xml:space="preserve">March </w:t>
      </w:r>
      <w:r w:rsidR="03303EA7" w:rsidRPr="00E85CDC">
        <w:t>2025</w:t>
      </w:r>
      <w:r w:rsidRPr="00E85CDC">
        <w:t xml:space="preserve"> (</w:t>
      </w:r>
      <w:r w:rsidR="000429B4" w:rsidRPr="00E85CDC">
        <w:t>140.70</w:t>
      </w:r>
      <w:r w:rsidRPr="00E85CDC">
        <w:t>).</w:t>
      </w:r>
    </w:p>
  </w:footnote>
  <w:footnote w:id="95">
    <w:p w14:paraId="35A6C7C0" w14:textId="0004ADE0" w:rsidR="00EA0A2C" w:rsidRPr="001F59A8" w:rsidRDefault="00EA0A2C" w:rsidP="00EA0A2C">
      <w:pPr>
        <w:pStyle w:val="FootnoteText"/>
      </w:pPr>
      <w:r w:rsidRPr="001F59A8">
        <w:rPr>
          <w:rStyle w:val="FootnoteReference"/>
        </w:rPr>
        <w:footnoteRef/>
      </w:r>
      <w:r w:rsidRPr="001F59A8">
        <w:t xml:space="preserve"> Consumer Action Law Centre</w:t>
      </w:r>
      <w:r w:rsidR="00950B88">
        <w:t>, s</w:t>
      </w:r>
      <w:r w:rsidRPr="001F59A8">
        <w:t>ubmission to Essential Services Commission</w:t>
      </w:r>
      <w:r w:rsidR="0051359A">
        <w:t>,</w:t>
      </w:r>
      <w:r w:rsidRPr="001F59A8">
        <w:t xml:space="preserve"> </w:t>
      </w:r>
      <w:r w:rsidRPr="001F59A8">
        <w:rPr>
          <w:i/>
          <w:iCs/>
        </w:rPr>
        <w:t xml:space="preserve">Victorian Default Offer </w:t>
      </w:r>
      <w:r w:rsidR="008E74BB" w:rsidRPr="008E74BB">
        <w:rPr>
          <w:i/>
          <w:iCs/>
        </w:rPr>
        <w:t xml:space="preserve">2025–26: </w:t>
      </w:r>
      <w:r w:rsidRPr="001F59A8">
        <w:rPr>
          <w:i/>
          <w:iCs/>
        </w:rPr>
        <w:t>Draft Decision</w:t>
      </w:r>
      <w:r w:rsidR="002E2938">
        <w:rPr>
          <w:i/>
          <w:iCs/>
        </w:rPr>
        <w:t xml:space="preserve"> </w:t>
      </w:r>
      <w:r w:rsidR="008E74BB" w:rsidRPr="008E74BB">
        <w:rPr>
          <w:i/>
          <w:iCs/>
        </w:rPr>
        <w:t>Paper</w:t>
      </w:r>
      <w:r w:rsidRPr="001F59A8">
        <w:t>, April 2025, pp. 6</w:t>
      </w:r>
      <w:r w:rsidR="008513AD">
        <w:t>–</w:t>
      </w:r>
      <w:r w:rsidRPr="001F59A8">
        <w:t>7</w:t>
      </w:r>
      <w:r w:rsidR="002E2938">
        <w:t>.</w:t>
      </w:r>
    </w:p>
  </w:footnote>
  <w:footnote w:id="96">
    <w:p w14:paraId="6C677811" w14:textId="3CDC95E0" w:rsidR="00EA0A2C" w:rsidRPr="001F59A8" w:rsidRDefault="00EA0A2C" w:rsidP="00EA0A2C">
      <w:pPr>
        <w:pStyle w:val="FootnoteText"/>
      </w:pPr>
      <w:r w:rsidRPr="001F59A8">
        <w:rPr>
          <w:rStyle w:val="FootnoteReference"/>
        </w:rPr>
        <w:footnoteRef/>
      </w:r>
      <w:r w:rsidRPr="001F59A8">
        <w:t xml:space="preserve"> Victorian Council of Social Service</w:t>
      </w:r>
      <w:r w:rsidR="0051359A">
        <w:t>, s</w:t>
      </w:r>
      <w:r w:rsidRPr="001F59A8">
        <w:t>ubmission to Essential Services Commission</w:t>
      </w:r>
      <w:r w:rsidR="0051359A">
        <w:t>,</w:t>
      </w:r>
      <w:r w:rsidRPr="001F59A8">
        <w:t xml:space="preserve"> </w:t>
      </w:r>
      <w:r w:rsidRPr="001F59A8">
        <w:rPr>
          <w:i/>
          <w:iCs/>
        </w:rPr>
        <w:t xml:space="preserve">Victorian Default Offer </w:t>
      </w:r>
      <w:r w:rsidR="008E74BB" w:rsidRPr="008E74BB">
        <w:rPr>
          <w:i/>
          <w:iCs/>
        </w:rPr>
        <w:t xml:space="preserve">2025–26: </w:t>
      </w:r>
      <w:r w:rsidRPr="001F59A8">
        <w:rPr>
          <w:i/>
          <w:iCs/>
        </w:rPr>
        <w:t>Draft Decision</w:t>
      </w:r>
      <w:r w:rsidR="002E2938">
        <w:rPr>
          <w:i/>
          <w:iCs/>
        </w:rPr>
        <w:t xml:space="preserve"> </w:t>
      </w:r>
      <w:r w:rsidR="008E74BB" w:rsidRPr="008E74BB">
        <w:rPr>
          <w:i/>
          <w:iCs/>
        </w:rPr>
        <w:t>Paper</w:t>
      </w:r>
      <w:r w:rsidRPr="001F59A8">
        <w:t>, April 2025, p. 10</w:t>
      </w:r>
      <w:r w:rsidR="002E2938">
        <w:t>.</w:t>
      </w:r>
    </w:p>
  </w:footnote>
  <w:footnote w:id="97">
    <w:p w14:paraId="58760941" w14:textId="756E8252" w:rsidR="00EA0A2C" w:rsidRPr="001F59A8" w:rsidRDefault="00EA0A2C" w:rsidP="00EA0A2C">
      <w:pPr>
        <w:pStyle w:val="FootnoteText"/>
      </w:pPr>
      <w:r w:rsidRPr="001F59A8">
        <w:rPr>
          <w:rStyle w:val="FootnoteReference"/>
        </w:rPr>
        <w:footnoteRef/>
      </w:r>
      <w:r w:rsidRPr="001F59A8">
        <w:t>Alinta Energy</w:t>
      </w:r>
      <w:r w:rsidR="00204526">
        <w:t>, s</w:t>
      </w:r>
      <w:r w:rsidRPr="001F59A8">
        <w:t>ubmission to Essential Services Commission</w:t>
      </w:r>
      <w:r w:rsidR="00204526">
        <w:t>,</w:t>
      </w:r>
      <w:r w:rsidRPr="001F59A8">
        <w:t xml:space="preserve"> </w:t>
      </w:r>
      <w:r w:rsidRPr="001F59A8">
        <w:rPr>
          <w:i/>
          <w:iCs/>
        </w:rPr>
        <w:t xml:space="preserve">Victorian Default Offer </w:t>
      </w:r>
      <w:r w:rsidR="00CC6145" w:rsidRPr="00CC6145">
        <w:rPr>
          <w:i/>
          <w:iCs/>
        </w:rPr>
        <w:t xml:space="preserve">2025–26: </w:t>
      </w:r>
      <w:r w:rsidRPr="001F59A8">
        <w:rPr>
          <w:i/>
          <w:iCs/>
        </w:rPr>
        <w:t>Draft Decision</w:t>
      </w:r>
      <w:r w:rsidR="00301829">
        <w:rPr>
          <w:i/>
          <w:iCs/>
        </w:rPr>
        <w:t xml:space="preserve"> </w:t>
      </w:r>
      <w:r w:rsidR="00CC6145" w:rsidRPr="00CC6145">
        <w:rPr>
          <w:i/>
          <w:iCs/>
        </w:rPr>
        <w:t>Paper</w:t>
      </w:r>
      <w:r w:rsidRPr="001F59A8">
        <w:t>, April 2025, p. 1</w:t>
      </w:r>
      <w:r w:rsidR="00301829">
        <w:t>.</w:t>
      </w:r>
    </w:p>
  </w:footnote>
  <w:footnote w:id="98">
    <w:p w14:paraId="434DDDCD" w14:textId="2B8A7CBA" w:rsidR="00EA0A2C" w:rsidRPr="001F59A8" w:rsidRDefault="00EA0A2C" w:rsidP="00EA0A2C">
      <w:pPr>
        <w:pStyle w:val="FootnoteText"/>
      </w:pPr>
      <w:r w:rsidRPr="001F59A8">
        <w:rPr>
          <w:rStyle w:val="FootnoteReference"/>
        </w:rPr>
        <w:footnoteRef/>
      </w:r>
      <w:r w:rsidRPr="001F59A8">
        <w:t xml:space="preserve"> ENGIE</w:t>
      </w:r>
      <w:r w:rsidR="00204526">
        <w:t>, s</w:t>
      </w:r>
      <w:r w:rsidRPr="001F59A8">
        <w:t>ubmission to Essential Services Commission</w:t>
      </w:r>
      <w:r w:rsidR="00204526">
        <w:t>,</w:t>
      </w:r>
      <w:r w:rsidRPr="001F59A8">
        <w:t xml:space="preserve"> </w:t>
      </w:r>
      <w:r w:rsidRPr="001F59A8">
        <w:rPr>
          <w:i/>
          <w:iCs/>
        </w:rPr>
        <w:t xml:space="preserve">Victorian Default Offer </w:t>
      </w:r>
      <w:r w:rsidR="00CC6145" w:rsidRPr="00CC6145">
        <w:rPr>
          <w:i/>
          <w:iCs/>
        </w:rPr>
        <w:t xml:space="preserve">2025–26: </w:t>
      </w:r>
      <w:r w:rsidRPr="001F59A8">
        <w:rPr>
          <w:i/>
          <w:iCs/>
        </w:rPr>
        <w:t>Draft Decision</w:t>
      </w:r>
      <w:r w:rsidR="00EE75CE">
        <w:rPr>
          <w:i/>
          <w:iCs/>
        </w:rPr>
        <w:t xml:space="preserve"> </w:t>
      </w:r>
      <w:r w:rsidR="00CC6145" w:rsidRPr="00CC6145">
        <w:rPr>
          <w:i/>
          <w:iCs/>
        </w:rPr>
        <w:t>Paper</w:t>
      </w:r>
      <w:r w:rsidRPr="001F59A8">
        <w:t>, April 2025, p. 2</w:t>
      </w:r>
      <w:r w:rsidR="00EE75CE">
        <w:t>.</w:t>
      </w:r>
    </w:p>
  </w:footnote>
  <w:footnote w:id="99">
    <w:p w14:paraId="1D42DD7D" w14:textId="38303F24" w:rsidR="00EA0A2C" w:rsidRPr="001F59A8" w:rsidRDefault="00EA0A2C" w:rsidP="00EA0A2C">
      <w:pPr>
        <w:pStyle w:val="FootnoteText"/>
      </w:pPr>
      <w:r w:rsidRPr="001F59A8">
        <w:rPr>
          <w:rStyle w:val="FootnoteReference"/>
        </w:rPr>
        <w:footnoteRef/>
      </w:r>
      <w:r w:rsidRPr="001F59A8">
        <w:t xml:space="preserve"> ENGIE</w:t>
      </w:r>
      <w:r w:rsidR="00204526">
        <w:t>, s</w:t>
      </w:r>
      <w:r w:rsidRPr="001F59A8">
        <w:t>ubmission to Essential Services Commission</w:t>
      </w:r>
      <w:r w:rsidR="00204526">
        <w:t>,</w:t>
      </w:r>
      <w:r w:rsidRPr="001F59A8">
        <w:t xml:space="preserve"> </w:t>
      </w:r>
      <w:r w:rsidR="00F96E81" w:rsidRPr="00F96E81">
        <w:rPr>
          <w:i/>
          <w:iCs/>
        </w:rPr>
        <w:t>Victorian Default Offer 2025–26: Draft Decision Paper</w:t>
      </w:r>
      <w:r w:rsidRPr="001F59A8">
        <w:t>, April 2025, p. 3</w:t>
      </w:r>
      <w:r w:rsidR="00F96E81">
        <w:t>.</w:t>
      </w:r>
    </w:p>
  </w:footnote>
  <w:footnote w:id="100">
    <w:p w14:paraId="3D47D0C7" w14:textId="1E78FC66" w:rsidR="00307C41" w:rsidRPr="001F59A8" w:rsidRDefault="00307C41">
      <w:pPr>
        <w:pStyle w:val="FootnoteText"/>
      </w:pPr>
      <w:r w:rsidRPr="001F59A8">
        <w:rPr>
          <w:rStyle w:val="FootnoteReference"/>
        </w:rPr>
        <w:footnoteRef/>
      </w:r>
      <w:r w:rsidRPr="001F59A8">
        <w:t xml:space="preserve"> </w:t>
      </w:r>
      <w:r w:rsidR="00913E52" w:rsidRPr="001F59A8">
        <w:t xml:space="preserve">Australian </w:t>
      </w:r>
      <w:r w:rsidR="002970F6" w:rsidRPr="001F59A8">
        <w:t>Energy Regulator</w:t>
      </w:r>
      <w:r w:rsidR="00820E14" w:rsidRPr="001F59A8">
        <w:t xml:space="preserve">, </w:t>
      </w:r>
      <w:r w:rsidR="00AA7305" w:rsidRPr="009A4FD4">
        <w:rPr>
          <w:rFonts w:cstheme="minorHAnsi"/>
          <w:i/>
          <w:iCs/>
          <w:szCs w:val="18"/>
        </w:rPr>
        <w:t xml:space="preserve">Default market </w:t>
      </w:r>
      <w:proofErr w:type="gramStart"/>
      <w:r w:rsidR="00AA7305" w:rsidRPr="009A4FD4">
        <w:rPr>
          <w:rFonts w:cstheme="minorHAnsi"/>
          <w:i/>
          <w:iCs/>
          <w:szCs w:val="18"/>
        </w:rPr>
        <w:t>offer</w:t>
      </w:r>
      <w:proofErr w:type="gramEnd"/>
      <w:r w:rsidR="00AA7305" w:rsidRPr="009A4FD4">
        <w:rPr>
          <w:rFonts w:cstheme="minorHAnsi"/>
          <w:i/>
          <w:iCs/>
          <w:szCs w:val="18"/>
        </w:rPr>
        <w:t xml:space="preserve"> prices 2025–26</w:t>
      </w:r>
      <w:r w:rsidR="00AA7305">
        <w:rPr>
          <w:rFonts w:cstheme="minorHAnsi"/>
          <w:i/>
          <w:iCs/>
          <w:szCs w:val="18"/>
        </w:rPr>
        <w:t>:</w:t>
      </w:r>
      <w:r w:rsidR="00AA7305" w:rsidRPr="009A4FD4">
        <w:rPr>
          <w:rFonts w:cstheme="minorHAnsi"/>
          <w:i/>
          <w:iCs/>
          <w:szCs w:val="18"/>
        </w:rPr>
        <w:t xml:space="preserve"> Draft determination</w:t>
      </w:r>
      <w:r w:rsidR="00E3504D" w:rsidRPr="001F59A8">
        <w:t>, March 2025, p</w:t>
      </w:r>
      <w:r w:rsidR="005202EC" w:rsidRPr="001F59A8">
        <w:t xml:space="preserve">. </w:t>
      </w:r>
      <w:r w:rsidR="000C14BB" w:rsidRPr="001F59A8">
        <w:t>63.</w:t>
      </w:r>
    </w:p>
  </w:footnote>
  <w:footnote w:id="101">
    <w:p w14:paraId="306EAB7E" w14:textId="34B70476" w:rsidR="005B659E" w:rsidRPr="001F59A8" w:rsidRDefault="005B659E">
      <w:pPr>
        <w:pStyle w:val="FootnoteText"/>
      </w:pPr>
      <w:r w:rsidRPr="001F59A8">
        <w:rPr>
          <w:rStyle w:val="FootnoteReference"/>
        </w:rPr>
        <w:footnoteRef/>
      </w:r>
      <w:r w:rsidRPr="001F59A8">
        <w:t xml:space="preserve"> Powershop</w:t>
      </w:r>
      <w:r w:rsidR="00204526">
        <w:t>, s</w:t>
      </w:r>
      <w:r w:rsidRPr="001F59A8">
        <w:t>ubmission to Essential Services Commission</w:t>
      </w:r>
      <w:r w:rsidR="00204526">
        <w:t>,</w:t>
      </w:r>
      <w:r w:rsidRPr="001F59A8">
        <w:t xml:space="preserve"> </w:t>
      </w:r>
      <w:r w:rsidRPr="00A158C0">
        <w:rPr>
          <w:i/>
        </w:rPr>
        <w:t>2025</w:t>
      </w:r>
      <w:r w:rsidR="00A158C0" w:rsidRPr="00A158C0">
        <w:rPr>
          <w:i/>
        </w:rPr>
        <w:t>–</w:t>
      </w:r>
      <w:r w:rsidRPr="00A158C0">
        <w:rPr>
          <w:i/>
        </w:rPr>
        <w:t>26</w:t>
      </w:r>
      <w:r w:rsidRPr="001F59A8">
        <w:rPr>
          <w:i/>
          <w:iCs/>
        </w:rPr>
        <w:t xml:space="preserve"> Victorian Default Offer Draft Decision</w:t>
      </w:r>
      <w:r w:rsidRPr="001F59A8">
        <w:t>, April 2025, pp. 2-3</w:t>
      </w:r>
      <w:r w:rsidR="00C0549B">
        <w:t>.</w:t>
      </w:r>
    </w:p>
  </w:footnote>
  <w:footnote w:id="102">
    <w:p w14:paraId="2937B9FC" w14:textId="77580C88" w:rsidR="00EA0A2C" w:rsidRPr="001F59A8" w:rsidRDefault="00EA0A2C" w:rsidP="00EA0A2C">
      <w:pPr>
        <w:pStyle w:val="FootnoteText"/>
      </w:pPr>
      <w:r w:rsidRPr="001F59A8">
        <w:rPr>
          <w:rStyle w:val="FootnoteReference"/>
        </w:rPr>
        <w:footnoteRef/>
      </w:r>
      <w:r w:rsidRPr="001F59A8">
        <w:t xml:space="preserve"> Origin Energy</w:t>
      </w:r>
      <w:r w:rsidR="00204526">
        <w:t>, s</w:t>
      </w:r>
      <w:r w:rsidRPr="001F59A8">
        <w:t>ubmission to Essential Services Commission</w:t>
      </w:r>
      <w:r w:rsidR="00204526">
        <w:t>,</w:t>
      </w:r>
      <w:r w:rsidRPr="001F59A8">
        <w:t xml:space="preserve"> </w:t>
      </w:r>
      <w:r w:rsidR="00591A8A" w:rsidRPr="00591A8A">
        <w:rPr>
          <w:i/>
          <w:iCs/>
        </w:rPr>
        <w:t>Victorian Default Offer 2025–26: Draft Decision Paper</w:t>
      </w:r>
      <w:r w:rsidRPr="001F59A8">
        <w:t>, April 2025, pp. 2, 4-5.</w:t>
      </w:r>
    </w:p>
  </w:footnote>
  <w:footnote w:id="103">
    <w:p w14:paraId="59E6CD84" w14:textId="3D8E2226" w:rsidR="00EA0A2C" w:rsidRPr="001F59A8" w:rsidRDefault="00EA0A2C" w:rsidP="00EA0A2C">
      <w:pPr>
        <w:pStyle w:val="FootnoteText"/>
      </w:pPr>
      <w:r w:rsidRPr="001F59A8">
        <w:rPr>
          <w:rStyle w:val="FootnoteReference"/>
        </w:rPr>
        <w:footnoteRef/>
      </w:r>
      <w:r w:rsidRPr="001F59A8">
        <w:t xml:space="preserve"> EnergyAustralia</w:t>
      </w:r>
      <w:r w:rsidR="00204526">
        <w:t>, s</w:t>
      </w:r>
      <w:r w:rsidRPr="001F59A8">
        <w:t>ubmission to Essential Services Commission</w:t>
      </w:r>
      <w:r w:rsidR="00204526">
        <w:t>,</w:t>
      </w:r>
      <w:r w:rsidRPr="001F59A8">
        <w:t xml:space="preserve"> </w:t>
      </w:r>
      <w:r w:rsidR="000C733B" w:rsidRPr="000C733B">
        <w:rPr>
          <w:i/>
          <w:iCs/>
        </w:rPr>
        <w:t>Victorian Default Offer 2025–26: Draft Decision Paper</w:t>
      </w:r>
      <w:r w:rsidRPr="001F59A8">
        <w:t>, April 2025, pp. 7-8.</w:t>
      </w:r>
    </w:p>
  </w:footnote>
  <w:footnote w:id="104">
    <w:p w14:paraId="00BA0FBF" w14:textId="13E7241E" w:rsidR="00B35114" w:rsidRPr="001F59A8" w:rsidRDefault="00B35114" w:rsidP="00B35114">
      <w:pPr>
        <w:pStyle w:val="FootnoteText"/>
      </w:pPr>
      <w:r w:rsidRPr="001F59A8">
        <w:rPr>
          <w:rStyle w:val="FootnoteReference"/>
        </w:rPr>
        <w:footnoteRef/>
      </w:r>
      <w:r w:rsidRPr="001F59A8">
        <w:t xml:space="preserve"> Australian Energy Council</w:t>
      </w:r>
      <w:r w:rsidR="00204526">
        <w:t>, s</w:t>
      </w:r>
      <w:r w:rsidRPr="001F59A8">
        <w:t>ubmission to Essential Services Commission</w:t>
      </w:r>
      <w:r w:rsidR="00204526">
        <w:t>,</w:t>
      </w:r>
      <w:r w:rsidRPr="001F59A8">
        <w:t xml:space="preserve"> </w:t>
      </w:r>
      <w:r w:rsidR="000B29E0" w:rsidRPr="000B29E0">
        <w:rPr>
          <w:i/>
          <w:iCs/>
        </w:rPr>
        <w:t>Victorian Default Offer 2025–26: Draft Decision Paper</w:t>
      </w:r>
      <w:r w:rsidRPr="001F59A8">
        <w:t>, April 2025, p. 1.</w:t>
      </w:r>
    </w:p>
  </w:footnote>
  <w:footnote w:id="105">
    <w:p w14:paraId="533D5E7B" w14:textId="357A17A0" w:rsidR="00A176F1" w:rsidRDefault="00A176F1">
      <w:pPr>
        <w:pStyle w:val="FootnoteText"/>
      </w:pPr>
      <w:r>
        <w:rPr>
          <w:rStyle w:val="FootnoteReference"/>
        </w:rPr>
        <w:footnoteRef/>
      </w:r>
      <w:r>
        <w:t xml:space="preserve"> </w:t>
      </w:r>
      <w:r w:rsidRPr="001F59A8">
        <w:t>EnergyAustralia</w:t>
      </w:r>
      <w:r>
        <w:t>, s</w:t>
      </w:r>
      <w:r w:rsidRPr="001F59A8">
        <w:t>ubmission to Essential Services Commission</w:t>
      </w:r>
      <w:r>
        <w:t>,</w:t>
      </w:r>
      <w:r w:rsidRPr="001F59A8">
        <w:t xml:space="preserve"> </w:t>
      </w:r>
      <w:r w:rsidRPr="000C733B">
        <w:rPr>
          <w:i/>
          <w:iCs/>
        </w:rPr>
        <w:t>Victorian Default Offer 2025–26: Draft Decision Paper</w:t>
      </w:r>
      <w:r w:rsidRPr="001F59A8">
        <w:t>, April 2025, pp. 7</w:t>
      </w:r>
      <w:r w:rsidR="00BB3AA7">
        <w:t>–</w:t>
      </w:r>
      <w:r w:rsidRPr="001F59A8">
        <w:t>8.</w:t>
      </w:r>
    </w:p>
  </w:footnote>
  <w:footnote w:id="106">
    <w:p w14:paraId="2B2F6F68" w14:textId="320A1657" w:rsidR="00072466" w:rsidRPr="001F59A8" w:rsidRDefault="00072466" w:rsidP="00072466">
      <w:pPr>
        <w:pStyle w:val="FootnoteText"/>
      </w:pPr>
      <w:r w:rsidRPr="001F59A8">
        <w:rPr>
          <w:rStyle w:val="FootnoteReference"/>
        </w:rPr>
        <w:footnoteRef/>
      </w:r>
      <w:r w:rsidRPr="001F59A8">
        <w:t xml:space="preserve"> Australian Competition and Consumer Commission (ACCC</w:t>
      </w:r>
      <w:r w:rsidR="00FE4026" w:rsidRPr="001F59A8">
        <w:t>)</w:t>
      </w:r>
      <w:r w:rsidR="00FE4026">
        <w:t>,</w:t>
      </w:r>
      <w:r w:rsidRPr="001F59A8">
        <w:t xml:space="preserve"> </w:t>
      </w:r>
      <w:r w:rsidRPr="001F59A8">
        <w:rPr>
          <w:i/>
          <w:iCs/>
        </w:rPr>
        <w:t>Inquiry into the National Electricity Market</w:t>
      </w:r>
      <w:r w:rsidRPr="001F59A8">
        <w:t>, December 2024, p. 79</w:t>
      </w:r>
      <w:r w:rsidR="00FE4026">
        <w:t>.</w:t>
      </w:r>
    </w:p>
  </w:footnote>
  <w:footnote w:id="107">
    <w:p w14:paraId="337F194F" w14:textId="0083EA07" w:rsidR="008D2E60" w:rsidRPr="001F59A8" w:rsidRDefault="008D2E60">
      <w:pPr>
        <w:pStyle w:val="FootnoteText"/>
      </w:pPr>
      <w:r w:rsidRPr="001F59A8">
        <w:rPr>
          <w:rStyle w:val="FootnoteReference"/>
        </w:rPr>
        <w:footnoteRef/>
      </w:r>
      <w:r w:rsidRPr="001F59A8">
        <w:t xml:space="preserve"> </w:t>
      </w:r>
      <w:r w:rsidR="00A9431A" w:rsidRPr="001F59A8">
        <w:t>EnergyAustralia</w:t>
      </w:r>
      <w:r w:rsidR="00204526">
        <w:t>, s</w:t>
      </w:r>
      <w:r w:rsidR="00A9431A" w:rsidRPr="001F59A8">
        <w:t>ubmission to Essential Services Commission</w:t>
      </w:r>
      <w:r w:rsidR="00204526">
        <w:t>,</w:t>
      </w:r>
      <w:r w:rsidR="00A9431A" w:rsidRPr="001F59A8">
        <w:t xml:space="preserve"> </w:t>
      </w:r>
      <w:r w:rsidR="00F50680" w:rsidRPr="00F50680">
        <w:rPr>
          <w:i/>
          <w:iCs/>
        </w:rPr>
        <w:t>Victorian Default Offer 2025–26: Draft Decision Paper</w:t>
      </w:r>
      <w:r w:rsidR="00A9431A" w:rsidRPr="001F59A8">
        <w:t xml:space="preserve">, April 2025, p. </w:t>
      </w:r>
      <w:r w:rsidR="00446E86" w:rsidRPr="001F59A8">
        <w:t>4.</w:t>
      </w:r>
    </w:p>
  </w:footnote>
  <w:footnote w:id="108">
    <w:p w14:paraId="04C5AE69" w14:textId="5FB5B0B5" w:rsidR="009333EA" w:rsidRPr="001F59A8" w:rsidRDefault="009333EA">
      <w:pPr>
        <w:pStyle w:val="FootnoteText"/>
      </w:pPr>
      <w:r w:rsidRPr="001F59A8">
        <w:rPr>
          <w:rStyle w:val="FootnoteReference"/>
        </w:rPr>
        <w:footnoteRef/>
      </w:r>
      <w:r w:rsidRPr="001F59A8">
        <w:t xml:space="preserve"> </w:t>
      </w:r>
      <w:r w:rsidR="00BE7A94" w:rsidRPr="001F59A8">
        <w:t>Powershop</w:t>
      </w:r>
      <w:r w:rsidR="00204526">
        <w:t>, submission</w:t>
      </w:r>
      <w:r w:rsidRPr="001F59A8">
        <w:t xml:space="preserve"> to Essential Services Commission</w:t>
      </w:r>
      <w:r w:rsidR="00204526">
        <w:t>,</w:t>
      </w:r>
      <w:r w:rsidRPr="001F59A8">
        <w:t xml:space="preserve"> </w:t>
      </w:r>
      <w:r w:rsidR="00F50680" w:rsidRPr="00F50680">
        <w:rPr>
          <w:i/>
          <w:iCs/>
        </w:rPr>
        <w:t>Victorian Default Offer 2025–26: Draft Decision Paper</w:t>
      </w:r>
      <w:r w:rsidRPr="001F59A8">
        <w:t xml:space="preserve">, April 2025, pp. </w:t>
      </w:r>
      <w:r w:rsidR="00BE7A94" w:rsidRPr="001F59A8">
        <w:t>2-3.</w:t>
      </w:r>
    </w:p>
  </w:footnote>
  <w:footnote w:id="109">
    <w:p w14:paraId="713921C0" w14:textId="405EC6F5" w:rsidR="00B93899" w:rsidRPr="001F59A8" w:rsidRDefault="00B93899">
      <w:pPr>
        <w:pStyle w:val="FootnoteText"/>
      </w:pPr>
      <w:r w:rsidRPr="001F59A8">
        <w:rPr>
          <w:rStyle w:val="FootnoteReference"/>
        </w:rPr>
        <w:footnoteRef/>
      </w:r>
      <w:r w:rsidRPr="001F59A8">
        <w:t xml:space="preserve"> </w:t>
      </w:r>
      <w:r w:rsidR="001C0021" w:rsidRPr="001F59A8">
        <w:rPr>
          <w:szCs w:val="18"/>
        </w:rPr>
        <w:t>Clause 12(</w:t>
      </w:r>
      <w:r w:rsidR="004E53AE" w:rsidRPr="001F59A8">
        <w:rPr>
          <w:szCs w:val="18"/>
        </w:rPr>
        <w:t>10</w:t>
      </w:r>
      <w:r w:rsidR="001C0021" w:rsidRPr="001F59A8">
        <w:rPr>
          <w:szCs w:val="18"/>
        </w:rPr>
        <w:t xml:space="preserve">) of the pricing order. </w:t>
      </w:r>
      <w:r w:rsidR="001C0021" w:rsidRPr="001F59A8">
        <w:t xml:space="preserve"> </w:t>
      </w:r>
    </w:p>
  </w:footnote>
  <w:footnote w:id="110">
    <w:p w14:paraId="3652198A" w14:textId="7064528D" w:rsidR="00F95091" w:rsidRPr="001F59A8" w:rsidRDefault="00F95091" w:rsidP="00F95091">
      <w:pPr>
        <w:pStyle w:val="FootnoteText"/>
      </w:pPr>
      <w:r w:rsidRPr="001F59A8">
        <w:rPr>
          <w:rStyle w:val="FootnoteReference"/>
        </w:rPr>
        <w:footnoteRef/>
      </w:r>
      <w:r w:rsidRPr="001F59A8">
        <w:t xml:space="preserve"> A</w:t>
      </w:r>
      <w:r w:rsidR="00722731" w:rsidRPr="001F59A8">
        <w:t xml:space="preserve">ustralian </w:t>
      </w:r>
      <w:r w:rsidRPr="001F59A8">
        <w:t>E</w:t>
      </w:r>
      <w:r w:rsidR="00722731" w:rsidRPr="001F59A8">
        <w:t xml:space="preserve">nergy </w:t>
      </w:r>
      <w:r w:rsidRPr="001F59A8">
        <w:t>R</w:t>
      </w:r>
      <w:r w:rsidR="00722731" w:rsidRPr="001F59A8">
        <w:t>egulator,</w:t>
      </w:r>
      <w:r w:rsidRPr="001F59A8">
        <w:t xml:space="preserve"> </w:t>
      </w:r>
      <w:r w:rsidR="000A1E23" w:rsidRPr="009A4FD4">
        <w:rPr>
          <w:rFonts w:cstheme="minorHAnsi"/>
          <w:i/>
          <w:iCs/>
          <w:szCs w:val="18"/>
        </w:rPr>
        <w:t xml:space="preserve">Default market </w:t>
      </w:r>
      <w:proofErr w:type="gramStart"/>
      <w:r w:rsidR="000A1E23" w:rsidRPr="009A4FD4">
        <w:rPr>
          <w:rFonts w:cstheme="minorHAnsi"/>
          <w:i/>
          <w:iCs/>
          <w:szCs w:val="18"/>
        </w:rPr>
        <w:t>offer</w:t>
      </w:r>
      <w:proofErr w:type="gramEnd"/>
      <w:r w:rsidR="000A1E23" w:rsidRPr="009A4FD4">
        <w:rPr>
          <w:rFonts w:cstheme="minorHAnsi"/>
          <w:i/>
          <w:iCs/>
          <w:szCs w:val="18"/>
        </w:rPr>
        <w:t xml:space="preserve"> prices 202</w:t>
      </w:r>
      <w:r w:rsidR="000A1E23">
        <w:rPr>
          <w:rFonts w:cstheme="minorHAnsi"/>
          <w:i/>
          <w:iCs/>
          <w:szCs w:val="18"/>
        </w:rPr>
        <w:t>4</w:t>
      </w:r>
      <w:r w:rsidR="000A1E23" w:rsidRPr="009A4FD4">
        <w:rPr>
          <w:rFonts w:cstheme="minorHAnsi"/>
          <w:i/>
          <w:iCs/>
          <w:szCs w:val="18"/>
        </w:rPr>
        <w:t>–2</w:t>
      </w:r>
      <w:r w:rsidR="000A1E23">
        <w:rPr>
          <w:rFonts w:cstheme="minorHAnsi"/>
          <w:i/>
          <w:iCs/>
          <w:szCs w:val="18"/>
        </w:rPr>
        <w:t>5:</w:t>
      </w:r>
      <w:r w:rsidR="000A1E23" w:rsidRPr="009A4FD4">
        <w:rPr>
          <w:rFonts w:cstheme="minorHAnsi"/>
          <w:i/>
          <w:iCs/>
          <w:szCs w:val="18"/>
        </w:rPr>
        <w:t xml:space="preserve"> </w:t>
      </w:r>
      <w:r>
        <w:rPr>
          <w:rFonts w:cstheme="minorHAnsi"/>
          <w:i/>
          <w:szCs w:val="18"/>
        </w:rPr>
        <w:t xml:space="preserve">Final </w:t>
      </w:r>
      <w:r w:rsidRPr="009A4FD4">
        <w:rPr>
          <w:rFonts w:cstheme="minorHAnsi"/>
          <w:i/>
          <w:szCs w:val="18"/>
        </w:rPr>
        <w:t>determination</w:t>
      </w:r>
      <w:r>
        <w:rPr>
          <w:rFonts w:cstheme="minorHAnsi"/>
          <w:i/>
          <w:szCs w:val="18"/>
        </w:rPr>
        <w:t xml:space="preserve"> </w:t>
      </w:r>
      <w:r w:rsidR="00380A36">
        <w:rPr>
          <w:rFonts w:cstheme="minorHAnsi"/>
          <w:i/>
          <w:iCs/>
          <w:szCs w:val="18"/>
        </w:rPr>
        <w:t>(</w:t>
      </w:r>
      <w:r w:rsidRPr="009248B1">
        <w:rPr>
          <w:rFonts w:cstheme="minorHAnsi"/>
          <w:i/>
          <w:szCs w:val="18"/>
        </w:rPr>
        <w:t>track-changed c</w:t>
      </w:r>
      <w:bookmarkStart w:id="78" w:name="_Hlt198047138"/>
      <w:bookmarkStart w:id="79" w:name="_Hlt198047139"/>
      <w:r w:rsidRPr="009248B1">
        <w:rPr>
          <w:rFonts w:cstheme="minorHAnsi"/>
          <w:i/>
          <w:szCs w:val="18"/>
        </w:rPr>
        <w:t>o</w:t>
      </w:r>
      <w:bookmarkEnd w:id="78"/>
      <w:bookmarkEnd w:id="79"/>
      <w:r w:rsidRPr="009248B1">
        <w:rPr>
          <w:rFonts w:cstheme="minorHAnsi"/>
          <w:i/>
          <w:szCs w:val="18"/>
        </w:rPr>
        <w:t>mparison</w:t>
      </w:r>
      <w:r w:rsidR="00A663F7">
        <w:rPr>
          <w:rFonts w:cstheme="minorHAnsi"/>
          <w:i/>
          <w:iCs/>
          <w:szCs w:val="18"/>
        </w:rPr>
        <w:t>)</w:t>
      </w:r>
      <w:r w:rsidR="00A663F7">
        <w:t xml:space="preserve">, </w:t>
      </w:r>
      <w:r w:rsidRPr="001F59A8">
        <w:t>June</w:t>
      </w:r>
      <w:r w:rsidR="00A663F7">
        <w:t xml:space="preserve"> 2024</w:t>
      </w:r>
      <w:r w:rsidRPr="001F59A8">
        <w:t>, p. 46</w:t>
      </w:r>
      <w:r w:rsidR="00880F32" w:rsidRPr="001F59A8">
        <w:t>.</w:t>
      </w:r>
    </w:p>
  </w:footnote>
  <w:footnote w:id="111">
    <w:p w14:paraId="5E00215E" w14:textId="255B3203" w:rsidR="00F26CBB" w:rsidRPr="001F59A8" w:rsidRDefault="00F26CBB" w:rsidP="00F26CBB">
      <w:pPr>
        <w:pStyle w:val="FootnoteText"/>
      </w:pPr>
      <w:r w:rsidRPr="001F59A8">
        <w:rPr>
          <w:rStyle w:val="FootnoteReference"/>
        </w:rPr>
        <w:footnoteRef/>
      </w:r>
      <w:r w:rsidRPr="001F59A8">
        <w:t xml:space="preserve"> Queensland Competition Authority, </w:t>
      </w:r>
      <w:r w:rsidRPr="00E00AD7">
        <w:rPr>
          <w:i/>
        </w:rPr>
        <w:t xml:space="preserve">Regulated retail electricity prices in regional Queensland for </w:t>
      </w:r>
      <w:r w:rsidRPr="00857D6F">
        <w:rPr>
          <w:i/>
        </w:rPr>
        <w:t>2024</w:t>
      </w:r>
      <w:r w:rsidR="00D3485B" w:rsidRPr="00857D6F">
        <w:rPr>
          <w:i/>
        </w:rPr>
        <w:t>–</w:t>
      </w:r>
      <w:r w:rsidRPr="00857D6F">
        <w:rPr>
          <w:i/>
        </w:rPr>
        <w:t>25</w:t>
      </w:r>
      <w:r w:rsidR="004B13AE">
        <w:t>:</w:t>
      </w:r>
      <w:r w:rsidR="004B13AE" w:rsidRPr="001F59A8">
        <w:t xml:space="preserve"> </w:t>
      </w:r>
      <w:r w:rsidR="004B13AE" w:rsidRPr="00900BAF">
        <w:rPr>
          <w:i/>
          <w:iCs/>
        </w:rPr>
        <w:t>Final Determination</w:t>
      </w:r>
      <w:r w:rsidRPr="001F59A8">
        <w:t>, June</w:t>
      </w:r>
      <w:r w:rsidR="007A11FC">
        <w:t xml:space="preserve"> </w:t>
      </w:r>
      <w:r w:rsidR="007A11FC" w:rsidRPr="001F59A8">
        <w:t>2024</w:t>
      </w:r>
      <w:r w:rsidRPr="001F59A8">
        <w:t>, p. 23</w:t>
      </w:r>
      <w:r w:rsidR="00880F32" w:rsidRPr="001F59A8">
        <w:t>.</w:t>
      </w:r>
    </w:p>
  </w:footnote>
  <w:footnote w:id="112">
    <w:p w14:paraId="5FC593D8" w14:textId="6766391D" w:rsidR="00860B54" w:rsidRPr="001F59A8" w:rsidRDefault="00860B54" w:rsidP="00860B54">
      <w:pPr>
        <w:pStyle w:val="FootnoteText"/>
      </w:pPr>
      <w:r w:rsidRPr="001F59A8">
        <w:rPr>
          <w:rStyle w:val="FootnoteReference"/>
        </w:rPr>
        <w:footnoteRef/>
      </w:r>
      <w:r w:rsidRPr="001F59A8">
        <w:t xml:space="preserve"> </w:t>
      </w:r>
      <w:r w:rsidR="00880F32" w:rsidRPr="001F59A8">
        <w:t>Independent Competition and Regulatory Commission</w:t>
      </w:r>
      <w:r w:rsidR="006C24F6" w:rsidRPr="001F59A8">
        <w:t xml:space="preserve">, </w:t>
      </w:r>
      <w:r w:rsidR="00224E7D" w:rsidRPr="0082602A">
        <w:rPr>
          <w:rFonts w:cstheme="minorHAnsi"/>
          <w:i/>
          <w:iCs/>
          <w:szCs w:val="18"/>
        </w:rPr>
        <w:t>Final Report: Retail electricity price investigation 2024–27</w:t>
      </w:r>
      <w:r w:rsidR="00224E7D">
        <w:rPr>
          <w:rFonts w:cstheme="minorHAnsi"/>
          <w:i/>
          <w:iCs/>
          <w:szCs w:val="18"/>
        </w:rPr>
        <w:t xml:space="preserve">, </w:t>
      </w:r>
      <w:r w:rsidRPr="001F59A8">
        <w:t>May</w:t>
      </w:r>
      <w:r w:rsidR="007A11FC">
        <w:t xml:space="preserve"> </w:t>
      </w:r>
      <w:r w:rsidR="007A11FC" w:rsidRPr="001F59A8">
        <w:t>2024</w:t>
      </w:r>
      <w:r w:rsidRPr="001F59A8">
        <w:t>, p. 42</w:t>
      </w:r>
      <w:r w:rsidR="006C24F6" w:rsidRPr="001F59A8">
        <w:t>.</w:t>
      </w:r>
    </w:p>
  </w:footnote>
  <w:footnote w:id="113">
    <w:p w14:paraId="39C5B869" w14:textId="23454F92" w:rsidR="00860B54" w:rsidRPr="001F59A8" w:rsidRDefault="00860B54" w:rsidP="00860B54">
      <w:pPr>
        <w:pStyle w:val="FootnoteText"/>
      </w:pPr>
      <w:r w:rsidRPr="001F59A8">
        <w:rPr>
          <w:rStyle w:val="FootnoteReference"/>
        </w:rPr>
        <w:footnoteRef/>
      </w:r>
      <w:r w:rsidRPr="001F59A8">
        <w:t xml:space="preserve"> Office of the Tasmanian Economic Regulator</w:t>
      </w:r>
      <w:r w:rsidR="006C24F6" w:rsidRPr="001F59A8">
        <w:t>,</w:t>
      </w:r>
      <w:r w:rsidRPr="001F59A8">
        <w:t xml:space="preserve"> </w:t>
      </w:r>
      <w:r w:rsidRPr="0082602A">
        <w:rPr>
          <w:i/>
        </w:rPr>
        <w:t>Standing Offer Electricity Pricing Investigation</w:t>
      </w:r>
      <w:bookmarkStart w:id="81" w:name="_Hlt198047464"/>
      <w:bookmarkStart w:id="82" w:name="_Hlt198047465"/>
      <w:r w:rsidR="009B6FD6" w:rsidRPr="0082602A">
        <w:rPr>
          <w:i/>
          <w:iCs/>
        </w:rPr>
        <w:t xml:space="preserve">: </w:t>
      </w:r>
      <w:bookmarkEnd w:id="81"/>
      <w:bookmarkEnd w:id="82"/>
      <w:r w:rsidRPr="0082602A">
        <w:rPr>
          <w:i/>
        </w:rPr>
        <w:t>Final Report</w:t>
      </w:r>
      <w:r w:rsidRPr="001F59A8">
        <w:t>, April</w:t>
      </w:r>
      <w:r w:rsidR="000F7342">
        <w:t xml:space="preserve"> </w:t>
      </w:r>
      <w:r w:rsidR="000F7342" w:rsidRPr="001F59A8">
        <w:t>2022</w:t>
      </w:r>
      <w:r w:rsidRPr="001F59A8">
        <w:t>, pp. 19</w:t>
      </w:r>
      <w:r w:rsidR="0027616B">
        <w:t>–</w:t>
      </w:r>
      <w:r w:rsidRPr="001F59A8">
        <w:t>20</w:t>
      </w:r>
      <w:r w:rsidR="006C24F6" w:rsidRPr="001F59A8">
        <w:t>.</w:t>
      </w:r>
    </w:p>
  </w:footnote>
  <w:footnote w:id="114">
    <w:p w14:paraId="250FF6E9" w14:textId="77777777" w:rsidR="009948ED" w:rsidRPr="001F59A8" w:rsidRDefault="009948ED" w:rsidP="009948ED">
      <w:pPr>
        <w:pStyle w:val="FootnoteText"/>
      </w:pPr>
      <w:r w:rsidRPr="001F59A8">
        <w:rPr>
          <w:rStyle w:val="FootnoteReference"/>
        </w:rPr>
        <w:footnoteRef/>
      </w:r>
      <w:r w:rsidRPr="001F59A8">
        <w:t xml:space="preserve"> Clause 12(4)(d) and Clause 12(6) of the pricing order.</w:t>
      </w:r>
    </w:p>
  </w:footnote>
  <w:footnote w:id="115">
    <w:p w14:paraId="7080015D" w14:textId="2ACAA275" w:rsidR="009948ED" w:rsidRPr="001F59A8" w:rsidRDefault="009948ED" w:rsidP="009948ED">
      <w:pPr>
        <w:pStyle w:val="FootnoteText"/>
      </w:pPr>
      <w:r w:rsidRPr="001F59A8">
        <w:rPr>
          <w:rStyle w:val="FootnoteReference"/>
        </w:rPr>
        <w:footnoteRef/>
      </w:r>
      <w:r w:rsidRPr="001F59A8">
        <w:t xml:space="preserve"> </w:t>
      </w:r>
      <w:r w:rsidRPr="001F59A8">
        <w:rPr>
          <w:szCs w:val="18"/>
        </w:rPr>
        <w:t xml:space="preserve">Australian Competition and Consumer Commission, </w:t>
      </w:r>
      <w:r w:rsidRPr="00E00AD7">
        <w:rPr>
          <w:i/>
          <w:szCs w:val="18"/>
        </w:rPr>
        <w:t>Retail electricity pricing inquiry</w:t>
      </w:r>
      <w:r w:rsidR="00153536" w:rsidRPr="00E00AD7">
        <w:rPr>
          <w:i/>
          <w:iCs/>
          <w:szCs w:val="18"/>
        </w:rPr>
        <w:t>:</w:t>
      </w:r>
      <w:r w:rsidR="00153536" w:rsidRPr="00E00AD7">
        <w:rPr>
          <w:i/>
          <w:szCs w:val="18"/>
        </w:rPr>
        <w:t xml:space="preserve"> Final report</w:t>
      </w:r>
      <w:r w:rsidR="00153536">
        <w:rPr>
          <w:i/>
          <w:szCs w:val="18"/>
        </w:rPr>
        <w:t>,</w:t>
      </w:r>
      <w:r w:rsidR="00153536" w:rsidRPr="001F59A8" w:rsidDel="00153536">
        <w:rPr>
          <w:szCs w:val="18"/>
        </w:rPr>
        <w:t xml:space="preserve"> </w:t>
      </w:r>
      <w:r w:rsidRPr="001F59A8">
        <w:rPr>
          <w:szCs w:val="18"/>
        </w:rPr>
        <w:t xml:space="preserve">July 2018. </w:t>
      </w:r>
      <w:r w:rsidRPr="001F59A8">
        <w:t xml:space="preserve"> </w:t>
      </w:r>
    </w:p>
  </w:footnote>
  <w:footnote w:id="116">
    <w:p w14:paraId="79C139E1" w14:textId="3A9F3622" w:rsidR="009948ED" w:rsidRPr="001F59A8" w:rsidRDefault="009948ED" w:rsidP="009948ED">
      <w:pPr>
        <w:pStyle w:val="FootnoteText"/>
      </w:pPr>
      <w:r w:rsidRPr="001F59A8">
        <w:rPr>
          <w:rStyle w:val="FootnoteReference"/>
        </w:rPr>
        <w:footnoteRef/>
      </w:r>
      <w:r w:rsidRPr="001F59A8">
        <w:t xml:space="preserve">  </w:t>
      </w:r>
      <w:hyperlink r:id="rId16" w:history="1">
        <w:r w:rsidRPr="001F59A8">
          <w:rPr>
            <w:rStyle w:val="Hyperlink"/>
          </w:rPr>
          <w:t>Australian Bureau o</w:t>
        </w:r>
        <w:bookmarkStart w:id="88" w:name="_Hlt188265174"/>
        <w:r w:rsidRPr="001F59A8">
          <w:rPr>
            <w:rStyle w:val="Hyperlink"/>
          </w:rPr>
          <w:t>f</w:t>
        </w:r>
        <w:bookmarkEnd w:id="88"/>
        <w:r w:rsidRPr="001F59A8">
          <w:rPr>
            <w:rStyle w:val="Hyperlink"/>
          </w:rPr>
          <w:t xml:space="preserve"> Statistics</w:t>
        </w:r>
      </w:hyperlink>
      <w:r w:rsidRPr="001F59A8">
        <w:t xml:space="preserve">, All groups CPI, Australia Series ID A2325846C, accessed </w:t>
      </w:r>
      <w:r w:rsidR="008B645B" w:rsidRPr="001F59A8">
        <w:t xml:space="preserve">30 April </w:t>
      </w:r>
      <w:r w:rsidR="00E65815" w:rsidRPr="001F59A8">
        <w:t>2025</w:t>
      </w:r>
      <w:r w:rsidR="00294558" w:rsidRPr="001F59A8">
        <w:t>.</w:t>
      </w:r>
    </w:p>
  </w:footnote>
  <w:footnote w:id="117">
    <w:p w14:paraId="04D65890" w14:textId="2D788E28" w:rsidR="009948ED" w:rsidRPr="001F59A8" w:rsidRDefault="009948ED" w:rsidP="009948ED">
      <w:pPr>
        <w:pStyle w:val="FootnoteText"/>
      </w:pPr>
      <w:r w:rsidRPr="001F59A8">
        <w:rPr>
          <w:rStyle w:val="FootnoteReference"/>
        </w:rPr>
        <w:footnoteRef/>
      </w:r>
      <w:r w:rsidRPr="001F59A8">
        <w:t xml:space="preserve"> Based on </w:t>
      </w:r>
      <w:r w:rsidR="00636F2F" w:rsidRPr="00636F2F">
        <w:t>Essential Services Commission’s</w:t>
      </w:r>
      <w:r w:rsidRPr="001F59A8">
        <w:t xml:space="preserve"> internal analysis</w:t>
      </w:r>
      <w:r w:rsidR="00294558" w:rsidRPr="001F59A8">
        <w:t>.</w:t>
      </w:r>
    </w:p>
  </w:footnote>
  <w:footnote w:id="118">
    <w:p w14:paraId="2E104E7A" w14:textId="73D23716" w:rsidR="009948ED" w:rsidRPr="001F59A8" w:rsidRDefault="009948ED" w:rsidP="009948ED">
      <w:pPr>
        <w:pStyle w:val="FootnoteText"/>
      </w:pPr>
      <w:r w:rsidRPr="001F59A8">
        <w:rPr>
          <w:rStyle w:val="FootnoteReference"/>
        </w:rPr>
        <w:footnoteRef/>
      </w:r>
      <w:r w:rsidRPr="001F59A8">
        <w:t xml:space="preserve"> Australian Competition and Consumer Commission, </w:t>
      </w:r>
      <w:r w:rsidRPr="005A4B5F">
        <w:rPr>
          <w:rFonts w:cstheme="minorHAnsi"/>
          <w:i/>
          <w:szCs w:val="18"/>
        </w:rPr>
        <w:t xml:space="preserve">Inquiry into </w:t>
      </w:r>
      <w:r>
        <w:rPr>
          <w:rFonts w:cstheme="minorHAnsi"/>
          <w:i/>
          <w:szCs w:val="18"/>
        </w:rPr>
        <w:t xml:space="preserve">the </w:t>
      </w:r>
      <w:r w:rsidRPr="005A4B5F">
        <w:rPr>
          <w:rFonts w:cstheme="minorHAnsi"/>
          <w:i/>
          <w:szCs w:val="18"/>
        </w:rPr>
        <w:t>National Electricity Market</w:t>
      </w:r>
      <w:r w:rsidR="00EC321C">
        <w:rPr>
          <w:rFonts w:cstheme="minorHAnsi"/>
          <w:i/>
          <w:szCs w:val="18"/>
        </w:rPr>
        <w:t>:</w:t>
      </w:r>
      <w:r w:rsidR="00EC321C" w:rsidRPr="005A4B5F">
        <w:rPr>
          <w:rFonts w:cstheme="minorHAnsi"/>
          <w:i/>
          <w:szCs w:val="18"/>
        </w:rPr>
        <w:t xml:space="preserve"> December 2024</w:t>
      </w:r>
      <w:r w:rsidR="00EC321C">
        <w:rPr>
          <w:rFonts w:cstheme="minorHAnsi"/>
          <w:i/>
          <w:szCs w:val="18"/>
        </w:rPr>
        <w:t xml:space="preserve"> Report</w:t>
      </w:r>
      <w:r w:rsidRPr="001F59A8">
        <w:t xml:space="preserve">, </w:t>
      </w:r>
      <w:hyperlink r:id="rId17" w:history="1">
        <w:r w:rsidRPr="001F59A8">
          <w:rPr>
            <w:rStyle w:val="Hyperlink"/>
          </w:rPr>
          <w:t>Appendix C</w:t>
        </w:r>
      </w:hyperlink>
      <w:r w:rsidRPr="001F59A8">
        <w:t xml:space="preserve"> – figure C11.20, accessed 22 January 2025</w:t>
      </w:r>
      <w:r w:rsidR="00A559C0" w:rsidRPr="001F59A8">
        <w:t>.</w:t>
      </w:r>
    </w:p>
  </w:footnote>
  <w:footnote w:id="119">
    <w:p w14:paraId="74B75F0A" w14:textId="5E4EDCD4" w:rsidR="00EE320C" w:rsidRDefault="00EE320C">
      <w:pPr>
        <w:pStyle w:val="FootnoteText"/>
      </w:pPr>
      <w:r>
        <w:rPr>
          <w:rStyle w:val="FootnoteReference"/>
        </w:rPr>
        <w:footnoteRef/>
      </w:r>
      <w:r>
        <w:t xml:space="preserve"> </w:t>
      </w:r>
      <w:r w:rsidRPr="001F59A8">
        <w:t>Clause 12(4)(d) and Clause 12(6) of the pricing order.</w:t>
      </w:r>
    </w:p>
  </w:footnote>
  <w:footnote w:id="120">
    <w:p w14:paraId="6EB1B0C9" w14:textId="78975B6D" w:rsidR="00865FB5" w:rsidRPr="001F59A8" w:rsidRDefault="00865FB5">
      <w:pPr>
        <w:pStyle w:val="FootnoteText"/>
      </w:pPr>
      <w:r w:rsidRPr="001F59A8">
        <w:rPr>
          <w:rStyle w:val="FootnoteReference"/>
        </w:rPr>
        <w:footnoteRef/>
      </w:r>
      <w:r w:rsidRPr="001F59A8">
        <w:t xml:space="preserve"> </w:t>
      </w:r>
      <w:r w:rsidR="002F3FFA" w:rsidRPr="001F59A8">
        <w:t>Joint submission with Victorian Council of Social Service, Brotherhood of St Laurence, Consumer Action Law Centre</w:t>
      </w:r>
      <w:r w:rsidR="00363A18">
        <w:t>,</w:t>
      </w:r>
      <w:r w:rsidR="002F3FFA" w:rsidRPr="001F59A8">
        <w:t xml:space="preserve"> Council </w:t>
      </w:r>
      <w:r w:rsidR="002E7C5D">
        <w:t>on the</w:t>
      </w:r>
      <w:r w:rsidR="002F3FFA" w:rsidRPr="001F59A8">
        <w:t xml:space="preserve"> Ageing Victoria</w:t>
      </w:r>
      <w:r w:rsidR="00363A18">
        <w:t>,</w:t>
      </w:r>
      <w:r w:rsidR="002F3FFA" w:rsidRPr="001F59A8">
        <w:t xml:space="preserve"> Energy Consumers Australia, Financial Counselling Victoria Inc</w:t>
      </w:r>
      <w:r w:rsidR="00BA4B00">
        <w:t>.</w:t>
      </w:r>
      <w:r w:rsidR="002F3FFA" w:rsidRPr="001F59A8">
        <w:t>, Uniting</w:t>
      </w:r>
      <w:r w:rsidR="00755042" w:rsidRPr="001F59A8">
        <w:t xml:space="preserve">, submission to the Essential Services Commission, </w:t>
      </w:r>
      <w:r w:rsidR="00755042" w:rsidRPr="001F59A8">
        <w:rPr>
          <w:i/>
        </w:rPr>
        <w:t>Victorian Default Offer 2025–26: Draft Decision Paper</w:t>
      </w:r>
      <w:r w:rsidR="00755042" w:rsidRPr="001F59A8">
        <w:t>, April 2025, p.</w:t>
      </w:r>
      <w:r w:rsidR="00A35E63" w:rsidRPr="001F59A8">
        <w:t xml:space="preserve"> </w:t>
      </w:r>
      <w:r w:rsidR="007C399A" w:rsidRPr="001F59A8">
        <w:t>10</w:t>
      </w:r>
      <w:r w:rsidR="00755042" w:rsidRPr="001F59A8">
        <w:t xml:space="preserve">; </w:t>
      </w:r>
      <w:r w:rsidR="002F3FFA" w:rsidRPr="001F59A8">
        <w:t>Consume</w:t>
      </w:r>
      <w:r w:rsidR="00A35E63" w:rsidRPr="001F59A8">
        <w:t>r</w:t>
      </w:r>
      <w:r w:rsidR="002F3FFA" w:rsidRPr="001F59A8">
        <w:t xml:space="preserve"> Action Law Centre</w:t>
      </w:r>
      <w:r w:rsidR="00755042" w:rsidRPr="001F59A8">
        <w:t xml:space="preserve">, submission to the Essential Services Commission, </w:t>
      </w:r>
      <w:r w:rsidR="00755042" w:rsidRPr="001F59A8">
        <w:rPr>
          <w:i/>
        </w:rPr>
        <w:t>Victorian Default Offer 2025–26: Draft Decision Paper</w:t>
      </w:r>
      <w:r w:rsidR="00755042" w:rsidRPr="001F59A8">
        <w:t>, April 2025, p</w:t>
      </w:r>
      <w:r w:rsidR="00BF79E4" w:rsidRPr="001F59A8">
        <w:t>p</w:t>
      </w:r>
      <w:r w:rsidR="00755042" w:rsidRPr="001F59A8">
        <w:t>.</w:t>
      </w:r>
      <w:r w:rsidR="00BF79E4" w:rsidRPr="001F59A8">
        <w:t xml:space="preserve"> 7</w:t>
      </w:r>
      <w:r w:rsidR="002E7C5D">
        <w:t>–</w:t>
      </w:r>
      <w:r w:rsidR="00BF79E4" w:rsidRPr="001F59A8">
        <w:t>8</w:t>
      </w:r>
      <w:r w:rsidR="003D0446" w:rsidRPr="001F59A8">
        <w:t>.</w:t>
      </w:r>
    </w:p>
  </w:footnote>
  <w:footnote w:id="121">
    <w:p w14:paraId="33284A46" w14:textId="75620B4F" w:rsidR="00221143" w:rsidRPr="001F59A8" w:rsidRDefault="00221143">
      <w:pPr>
        <w:pStyle w:val="FootnoteText"/>
      </w:pPr>
      <w:r w:rsidRPr="001F59A8">
        <w:rPr>
          <w:rStyle w:val="FootnoteReference"/>
        </w:rPr>
        <w:footnoteRef/>
      </w:r>
      <w:r w:rsidRPr="001F59A8">
        <w:t xml:space="preserve"> </w:t>
      </w:r>
      <w:r w:rsidR="006B46BC" w:rsidRPr="001F59A8">
        <w:t xml:space="preserve">EnergyAustralia, submission to the Essential Services Commission, </w:t>
      </w:r>
      <w:r w:rsidR="006B46BC" w:rsidRPr="001F59A8">
        <w:rPr>
          <w:i/>
        </w:rPr>
        <w:t>Victorian Default Offer 2025–26: Draft Decision Paper</w:t>
      </w:r>
      <w:r w:rsidR="006B46BC" w:rsidRPr="001F59A8">
        <w:t>, April 2025, p</w:t>
      </w:r>
      <w:r w:rsidR="003D0446" w:rsidRPr="001F59A8">
        <w:t xml:space="preserve">p. </w:t>
      </w:r>
      <w:r w:rsidR="00DC7590" w:rsidRPr="001F59A8">
        <w:t>8</w:t>
      </w:r>
      <w:r w:rsidR="002E7C5D">
        <w:t>–</w:t>
      </w:r>
      <w:r w:rsidR="00DC7590" w:rsidRPr="001F59A8">
        <w:t>9</w:t>
      </w:r>
      <w:r w:rsidR="003D0446" w:rsidRPr="001F59A8">
        <w:t>.</w:t>
      </w:r>
    </w:p>
  </w:footnote>
  <w:footnote w:id="122">
    <w:p w14:paraId="5B8C7E70" w14:textId="34641611" w:rsidR="00A40876" w:rsidRPr="001F59A8" w:rsidRDefault="00A40876" w:rsidP="00A40876">
      <w:pPr>
        <w:pStyle w:val="FootnoteText"/>
      </w:pPr>
      <w:r w:rsidRPr="001F59A8">
        <w:rPr>
          <w:rStyle w:val="FootnoteReference"/>
        </w:rPr>
        <w:footnoteRef/>
      </w:r>
      <w:r w:rsidRPr="001F59A8">
        <w:t xml:space="preserve"> Australian Competition and Consumer Commission, </w:t>
      </w:r>
      <w:r w:rsidRPr="001F59A8">
        <w:rPr>
          <w:rFonts w:cstheme="minorHAnsi"/>
          <w:i/>
          <w:szCs w:val="18"/>
        </w:rPr>
        <w:t>Inquiry into National Electricity Market</w:t>
      </w:r>
      <w:r w:rsidR="00800E21">
        <w:rPr>
          <w:rFonts w:cstheme="minorHAnsi"/>
          <w:i/>
          <w:szCs w:val="18"/>
        </w:rPr>
        <w:t>:</w:t>
      </w:r>
      <w:r w:rsidRPr="001F59A8">
        <w:rPr>
          <w:rFonts w:cstheme="minorHAnsi"/>
          <w:i/>
          <w:szCs w:val="18"/>
        </w:rPr>
        <w:t xml:space="preserve"> Report December 2024</w:t>
      </w:r>
      <w:r w:rsidRPr="001F59A8">
        <w:rPr>
          <w:rFonts w:cstheme="minorHAnsi"/>
          <w:szCs w:val="18"/>
        </w:rPr>
        <w:t>, December 2024.</w:t>
      </w:r>
    </w:p>
  </w:footnote>
  <w:footnote w:id="123">
    <w:p w14:paraId="3756BD5B" w14:textId="77777777" w:rsidR="003A13CB" w:rsidRPr="001F59A8" w:rsidRDefault="003A13CB" w:rsidP="003A13CB">
      <w:pPr>
        <w:pStyle w:val="FootnoteText"/>
      </w:pPr>
      <w:r w:rsidRPr="001F59A8">
        <w:rPr>
          <w:rStyle w:val="FootnoteReference"/>
        </w:rPr>
        <w:footnoteRef/>
      </w:r>
      <w:r w:rsidRPr="001F59A8">
        <w:t xml:space="preserve"> </w:t>
      </w:r>
      <w:r w:rsidRPr="001F59A8">
        <w:rPr>
          <w:i/>
          <w:iCs/>
        </w:rPr>
        <w:t xml:space="preserve">Electricity Industry Act 2000, </w:t>
      </w:r>
      <w:r w:rsidRPr="001F59A8">
        <w:t>s 40EB.</w:t>
      </w:r>
    </w:p>
  </w:footnote>
  <w:footnote w:id="124">
    <w:p w14:paraId="65E7FB7D" w14:textId="251157F3" w:rsidR="00DC7590" w:rsidRPr="008B48EE" w:rsidRDefault="00DC7590">
      <w:pPr>
        <w:pStyle w:val="FootnoteText"/>
      </w:pPr>
      <w:r w:rsidRPr="001F59A8">
        <w:rPr>
          <w:rStyle w:val="FootnoteReference"/>
        </w:rPr>
        <w:footnoteRef/>
      </w:r>
      <w:r w:rsidRPr="001F59A8">
        <w:t xml:space="preserve"> </w:t>
      </w:r>
      <w:r w:rsidRPr="008B48EE">
        <w:t xml:space="preserve">EnergyAustralia, submission to the Essential Services Commission, </w:t>
      </w:r>
      <w:r w:rsidRPr="008B48EE">
        <w:rPr>
          <w:i/>
        </w:rPr>
        <w:t>Victorian Default Offer 2025–26: Draft Decision Paper</w:t>
      </w:r>
      <w:r w:rsidRPr="008B48EE">
        <w:t>, April 2025, pp. 8</w:t>
      </w:r>
      <w:r w:rsidR="000C758F" w:rsidRPr="008B48EE">
        <w:t>–</w:t>
      </w:r>
      <w:r w:rsidRPr="008B48EE">
        <w:t>9</w:t>
      </w:r>
      <w:r w:rsidR="00883DF8" w:rsidRPr="008B48EE">
        <w:t>.</w:t>
      </w:r>
    </w:p>
  </w:footnote>
  <w:footnote w:id="125">
    <w:p w14:paraId="25E06DE2" w14:textId="463575CD" w:rsidR="000C08AF" w:rsidRPr="001F59A8" w:rsidRDefault="00E3305C">
      <w:pPr>
        <w:pStyle w:val="FootnoteText"/>
      </w:pPr>
      <w:r w:rsidRPr="008B48EE">
        <w:rPr>
          <w:rStyle w:val="FootnoteReference"/>
        </w:rPr>
        <w:footnoteRef/>
      </w:r>
      <w:r w:rsidR="00B14D04">
        <w:t xml:space="preserve"> </w:t>
      </w:r>
      <w:r w:rsidR="00B14D04" w:rsidRPr="008B48EE">
        <w:t xml:space="preserve">Department of Environment, Land, Water and Planning 2022, </w:t>
      </w:r>
      <w:r w:rsidR="00B14D04" w:rsidRPr="008B48EE">
        <w:rPr>
          <w:i/>
        </w:rPr>
        <w:t>Review of the Victorian Default Offer Order in Council Final decision</w:t>
      </w:r>
      <w:r w:rsidR="00B14D04" w:rsidRPr="008B48EE">
        <w:t>, pp. 26–27</w:t>
      </w:r>
      <w:r w:rsidR="00B14D04">
        <w:t>.</w:t>
      </w:r>
      <w:r w:rsidR="00F51E32">
        <w:t xml:space="preserve"> </w:t>
      </w:r>
    </w:p>
  </w:footnote>
  <w:footnote w:id="126">
    <w:p w14:paraId="6348871E" w14:textId="5EBD5240" w:rsidR="0058778F" w:rsidRDefault="0058778F">
      <w:pPr>
        <w:pStyle w:val="FootnoteText"/>
      </w:pPr>
      <w:r>
        <w:rPr>
          <w:rStyle w:val="FootnoteReference"/>
        </w:rPr>
        <w:footnoteRef/>
      </w:r>
      <w:r>
        <w:t xml:space="preserve"> </w:t>
      </w:r>
      <w:r w:rsidRPr="001F59A8">
        <w:t>Clause 12(4)(f) of the pricing order.</w:t>
      </w:r>
    </w:p>
  </w:footnote>
  <w:footnote w:id="127">
    <w:p w14:paraId="435AF760" w14:textId="32345EF3" w:rsidR="00A31FD2" w:rsidRPr="001F59A8" w:rsidRDefault="00A31FD2" w:rsidP="00A31FD2">
      <w:pPr>
        <w:pStyle w:val="FootnoteText"/>
      </w:pPr>
      <w:r w:rsidRPr="001F59A8">
        <w:rPr>
          <w:rStyle w:val="FootnoteReference"/>
        </w:rPr>
        <w:footnoteRef/>
      </w:r>
      <w:r w:rsidRPr="001F59A8">
        <w:t xml:space="preserve"> </w:t>
      </w:r>
      <w:r w:rsidR="00C2729F" w:rsidRPr="001F59A8">
        <w:t xml:space="preserve">For more information see: </w:t>
      </w:r>
      <w:hyperlink r:id="rId18" w:anchor="3.14" w:history="1">
        <w:r w:rsidR="00C2729F" w:rsidRPr="001F59A8">
          <w:rPr>
            <w:rStyle w:val="Hyperlink"/>
          </w:rPr>
          <w:t>NER Rule 3.14: Administered Price Cap and Market Suspension - AEMC Energy Rules</w:t>
        </w:r>
      </w:hyperlink>
      <w:r w:rsidR="00C2729F" w:rsidRPr="001F59A8">
        <w:t xml:space="preserve"> Accessed </w:t>
      </w:r>
      <w:r w:rsidR="00F273C1" w:rsidRPr="001F59A8">
        <w:t xml:space="preserve">8 April </w:t>
      </w:r>
      <w:r w:rsidR="00C2729F" w:rsidRPr="001F59A8">
        <w:t xml:space="preserve">2025. </w:t>
      </w:r>
    </w:p>
  </w:footnote>
  <w:footnote w:id="128">
    <w:p w14:paraId="0C9F8014" w14:textId="59EC123A" w:rsidR="00B13674" w:rsidRPr="001F59A8" w:rsidRDefault="00B13674">
      <w:pPr>
        <w:pStyle w:val="FootnoteText"/>
      </w:pPr>
      <w:r w:rsidRPr="001F59A8">
        <w:rPr>
          <w:rStyle w:val="FootnoteReference"/>
        </w:rPr>
        <w:footnoteRef/>
      </w:r>
      <w:r w:rsidRPr="001F59A8">
        <w:t xml:space="preserve"> </w:t>
      </w:r>
      <w:r w:rsidR="007E64AD" w:rsidRPr="001F59A8">
        <w:t xml:space="preserve">Advised by the Australian Energy Market Operator by email on </w:t>
      </w:r>
      <w:r w:rsidR="00177345" w:rsidRPr="001F59A8">
        <w:t>15 April</w:t>
      </w:r>
      <w:r w:rsidR="007E64AD" w:rsidRPr="001F59A8">
        <w:t xml:space="preserve"> 202</w:t>
      </w:r>
      <w:r w:rsidR="00E56796" w:rsidRPr="001F59A8">
        <w:t>5</w:t>
      </w:r>
      <w:r w:rsidR="00F82F6A" w:rsidRPr="001F59A8">
        <w:t>.</w:t>
      </w:r>
    </w:p>
  </w:footnote>
  <w:footnote w:id="129">
    <w:p w14:paraId="698023F4" w14:textId="6E24C554" w:rsidR="000B2EAC" w:rsidRPr="001F59A8" w:rsidRDefault="000B2EAC">
      <w:pPr>
        <w:pStyle w:val="FootnoteText"/>
      </w:pPr>
      <w:r w:rsidRPr="001F59A8">
        <w:rPr>
          <w:rStyle w:val="FootnoteReference"/>
        </w:rPr>
        <w:footnoteRef/>
      </w:r>
      <w:r w:rsidRPr="001F59A8">
        <w:t xml:space="preserve"> </w:t>
      </w:r>
      <w:hyperlink r:id="rId19" w:history="1">
        <w:r w:rsidR="00CF7D9F" w:rsidRPr="001F59A8">
          <w:rPr>
            <w:rStyle w:val="Hyperlink"/>
          </w:rPr>
          <w:t xml:space="preserve">AEMO System security (energy) directions report </w:t>
        </w:r>
        <w:r w:rsidR="00970B2C" w:rsidRPr="001F59A8">
          <w:rPr>
            <w:rStyle w:val="Hyperlink"/>
          </w:rPr>
          <w:t>03</w:t>
        </w:r>
        <w:r w:rsidR="00FD1F0A" w:rsidRPr="001F59A8">
          <w:rPr>
            <w:rStyle w:val="Hyperlink"/>
          </w:rPr>
          <w:t xml:space="preserve"> Feb 20</w:t>
        </w:r>
        <w:r w:rsidR="00146890" w:rsidRPr="001F59A8">
          <w:rPr>
            <w:rStyle w:val="Hyperlink"/>
          </w:rPr>
          <w:t>24</w:t>
        </w:r>
        <w:r w:rsidR="004F1797" w:rsidRPr="001F59A8">
          <w:rPr>
            <w:rStyle w:val="Hyperlink"/>
          </w:rPr>
          <w:t xml:space="preserve">- </w:t>
        </w:r>
        <w:r w:rsidR="00641B14" w:rsidRPr="001F59A8">
          <w:rPr>
            <w:rStyle w:val="Hyperlink"/>
          </w:rPr>
          <w:t>02 March 2024</w:t>
        </w:r>
        <w:r w:rsidR="001E34D1" w:rsidRPr="001F59A8">
          <w:rPr>
            <w:rStyle w:val="Hyperlink"/>
          </w:rPr>
          <w:t>, ‘Directions Summary</w:t>
        </w:r>
        <w:r w:rsidR="00F62D35" w:rsidRPr="001F59A8">
          <w:rPr>
            <w:rStyle w:val="Hyperlink"/>
          </w:rPr>
          <w:t>’</w:t>
        </w:r>
        <w:r w:rsidR="00FB3347" w:rsidRPr="001F59A8">
          <w:rPr>
            <w:rStyle w:val="Hyperlink"/>
          </w:rPr>
          <w:t xml:space="preserve"> tab</w:t>
        </w:r>
        <w:r w:rsidR="00D66737" w:rsidRPr="001F59A8">
          <w:rPr>
            <w:rStyle w:val="Hyperlink"/>
          </w:rPr>
          <w:t>, row 21 and table 3.</w:t>
        </w:r>
      </w:hyperlink>
      <w:r w:rsidR="0081354D" w:rsidRPr="001F59A8">
        <w:t xml:space="preserve"> Accessed </w:t>
      </w:r>
      <w:r w:rsidR="00AA7676" w:rsidRPr="001F59A8">
        <w:t>8 April</w:t>
      </w:r>
      <w:r w:rsidR="0081354D" w:rsidRPr="001F59A8">
        <w:t xml:space="preserve"> 2025.</w:t>
      </w:r>
    </w:p>
  </w:footnote>
  <w:footnote w:id="130">
    <w:p w14:paraId="6948C952" w14:textId="13B3166A" w:rsidR="005701F3" w:rsidRPr="001F59A8" w:rsidRDefault="005701F3" w:rsidP="005701F3">
      <w:pPr>
        <w:pStyle w:val="FootnoteText"/>
      </w:pPr>
      <w:r w:rsidRPr="001F59A8">
        <w:rPr>
          <w:vertAlign w:val="superscript"/>
        </w:rPr>
        <w:footnoteRef/>
      </w:r>
      <w:r w:rsidRPr="001F59A8">
        <w:t xml:space="preserve"> A</w:t>
      </w:r>
      <w:r w:rsidR="004326F9" w:rsidRPr="001F59A8">
        <w:t xml:space="preserve">ustralian </w:t>
      </w:r>
      <w:r w:rsidRPr="001F59A8">
        <w:t>E</w:t>
      </w:r>
      <w:r w:rsidR="004326F9" w:rsidRPr="001F59A8">
        <w:t xml:space="preserve">nergy </w:t>
      </w:r>
      <w:r w:rsidRPr="001F59A8">
        <w:t>M</w:t>
      </w:r>
      <w:r w:rsidR="004326F9" w:rsidRPr="001F59A8">
        <w:t xml:space="preserve">arket </w:t>
      </w:r>
      <w:r w:rsidRPr="001F59A8">
        <w:t>O</w:t>
      </w:r>
      <w:r w:rsidR="004326F9" w:rsidRPr="001F59A8">
        <w:t>perator,</w:t>
      </w:r>
      <w:r w:rsidRPr="001F59A8">
        <w:t xml:space="preserve"> </w:t>
      </w:r>
      <w:hyperlink r:id="rId20" w:history="1">
        <w:r w:rsidRPr="001F59A8">
          <w:rPr>
            <w:rStyle w:val="Hyperlink"/>
          </w:rPr>
          <w:t>Preliminary Report: NEM Market Suspension on 5 September 2025</w:t>
        </w:r>
      </w:hyperlink>
      <w:r w:rsidR="004326F9" w:rsidRPr="001F59A8">
        <w:t>.</w:t>
      </w:r>
      <w:r w:rsidRPr="001F59A8">
        <w:t xml:space="preserve"> Accessed </w:t>
      </w:r>
      <w:r w:rsidR="004C3FC9" w:rsidRPr="001F59A8">
        <w:t xml:space="preserve">8 April </w:t>
      </w:r>
      <w:r w:rsidRPr="001F59A8">
        <w:t>2025.</w:t>
      </w:r>
    </w:p>
  </w:footnote>
  <w:footnote w:id="131">
    <w:p w14:paraId="0D6DB168" w14:textId="77777777" w:rsidR="00255089" w:rsidRPr="001F59A8" w:rsidRDefault="00255089" w:rsidP="00255089">
      <w:pPr>
        <w:pStyle w:val="FootnoteText"/>
      </w:pPr>
      <w:r w:rsidRPr="001F59A8">
        <w:rPr>
          <w:rStyle w:val="FootnoteReference"/>
        </w:rPr>
        <w:footnoteRef/>
      </w:r>
      <w:r w:rsidRPr="001F59A8">
        <w:t xml:space="preserve"> Confirmed by the Australian Energy Market Operator via email on 15 October 2024.</w:t>
      </w:r>
    </w:p>
  </w:footnote>
  <w:footnote w:id="132">
    <w:p w14:paraId="16CA0B5E" w14:textId="4A900799" w:rsidR="00A31FD2" w:rsidRPr="001F59A8" w:rsidRDefault="00A31FD2" w:rsidP="00A31FD2">
      <w:pPr>
        <w:pStyle w:val="FootnoteText"/>
      </w:pPr>
      <w:r w:rsidRPr="001F59A8">
        <w:rPr>
          <w:rStyle w:val="FootnoteReference"/>
        </w:rPr>
        <w:footnoteRef/>
      </w:r>
      <w:r w:rsidRPr="001F59A8">
        <w:t xml:space="preserve"> Australian Energy Market Operator, </w:t>
      </w:r>
      <w:hyperlink r:id="rId21" w:history="1">
        <w:r w:rsidRPr="001F59A8">
          <w:rPr>
            <w:rStyle w:val="Hyperlink"/>
          </w:rPr>
          <w:t>RERT reporting</w:t>
        </w:r>
      </w:hyperlink>
      <w:r w:rsidR="0075565D" w:rsidRPr="001F59A8">
        <w:t>. A</w:t>
      </w:r>
      <w:r w:rsidRPr="001F59A8">
        <w:t xml:space="preserve">ccessed </w:t>
      </w:r>
      <w:r w:rsidR="005370E7" w:rsidRPr="001F59A8">
        <w:t xml:space="preserve">8 April </w:t>
      </w:r>
      <w:r w:rsidRPr="001F59A8">
        <w:t>202</w:t>
      </w:r>
      <w:r w:rsidR="008D3340" w:rsidRPr="001F59A8">
        <w:t>5</w:t>
      </w:r>
      <w:r w:rsidRPr="001F59A8">
        <w:t>.</w:t>
      </w:r>
    </w:p>
  </w:footnote>
  <w:footnote w:id="133">
    <w:p w14:paraId="3B81EDBC" w14:textId="13EA042E" w:rsidR="004C06BB" w:rsidRPr="001F59A8" w:rsidRDefault="00A02C8D">
      <w:pPr>
        <w:pStyle w:val="FootnoteText"/>
      </w:pPr>
      <w:r w:rsidRPr="001F59A8">
        <w:rPr>
          <w:vertAlign w:val="superscript"/>
        </w:rPr>
        <w:footnoteRef/>
      </w:r>
      <w:r w:rsidRPr="001F59A8">
        <w:t xml:space="preserve"> Australian Energy Market Operator </w:t>
      </w:r>
      <w:hyperlink r:id="rId22" w:history="1">
        <w:r w:rsidRPr="001F59A8">
          <w:rPr>
            <w:rStyle w:val="Hyperlink"/>
          </w:rPr>
          <w:t>RERT Quarterly Report Q1 2024</w:t>
        </w:r>
      </w:hyperlink>
      <w:r w:rsidRPr="001F59A8">
        <w:t xml:space="preserve">. Accessed </w:t>
      </w:r>
      <w:r w:rsidR="00B9070E" w:rsidRPr="001F59A8">
        <w:t xml:space="preserve">8 April </w:t>
      </w:r>
      <w:r w:rsidRPr="001F59A8">
        <w:t xml:space="preserve">2025, value confirmed via email with AEMO </w:t>
      </w:r>
      <w:r w:rsidR="00832CA0" w:rsidRPr="001F59A8">
        <w:t>14 April 2025</w:t>
      </w:r>
      <w:r w:rsidRPr="001F59A8">
        <w:t>.</w:t>
      </w:r>
      <w:r w:rsidR="005316D6" w:rsidRPr="001F59A8">
        <w:t xml:space="preserve"> </w:t>
      </w:r>
    </w:p>
  </w:footnote>
  <w:footnote w:id="134">
    <w:p w14:paraId="272303F1" w14:textId="13AF158E" w:rsidR="00A31FD2" w:rsidRPr="001F59A8" w:rsidRDefault="00A31FD2" w:rsidP="00A31FD2">
      <w:pPr>
        <w:pStyle w:val="FootnoteText"/>
      </w:pPr>
      <w:r w:rsidRPr="001F59A8">
        <w:rPr>
          <w:rStyle w:val="FootnoteReference"/>
        </w:rPr>
        <w:footnoteRef/>
      </w:r>
      <w:r w:rsidRPr="001F59A8">
        <w:t xml:space="preserve"> For more information on the Australian Energy Market Operators core functions and responsibilities see: </w:t>
      </w:r>
      <w:hyperlink r:id="rId23" w:history="1">
        <w:r w:rsidRPr="001F59A8">
          <w:rPr>
            <w:rStyle w:val="Hyperlink"/>
          </w:rPr>
          <w:t>Energy market fees and charges</w:t>
        </w:r>
      </w:hyperlink>
      <w:r w:rsidRPr="001F59A8">
        <w:t xml:space="preserve">, </w:t>
      </w:r>
      <w:r w:rsidR="00AF25BF" w:rsidRPr="001F59A8">
        <w:t xml:space="preserve">Accessed </w:t>
      </w:r>
      <w:r w:rsidR="001B33E9" w:rsidRPr="001F59A8">
        <w:t>22 April</w:t>
      </w:r>
      <w:r w:rsidR="00AF25BF" w:rsidRPr="001F59A8">
        <w:t xml:space="preserve"> 2025</w:t>
      </w:r>
      <w:r w:rsidRPr="001F59A8">
        <w:t xml:space="preserve">.  </w:t>
      </w:r>
    </w:p>
  </w:footnote>
  <w:footnote w:id="135">
    <w:p w14:paraId="3BFA2183" w14:textId="6B99EAA8" w:rsidR="004F022D" w:rsidRPr="001F59A8" w:rsidRDefault="004F022D">
      <w:pPr>
        <w:pStyle w:val="FootnoteText"/>
      </w:pPr>
      <w:r w:rsidRPr="001F59A8">
        <w:rPr>
          <w:rStyle w:val="FootnoteReference"/>
        </w:rPr>
        <w:footnoteRef/>
      </w:r>
      <w:r w:rsidRPr="001F59A8">
        <w:t xml:space="preserve"> </w:t>
      </w:r>
      <w:hyperlink r:id="rId24" w:history="1">
        <w:r w:rsidR="00165721" w:rsidRPr="001F59A8">
          <w:rPr>
            <w:rStyle w:val="Hyperlink"/>
          </w:rPr>
          <w:t>AEMO FY26 Draft Budget and Fees Report</w:t>
        </w:r>
      </w:hyperlink>
      <w:r w:rsidR="00165721" w:rsidRPr="001F59A8">
        <w:t>. Accessed 22 April 202</w:t>
      </w:r>
      <w:r w:rsidR="00A152FB">
        <w:t>5</w:t>
      </w:r>
      <w:r w:rsidR="00165721" w:rsidRPr="001F59A8">
        <w:t xml:space="preserve">. </w:t>
      </w:r>
    </w:p>
  </w:footnote>
  <w:footnote w:id="136">
    <w:p w14:paraId="79842C61" w14:textId="73D8A942" w:rsidR="00C9691E" w:rsidRDefault="00C9691E">
      <w:pPr>
        <w:pStyle w:val="FootnoteText"/>
      </w:pPr>
      <w:r>
        <w:rPr>
          <w:rStyle w:val="FootnoteReference"/>
        </w:rPr>
        <w:footnoteRef/>
      </w:r>
      <w:r>
        <w:t xml:space="preserve"> </w:t>
      </w:r>
      <w:hyperlink r:id="rId25" w:history="1">
        <w:r w:rsidRPr="001F59A8">
          <w:rPr>
            <w:rStyle w:val="Hyperlink"/>
          </w:rPr>
          <w:t>AEMO FY26 Draft Budget and Fees Report</w:t>
        </w:r>
      </w:hyperlink>
      <w:r w:rsidR="00C45AF1">
        <w:t xml:space="preserve">, </w:t>
      </w:r>
      <w:r w:rsidR="00EA5ED1">
        <w:t>Page</w:t>
      </w:r>
      <w:r w:rsidR="00A152FB">
        <w:t xml:space="preserve"> 24</w:t>
      </w:r>
      <w:r w:rsidR="00EA5ED1">
        <w:t xml:space="preserve">, </w:t>
      </w:r>
      <w:r w:rsidR="00AF136C">
        <w:t>4.1</w:t>
      </w:r>
      <w:r w:rsidR="00EA5ED1">
        <w:t>.</w:t>
      </w:r>
      <w:r w:rsidRPr="001F59A8">
        <w:t xml:space="preserve"> Accessed </w:t>
      </w:r>
      <w:r w:rsidR="00A152FB">
        <w:t>12 May</w:t>
      </w:r>
      <w:r w:rsidRPr="001F59A8">
        <w:t xml:space="preserve"> 202</w:t>
      </w:r>
      <w:r w:rsidR="00A152FB">
        <w:t>5</w:t>
      </w:r>
      <w:r w:rsidRPr="001F59A8">
        <w:t>.</w:t>
      </w:r>
    </w:p>
  </w:footnote>
  <w:footnote w:id="137">
    <w:p w14:paraId="7E605F32" w14:textId="113BCA1E" w:rsidR="00A31FD2" w:rsidRPr="001F59A8" w:rsidRDefault="00A31FD2" w:rsidP="00A31FD2">
      <w:pPr>
        <w:pStyle w:val="FootnoteText"/>
      </w:pPr>
      <w:r w:rsidRPr="001F59A8">
        <w:rPr>
          <w:rStyle w:val="FootnoteReference"/>
        </w:rPr>
        <w:footnoteRef/>
      </w:r>
      <w:r w:rsidRPr="001F59A8">
        <w:t xml:space="preserve"> For more information on ancillary services see: Australian Energy Market Operator, </w:t>
      </w:r>
      <w:hyperlink r:id="rId26" w:history="1">
        <w:r w:rsidRPr="001F59A8">
          <w:rPr>
            <w:rStyle w:val="Hyperlink"/>
            <w:i/>
            <w:iCs/>
          </w:rPr>
          <w:t>Ancillary Services Payments and Recovery</w:t>
        </w:r>
      </w:hyperlink>
      <w:r w:rsidR="00D53CD5" w:rsidRPr="001F59A8">
        <w:t>.</w:t>
      </w:r>
      <w:r w:rsidRPr="001F59A8">
        <w:t xml:space="preserve"> </w:t>
      </w:r>
      <w:r w:rsidR="003754C4" w:rsidRPr="001F59A8">
        <w:t xml:space="preserve">Accessed </w:t>
      </w:r>
      <w:r w:rsidR="002B366C" w:rsidRPr="001F59A8">
        <w:t xml:space="preserve">8 April </w:t>
      </w:r>
      <w:r w:rsidR="003754C4" w:rsidRPr="001F59A8">
        <w:t>2025.</w:t>
      </w:r>
    </w:p>
  </w:footnote>
  <w:footnote w:id="138">
    <w:p w14:paraId="16F1C6E6" w14:textId="6E44A914" w:rsidR="00224652" w:rsidRDefault="00224652">
      <w:pPr>
        <w:pStyle w:val="FootnoteText"/>
      </w:pPr>
      <w:r>
        <w:rPr>
          <w:rStyle w:val="FootnoteReference"/>
        </w:rPr>
        <w:footnoteRef/>
      </w:r>
      <w:r>
        <w:t xml:space="preserve"> Section 22 of the </w:t>
      </w:r>
      <w:r>
        <w:rPr>
          <w:i/>
          <w:iCs/>
        </w:rPr>
        <w:t>Electricity Industry Act 2000.</w:t>
      </w:r>
    </w:p>
  </w:footnote>
  <w:footnote w:id="139">
    <w:p w14:paraId="29361C68" w14:textId="23B7328A" w:rsidR="00E13912" w:rsidRPr="001F59A8" w:rsidRDefault="00E13912" w:rsidP="00E13912">
      <w:pPr>
        <w:pStyle w:val="FootnoteText"/>
      </w:pPr>
      <w:r w:rsidRPr="001F59A8">
        <w:rPr>
          <w:rStyle w:val="FootnoteReference"/>
        </w:rPr>
        <w:footnoteRef/>
      </w:r>
      <w:r w:rsidRPr="001F59A8">
        <w:t xml:space="preserve"> Clause 12(4)(f) of the pricing order.</w:t>
      </w:r>
    </w:p>
  </w:footnote>
  <w:footnote w:id="140">
    <w:p w14:paraId="6EAA0480" w14:textId="67218C1A" w:rsidR="00A54025" w:rsidRPr="001F59A8" w:rsidRDefault="00A54025" w:rsidP="00A54025">
      <w:r w:rsidRPr="001F59A8">
        <w:rPr>
          <w:rStyle w:val="FootnoteReference"/>
          <w:sz w:val="18"/>
          <w:szCs w:val="18"/>
        </w:rPr>
        <w:footnoteRef/>
      </w:r>
      <w:r w:rsidRPr="001F59A8">
        <w:rPr>
          <w:sz w:val="18"/>
          <w:szCs w:val="18"/>
        </w:rPr>
        <w:t xml:space="preserve"> </w:t>
      </w:r>
      <w:r w:rsidRPr="001F59A8">
        <w:rPr>
          <w:rStyle w:val="FootnoteTextChar"/>
        </w:rPr>
        <w:t xml:space="preserve">Australian Energy Market Operator, </w:t>
      </w:r>
      <w:r w:rsidRPr="001F59A8">
        <w:rPr>
          <w:rStyle w:val="FootnoteTextChar"/>
          <w:i/>
          <w:iCs/>
        </w:rPr>
        <w:t>Distribution Loss Factors for the 202</w:t>
      </w:r>
      <w:r w:rsidR="00602073" w:rsidRPr="001F59A8">
        <w:rPr>
          <w:rStyle w:val="FootnoteTextChar"/>
          <w:i/>
          <w:iCs/>
        </w:rPr>
        <w:t>5</w:t>
      </w:r>
      <w:r w:rsidRPr="001F59A8">
        <w:rPr>
          <w:rStyle w:val="FootnoteTextChar"/>
          <w:i/>
          <w:iCs/>
        </w:rPr>
        <w:t>–2</w:t>
      </w:r>
      <w:r w:rsidR="00602073" w:rsidRPr="001F59A8">
        <w:rPr>
          <w:rStyle w:val="FootnoteTextChar"/>
          <w:i/>
          <w:iCs/>
        </w:rPr>
        <w:t>6</w:t>
      </w:r>
      <w:r w:rsidRPr="001F59A8">
        <w:rPr>
          <w:rStyle w:val="FootnoteTextChar"/>
          <w:i/>
          <w:iCs/>
        </w:rPr>
        <w:t xml:space="preserve"> Financial Year</w:t>
      </w:r>
      <w:r w:rsidRPr="001F59A8">
        <w:rPr>
          <w:rStyle w:val="FootnoteTextChar"/>
        </w:rPr>
        <w:t xml:space="preserve">, </w:t>
      </w:r>
      <w:r w:rsidR="00602073" w:rsidRPr="001F59A8">
        <w:rPr>
          <w:rStyle w:val="FootnoteTextChar"/>
        </w:rPr>
        <w:t>April</w:t>
      </w:r>
      <w:r w:rsidRPr="001F59A8">
        <w:rPr>
          <w:rStyle w:val="FootnoteTextChar"/>
        </w:rPr>
        <w:t xml:space="preserve"> 202</w:t>
      </w:r>
      <w:r w:rsidR="00602073" w:rsidRPr="001F59A8">
        <w:rPr>
          <w:rStyle w:val="FootnoteTextChar"/>
        </w:rPr>
        <w:t>5</w:t>
      </w:r>
      <w:r w:rsidRPr="001F59A8">
        <w:rPr>
          <w:rStyle w:val="FootnoteTextChar"/>
        </w:rPr>
        <w:t>, p. 12.</w:t>
      </w:r>
    </w:p>
  </w:footnote>
  <w:footnote w:id="141">
    <w:p w14:paraId="415BB1B4" w14:textId="59EC2B9A" w:rsidR="00A07FB5" w:rsidRPr="001F59A8" w:rsidRDefault="00A07FB5" w:rsidP="00A07FB5">
      <w:r w:rsidRPr="001F59A8">
        <w:rPr>
          <w:rStyle w:val="FootnoteReference"/>
          <w:sz w:val="18"/>
          <w:szCs w:val="18"/>
        </w:rPr>
        <w:footnoteRef/>
      </w:r>
      <w:r w:rsidRPr="001F59A8">
        <w:rPr>
          <w:sz w:val="18"/>
          <w:szCs w:val="18"/>
        </w:rPr>
        <w:t xml:space="preserve"> </w:t>
      </w:r>
      <w:r w:rsidRPr="001F59A8">
        <w:rPr>
          <w:rStyle w:val="FootnoteTextChar"/>
        </w:rPr>
        <w:t xml:space="preserve">Australian Energy Market Operator, </w:t>
      </w:r>
      <w:r w:rsidRPr="001F59A8">
        <w:rPr>
          <w:rStyle w:val="FootnoteTextChar"/>
          <w:i/>
          <w:iCs/>
        </w:rPr>
        <w:t>Marginal Loss Factors 2025–26 Financial Year</w:t>
      </w:r>
      <w:r w:rsidRPr="001F59A8">
        <w:rPr>
          <w:rStyle w:val="FootnoteTextChar"/>
        </w:rPr>
        <w:t>, April 2025, p</w:t>
      </w:r>
      <w:r>
        <w:rPr>
          <w:rStyle w:val="FootnoteTextChar"/>
        </w:rPr>
        <w:t>p</w:t>
      </w:r>
      <w:r w:rsidRPr="001F59A8">
        <w:rPr>
          <w:rStyle w:val="FootnoteTextChar"/>
        </w:rPr>
        <w:t>. 26</w:t>
      </w:r>
      <w:r>
        <w:rPr>
          <w:rStyle w:val="FootnoteTextChar"/>
        </w:rPr>
        <w:t>–</w:t>
      </w:r>
      <w:r w:rsidRPr="001F59A8">
        <w:rPr>
          <w:rStyle w:val="FootnoteTextChar"/>
        </w:rPr>
        <w:t>28.</w:t>
      </w:r>
    </w:p>
  </w:footnote>
  <w:footnote w:id="142">
    <w:p w14:paraId="743CB402" w14:textId="77777777" w:rsidR="002A5299" w:rsidRPr="001F59A8" w:rsidRDefault="002A5299" w:rsidP="002A5299">
      <w:pPr>
        <w:pStyle w:val="FootnoteText"/>
      </w:pPr>
      <w:r w:rsidRPr="001F59A8">
        <w:rPr>
          <w:rStyle w:val="FootnoteReference"/>
        </w:rPr>
        <w:footnoteRef/>
      </w:r>
      <w:r w:rsidRPr="001F59A8">
        <w:t xml:space="preserve"> Clause 12(4)(e) of the pricing order.</w:t>
      </w:r>
    </w:p>
  </w:footnote>
  <w:footnote w:id="143">
    <w:p w14:paraId="628AB681" w14:textId="3B0710B4" w:rsidR="00F02F99" w:rsidRPr="001F59A8" w:rsidRDefault="00F02F99" w:rsidP="00F02F99">
      <w:pPr>
        <w:pStyle w:val="FootnoteText"/>
      </w:pPr>
      <w:r w:rsidRPr="001F59A8">
        <w:rPr>
          <w:rStyle w:val="FootnoteReference"/>
        </w:rPr>
        <w:footnoteRef/>
      </w:r>
      <w:r w:rsidRPr="001F59A8">
        <w:t xml:space="preserve"> Australian Energy Market Commission, </w:t>
      </w:r>
      <w:r w:rsidRPr="001F59A8">
        <w:rPr>
          <w:rFonts w:cstheme="minorHAnsi"/>
          <w:i/>
          <w:szCs w:val="18"/>
        </w:rPr>
        <w:t>Advice on Best Practice Retail Price Regulation Methodology</w:t>
      </w:r>
      <w:r w:rsidRPr="001F59A8">
        <w:t>, September 2013, p</w:t>
      </w:r>
      <w:r w:rsidR="00FB280E" w:rsidRPr="001F59A8">
        <w:t>.</w:t>
      </w:r>
      <w:r w:rsidRPr="001F59A8">
        <w:t xml:space="preserve"> </w:t>
      </w:r>
      <w:r w:rsidR="006B4AA0" w:rsidRPr="001F59A8">
        <w:rPr>
          <w:rFonts w:cstheme="minorHAnsi"/>
          <w:szCs w:val="18"/>
        </w:rPr>
        <w:t>64.</w:t>
      </w:r>
    </w:p>
  </w:footnote>
  <w:footnote w:id="144">
    <w:p w14:paraId="4160E54B" w14:textId="6E3F7E19" w:rsidR="00393843" w:rsidRDefault="00393843">
      <w:pPr>
        <w:pStyle w:val="FootnoteText"/>
      </w:pPr>
      <w:r>
        <w:rPr>
          <w:rStyle w:val="FootnoteReference"/>
        </w:rPr>
        <w:footnoteRef/>
      </w:r>
      <w:r>
        <w:t xml:space="preserve"> </w:t>
      </w:r>
      <w:r w:rsidRPr="001F59A8">
        <w:t>Clause 12(9) of the pricing order.</w:t>
      </w:r>
    </w:p>
  </w:footnote>
  <w:footnote w:id="145">
    <w:p w14:paraId="2F4F1421" w14:textId="54E79231" w:rsidR="00F02F99" w:rsidRDefault="00F02F99" w:rsidP="00F02F99">
      <w:pPr>
        <w:pStyle w:val="FootnoteText"/>
      </w:pPr>
      <w:r w:rsidRPr="001F59A8">
        <w:rPr>
          <w:rStyle w:val="FootnoteReference"/>
        </w:rPr>
        <w:footnoteRef/>
      </w:r>
      <w:r w:rsidR="009C2EEB">
        <w:t xml:space="preserve"> </w:t>
      </w:r>
      <w:r w:rsidR="00C00625">
        <w:t>Clause 12(7) of the pricing order.</w:t>
      </w:r>
    </w:p>
  </w:footnote>
  <w:footnote w:id="146">
    <w:p w14:paraId="42CC7A70" w14:textId="6BF03E6E" w:rsidR="00B41008" w:rsidRPr="001F59A8" w:rsidRDefault="00B41008" w:rsidP="004C58B2">
      <w:pPr>
        <w:pStyle w:val="FootnoteText"/>
      </w:pPr>
      <w:r w:rsidRPr="001F59A8">
        <w:rPr>
          <w:rStyle w:val="FootnoteReference"/>
        </w:rPr>
        <w:footnoteRef/>
      </w:r>
      <w:r w:rsidRPr="001F59A8">
        <w:t xml:space="preserve"> Up until 2023</w:t>
      </w:r>
      <w:r w:rsidR="00E152FB" w:rsidRPr="001F59A8">
        <w:t>–</w:t>
      </w:r>
      <w:r w:rsidRPr="001F59A8">
        <w:t xml:space="preserve">24, </w:t>
      </w:r>
      <w:r w:rsidR="00AF4AA2">
        <w:t xml:space="preserve">the </w:t>
      </w:r>
      <w:r w:rsidR="00416EB7">
        <w:t>Australian Energy Regulator’s (</w:t>
      </w:r>
      <w:r w:rsidRPr="001F59A8">
        <w:t>AER’s</w:t>
      </w:r>
      <w:r w:rsidR="00416EB7">
        <w:t>)</w:t>
      </w:r>
      <w:r w:rsidRPr="001F59A8">
        <w:t xml:space="preserve"> retail allowance included retail margin as well as a competition allowance. This was not fully comparable to the retail margin that the </w:t>
      </w:r>
      <w:r w:rsidR="00AF4AA2">
        <w:t>commission</w:t>
      </w:r>
      <w:r w:rsidRPr="001F59A8">
        <w:t xml:space="preserve"> is required to set (this is to ensure that retailers with higher-than-average cost</w:t>
      </w:r>
      <w:r w:rsidR="00BB747A">
        <w:t>s</w:t>
      </w:r>
      <w:r w:rsidRPr="001F59A8">
        <w:t xml:space="preserve"> are still able to compete in the market and make reasonable profits). However</w:t>
      </w:r>
      <w:r w:rsidR="00434D4F" w:rsidRPr="001F59A8">
        <w:t>,</w:t>
      </w:r>
      <w:r w:rsidRPr="001F59A8">
        <w:t xml:space="preserve"> in making Default Market Offer prices for 2024</w:t>
      </w:r>
      <w:r w:rsidR="00BB747A">
        <w:t>–</w:t>
      </w:r>
      <w:r w:rsidRPr="001F59A8">
        <w:t>25, the AER has excluded the competition allowance (or set allowance to zero) across all its tariffs. Therefore</w:t>
      </w:r>
      <w:r w:rsidR="00434D4F" w:rsidRPr="001F59A8">
        <w:t>,</w:t>
      </w:r>
      <w:r w:rsidRPr="001F59A8">
        <w:t xml:space="preserve"> we have included AER’s retail allowance in our comparison.</w:t>
      </w:r>
    </w:p>
  </w:footnote>
  <w:footnote w:id="147">
    <w:p w14:paraId="232EFA52" w14:textId="36C89D69" w:rsidR="00B41008" w:rsidRPr="001F59A8" w:rsidRDefault="00B41008">
      <w:pPr>
        <w:pStyle w:val="FootnoteText"/>
      </w:pPr>
      <w:r w:rsidRPr="001F59A8">
        <w:rPr>
          <w:rStyle w:val="FootnoteReference"/>
        </w:rPr>
        <w:footnoteRef/>
      </w:r>
      <w:r w:rsidRPr="001F59A8">
        <w:t xml:space="preserve"> </w:t>
      </w:r>
      <w:r w:rsidR="003B1B4C" w:rsidRPr="001F59A8">
        <w:rPr>
          <w:rFonts w:cstheme="minorHAnsi"/>
          <w:szCs w:val="18"/>
        </w:rPr>
        <w:t xml:space="preserve">Australian Energy Regulator, </w:t>
      </w:r>
      <w:r w:rsidR="003B1B4C" w:rsidRPr="001F59A8">
        <w:rPr>
          <w:rFonts w:cstheme="minorHAnsi"/>
          <w:i/>
          <w:iCs/>
          <w:szCs w:val="18"/>
        </w:rPr>
        <w:t xml:space="preserve">Default </w:t>
      </w:r>
      <w:r w:rsidR="00BB747A">
        <w:rPr>
          <w:rFonts w:cstheme="minorHAnsi"/>
          <w:i/>
          <w:iCs/>
          <w:szCs w:val="18"/>
        </w:rPr>
        <w:t>M</w:t>
      </w:r>
      <w:r w:rsidR="003B1B4C" w:rsidRPr="001F59A8">
        <w:rPr>
          <w:rFonts w:cstheme="minorHAnsi"/>
          <w:i/>
          <w:iCs/>
          <w:szCs w:val="18"/>
        </w:rPr>
        <w:t xml:space="preserve">arket </w:t>
      </w:r>
      <w:r w:rsidR="00BB747A">
        <w:rPr>
          <w:rFonts w:cstheme="minorHAnsi"/>
          <w:i/>
          <w:iCs/>
          <w:szCs w:val="18"/>
        </w:rPr>
        <w:t>O</w:t>
      </w:r>
      <w:r w:rsidR="003B1B4C" w:rsidRPr="001F59A8">
        <w:rPr>
          <w:rFonts w:cstheme="minorHAnsi"/>
          <w:i/>
          <w:iCs/>
          <w:szCs w:val="18"/>
        </w:rPr>
        <w:t>ffer prices 2025–26: Draft determination</w:t>
      </w:r>
      <w:r w:rsidR="003B1B4C" w:rsidRPr="001F59A8">
        <w:rPr>
          <w:rFonts w:cstheme="minorHAnsi"/>
          <w:szCs w:val="18"/>
        </w:rPr>
        <w:t xml:space="preserve">, March 2025, p. </w:t>
      </w:r>
      <w:r w:rsidR="00712F06" w:rsidRPr="001F59A8">
        <w:rPr>
          <w:rFonts w:cstheme="minorHAnsi"/>
          <w:szCs w:val="18"/>
        </w:rPr>
        <w:t>82</w:t>
      </w:r>
      <w:r w:rsidR="00565A8A" w:rsidRPr="001F59A8">
        <w:rPr>
          <w:rFonts w:cstheme="minorHAnsi"/>
          <w:szCs w:val="18"/>
        </w:rPr>
        <w:t xml:space="preserve">. </w:t>
      </w:r>
      <w:r w:rsidR="00B37571" w:rsidRPr="001F59A8">
        <w:rPr>
          <w:rFonts w:cstheme="minorHAnsi"/>
          <w:szCs w:val="18"/>
        </w:rPr>
        <w:t xml:space="preserve">The </w:t>
      </w:r>
      <w:r w:rsidR="003B1B4C" w:rsidRPr="001F59A8">
        <w:rPr>
          <w:rFonts w:cstheme="minorHAnsi"/>
          <w:szCs w:val="18"/>
        </w:rPr>
        <w:t xml:space="preserve">Australian Energy Regulator determines a total retail allowance including both an efficient margin and a competition allowance. In decisions for </w:t>
      </w:r>
      <w:r w:rsidR="00C26835" w:rsidRPr="001F59A8">
        <w:rPr>
          <w:rFonts w:cstheme="minorHAnsi"/>
          <w:szCs w:val="18"/>
        </w:rPr>
        <w:t>the</w:t>
      </w:r>
      <w:r w:rsidR="003B1B4C" w:rsidRPr="001F59A8">
        <w:rPr>
          <w:rFonts w:cstheme="minorHAnsi"/>
          <w:szCs w:val="18"/>
        </w:rPr>
        <w:t xml:space="preserve"> Default Market Offer 2024</w:t>
      </w:r>
      <w:r w:rsidR="00C26835" w:rsidRPr="001F59A8">
        <w:rPr>
          <w:rFonts w:cstheme="minorHAnsi"/>
          <w:szCs w:val="18"/>
        </w:rPr>
        <w:t>–</w:t>
      </w:r>
      <w:r w:rsidR="003B1B4C" w:rsidRPr="001F59A8">
        <w:rPr>
          <w:rFonts w:cstheme="minorHAnsi"/>
          <w:szCs w:val="18"/>
        </w:rPr>
        <w:t>25 and 2025</w:t>
      </w:r>
      <w:r w:rsidR="00C26835" w:rsidRPr="001F59A8">
        <w:rPr>
          <w:rFonts w:cstheme="minorHAnsi"/>
          <w:szCs w:val="18"/>
        </w:rPr>
        <w:t>–</w:t>
      </w:r>
      <w:r w:rsidR="003B1B4C" w:rsidRPr="001F59A8">
        <w:rPr>
          <w:rFonts w:cstheme="minorHAnsi"/>
          <w:szCs w:val="18"/>
        </w:rPr>
        <w:t xml:space="preserve">26, </w:t>
      </w:r>
      <w:r w:rsidR="00A70DB6" w:rsidRPr="001F59A8">
        <w:rPr>
          <w:rFonts w:cstheme="minorHAnsi"/>
          <w:szCs w:val="18"/>
        </w:rPr>
        <w:t>the</w:t>
      </w:r>
      <w:r w:rsidR="003B1B4C" w:rsidRPr="001F59A8">
        <w:rPr>
          <w:rFonts w:cstheme="minorHAnsi"/>
          <w:szCs w:val="18"/>
        </w:rPr>
        <w:t xml:space="preserve"> Australian Energy Regulator excluded competition allowance from regulated prices.</w:t>
      </w:r>
    </w:p>
  </w:footnote>
  <w:footnote w:id="148">
    <w:p w14:paraId="48A86C99" w14:textId="0A229D75" w:rsidR="00B41008" w:rsidRPr="001F59A8" w:rsidRDefault="00B41008" w:rsidP="00FA259E">
      <w:pPr>
        <w:pStyle w:val="FootnoteText"/>
        <w:rPr>
          <w:highlight w:val="yellow"/>
        </w:rPr>
      </w:pPr>
      <w:r w:rsidRPr="001F59A8">
        <w:rPr>
          <w:rStyle w:val="FootnoteReference"/>
        </w:rPr>
        <w:footnoteRef/>
      </w:r>
      <w:r w:rsidRPr="001F59A8">
        <w:t xml:space="preserve"> </w:t>
      </w:r>
      <w:r w:rsidR="00402449" w:rsidRPr="001F59A8">
        <w:rPr>
          <w:rFonts w:cstheme="minorHAnsi"/>
          <w:szCs w:val="18"/>
        </w:rPr>
        <w:t xml:space="preserve">Independent Competition and Regulatory Commission, </w:t>
      </w:r>
      <w:r w:rsidR="00402449" w:rsidRPr="001F59A8">
        <w:rPr>
          <w:rFonts w:cstheme="minorHAnsi"/>
          <w:i/>
          <w:iCs/>
          <w:szCs w:val="18"/>
        </w:rPr>
        <w:t>Final Report: Retail electricity price investigation 2024</w:t>
      </w:r>
      <w:r w:rsidR="003B75D3" w:rsidRPr="001F59A8">
        <w:rPr>
          <w:rFonts w:cstheme="minorHAnsi"/>
          <w:szCs w:val="18"/>
        </w:rPr>
        <w:t>–</w:t>
      </w:r>
      <w:r w:rsidR="00402449" w:rsidRPr="001F59A8">
        <w:rPr>
          <w:rFonts w:cstheme="minorHAnsi"/>
          <w:i/>
          <w:iCs/>
          <w:szCs w:val="18"/>
        </w:rPr>
        <w:t>27</w:t>
      </w:r>
      <w:r w:rsidR="00402449" w:rsidRPr="001F59A8">
        <w:rPr>
          <w:rFonts w:cstheme="minorHAnsi"/>
          <w:szCs w:val="18"/>
        </w:rPr>
        <w:t>, Section 4.6 ‘Retail margin’, May 2024, pp. 45</w:t>
      </w:r>
      <w:r w:rsidR="007B1A8F" w:rsidRPr="001F59A8">
        <w:rPr>
          <w:rFonts w:cstheme="minorHAnsi"/>
          <w:i/>
          <w:iCs/>
          <w:szCs w:val="18"/>
        </w:rPr>
        <w:t>–</w:t>
      </w:r>
      <w:r w:rsidR="00402449" w:rsidRPr="001F59A8">
        <w:rPr>
          <w:rFonts w:cstheme="minorHAnsi"/>
          <w:szCs w:val="18"/>
        </w:rPr>
        <w:t>48.</w:t>
      </w:r>
    </w:p>
  </w:footnote>
  <w:footnote w:id="149">
    <w:p w14:paraId="533C180F" w14:textId="7038C6EF" w:rsidR="00EC633E" w:rsidRPr="001F59A8" w:rsidRDefault="00EC633E">
      <w:pPr>
        <w:pStyle w:val="FootnoteText"/>
      </w:pPr>
      <w:r w:rsidRPr="001F59A8">
        <w:rPr>
          <w:rStyle w:val="FootnoteReference"/>
        </w:rPr>
        <w:footnoteRef/>
      </w:r>
      <w:r w:rsidRPr="001F59A8">
        <w:t xml:space="preserve"> </w:t>
      </w:r>
      <w:r w:rsidR="00E33DCD" w:rsidRPr="001F59A8">
        <w:t xml:space="preserve">In </w:t>
      </w:r>
      <w:r w:rsidR="00406290" w:rsidRPr="001F59A8">
        <w:t xml:space="preserve">our </w:t>
      </w:r>
      <w:r w:rsidR="00E33DCD" w:rsidRPr="001F59A8">
        <w:t>draft decision, we reported the dollar equivalen</w:t>
      </w:r>
      <w:r w:rsidR="00533CED" w:rsidRPr="001F59A8">
        <w:t>t in 2023</w:t>
      </w:r>
      <w:r w:rsidR="00BB747A">
        <w:t>–</w:t>
      </w:r>
      <w:r w:rsidR="00533CED" w:rsidRPr="001F59A8">
        <w:t>24 dollar</w:t>
      </w:r>
      <w:r w:rsidR="00406290" w:rsidRPr="001F59A8">
        <w:t xml:space="preserve">s as per </w:t>
      </w:r>
      <w:r w:rsidR="00D5610C" w:rsidRPr="001F59A8">
        <w:t>Office of the Tasmanian Economic Regulator</w:t>
      </w:r>
      <w:r w:rsidR="00EB2EB4" w:rsidRPr="001F59A8">
        <w:t xml:space="preserve">’s </w:t>
      </w:r>
      <w:r w:rsidR="000800FB" w:rsidRPr="001F59A8">
        <w:t>methodology paper.</w:t>
      </w:r>
      <w:r w:rsidR="00533CED" w:rsidRPr="001F59A8">
        <w:t xml:space="preserve"> </w:t>
      </w:r>
      <w:r w:rsidR="009A00ED" w:rsidRPr="001F59A8">
        <w:t>Its</w:t>
      </w:r>
      <w:r w:rsidR="00F94A02" w:rsidRPr="001F59A8">
        <w:t xml:space="preserve"> 2025</w:t>
      </w:r>
      <w:r w:rsidR="00F74CB9" w:rsidRPr="001F59A8">
        <w:t xml:space="preserve"> </w:t>
      </w:r>
      <w:r w:rsidR="00E6781A" w:rsidRPr="001F59A8">
        <w:t>Standing Offer D</w:t>
      </w:r>
      <w:r w:rsidR="00F74CB9" w:rsidRPr="001F59A8">
        <w:t xml:space="preserve">raft </w:t>
      </w:r>
      <w:r w:rsidR="00E6781A" w:rsidRPr="001F59A8">
        <w:t>R</w:t>
      </w:r>
      <w:r w:rsidR="00F74CB9" w:rsidRPr="001F59A8">
        <w:t>eport ha</w:t>
      </w:r>
      <w:r w:rsidR="000E7822" w:rsidRPr="001F59A8">
        <w:t xml:space="preserve">s </w:t>
      </w:r>
      <w:r w:rsidR="00E6781A" w:rsidRPr="001F59A8">
        <w:t>provided</w:t>
      </w:r>
      <w:r w:rsidR="000E7822" w:rsidRPr="001F59A8">
        <w:t xml:space="preserve"> dollar equivalent by nominal terms in </w:t>
      </w:r>
      <w:r w:rsidR="00E6781A" w:rsidRPr="001F59A8">
        <w:t>2023</w:t>
      </w:r>
      <w:r w:rsidR="00485934" w:rsidRPr="00443EC5">
        <w:rPr>
          <w:rFonts w:cstheme="minorHAnsi"/>
          <w:szCs w:val="18"/>
        </w:rPr>
        <w:t>–</w:t>
      </w:r>
      <w:r w:rsidR="00E6781A" w:rsidRPr="001F59A8">
        <w:t xml:space="preserve">24 dollar and </w:t>
      </w:r>
      <w:r w:rsidR="000E7822" w:rsidRPr="001F59A8">
        <w:t>2024</w:t>
      </w:r>
      <w:r w:rsidR="00443EC5" w:rsidRPr="00443EC5">
        <w:rPr>
          <w:rFonts w:cstheme="minorHAnsi"/>
          <w:szCs w:val="18"/>
        </w:rPr>
        <w:t>–</w:t>
      </w:r>
      <w:r w:rsidR="000E7822" w:rsidRPr="001F59A8">
        <w:t>25 dollar.</w:t>
      </w:r>
    </w:p>
  </w:footnote>
  <w:footnote w:id="150">
    <w:p w14:paraId="3D43A728" w14:textId="1B5AA2D6" w:rsidR="00B41008" w:rsidRPr="001F59A8" w:rsidRDefault="00B41008" w:rsidP="002E045E">
      <w:pPr>
        <w:pStyle w:val="FootnoteText"/>
        <w:rPr>
          <w:highlight w:val="yellow"/>
        </w:rPr>
      </w:pPr>
      <w:r w:rsidRPr="001F59A8">
        <w:rPr>
          <w:rStyle w:val="FootnoteReference"/>
        </w:rPr>
        <w:footnoteRef/>
      </w:r>
      <w:r w:rsidRPr="001F59A8">
        <w:t xml:space="preserve"> </w:t>
      </w:r>
      <w:r w:rsidR="002527F5" w:rsidRPr="001F59A8">
        <w:rPr>
          <w:rFonts w:cstheme="minorHAnsi"/>
          <w:szCs w:val="18"/>
        </w:rPr>
        <w:t xml:space="preserve">Office of the Tasmanian Economic Regulator, </w:t>
      </w:r>
      <w:r w:rsidR="002527F5" w:rsidRPr="001F59A8">
        <w:rPr>
          <w:rFonts w:cstheme="minorHAnsi"/>
          <w:i/>
          <w:iCs/>
          <w:szCs w:val="18"/>
        </w:rPr>
        <w:t>2025 Regulated Retail Electricity Pricing Investigation: Draft Report</w:t>
      </w:r>
      <w:r w:rsidR="002527F5" w:rsidRPr="001F59A8">
        <w:rPr>
          <w:rFonts w:cstheme="minorHAnsi"/>
          <w:szCs w:val="18"/>
        </w:rPr>
        <w:t xml:space="preserve">, February 2025, pp. </w:t>
      </w:r>
      <w:r w:rsidR="006A07F8" w:rsidRPr="001F59A8">
        <w:t>67</w:t>
      </w:r>
      <w:r w:rsidR="006D7676" w:rsidRPr="001F59A8">
        <w:rPr>
          <w:rFonts w:cstheme="minorHAnsi"/>
          <w:i/>
          <w:iCs/>
          <w:szCs w:val="18"/>
        </w:rPr>
        <w:t>–</w:t>
      </w:r>
      <w:r w:rsidR="006A07F8" w:rsidRPr="001F59A8">
        <w:t>68</w:t>
      </w:r>
      <w:r w:rsidR="00D20F34" w:rsidRPr="001F59A8">
        <w:t xml:space="preserve">. </w:t>
      </w:r>
    </w:p>
  </w:footnote>
  <w:footnote w:id="151">
    <w:p w14:paraId="35FC0072" w14:textId="04B99FAD" w:rsidR="00592377" w:rsidRPr="001F59A8" w:rsidRDefault="00592377" w:rsidP="00592377">
      <w:pPr>
        <w:pStyle w:val="FootnoteText"/>
      </w:pPr>
      <w:r w:rsidRPr="001F59A8">
        <w:rPr>
          <w:rStyle w:val="FootnoteReference"/>
        </w:rPr>
        <w:footnoteRef/>
      </w:r>
      <w:r w:rsidRPr="001F59A8">
        <w:t xml:space="preserve"> </w:t>
      </w:r>
      <w:r w:rsidRPr="001F59A8">
        <w:rPr>
          <w:rFonts w:cstheme="minorHAnsi"/>
          <w:szCs w:val="18"/>
        </w:rPr>
        <w:t xml:space="preserve">Frontier Economics, </w:t>
      </w:r>
      <w:r w:rsidRPr="001F59A8">
        <w:rPr>
          <w:rFonts w:cstheme="minorHAnsi"/>
          <w:i/>
          <w:szCs w:val="18"/>
        </w:rPr>
        <w:t xml:space="preserve">Retail Costs and Margin: A </w:t>
      </w:r>
      <w:r w:rsidR="00B66E8B" w:rsidRPr="001F59A8">
        <w:rPr>
          <w:rFonts w:cstheme="minorHAnsi"/>
          <w:i/>
          <w:szCs w:val="18"/>
        </w:rPr>
        <w:t>R</w:t>
      </w:r>
      <w:r w:rsidRPr="001F59A8">
        <w:rPr>
          <w:rFonts w:cstheme="minorHAnsi"/>
          <w:i/>
          <w:szCs w:val="18"/>
        </w:rPr>
        <w:t>eport for the Essential Services Commission</w:t>
      </w:r>
      <w:r w:rsidRPr="001F59A8">
        <w:rPr>
          <w:rFonts w:cstheme="minorHAnsi"/>
          <w:szCs w:val="18"/>
        </w:rPr>
        <w:t>, Chapter 6 ‘The expected returns approach’, April 2019, p. 29.</w:t>
      </w:r>
    </w:p>
  </w:footnote>
  <w:footnote w:id="152">
    <w:p w14:paraId="1FA9F62F" w14:textId="32E832E8" w:rsidR="00592377" w:rsidRPr="001F59A8" w:rsidRDefault="00592377" w:rsidP="00592377">
      <w:pPr>
        <w:pStyle w:val="FootnoteText"/>
      </w:pPr>
      <w:r w:rsidRPr="001F59A8">
        <w:rPr>
          <w:rStyle w:val="FootnoteReference"/>
        </w:rPr>
        <w:footnoteRef/>
      </w:r>
      <w:r w:rsidRPr="001F59A8">
        <w:t xml:space="preserve"> </w:t>
      </w:r>
      <w:r w:rsidRPr="001F59A8">
        <w:rPr>
          <w:rFonts w:cstheme="minorHAnsi"/>
          <w:szCs w:val="18"/>
        </w:rPr>
        <w:t xml:space="preserve">Independent Competition and Regulatory Commission, </w:t>
      </w:r>
      <w:r w:rsidRPr="001F59A8">
        <w:rPr>
          <w:rFonts w:cstheme="minorHAnsi"/>
          <w:i/>
          <w:iCs/>
          <w:szCs w:val="18"/>
        </w:rPr>
        <w:t>Final Report: Retail electricity price investigation 2024</w:t>
      </w:r>
      <w:r w:rsidR="00487878" w:rsidRPr="001F59A8">
        <w:rPr>
          <w:rFonts w:cstheme="minorHAnsi"/>
          <w:i/>
          <w:iCs/>
          <w:szCs w:val="18"/>
        </w:rPr>
        <w:t>–</w:t>
      </w:r>
      <w:r w:rsidRPr="001F59A8">
        <w:rPr>
          <w:rFonts w:cstheme="minorHAnsi"/>
          <w:i/>
          <w:iCs/>
          <w:szCs w:val="18"/>
        </w:rPr>
        <w:t>27</w:t>
      </w:r>
      <w:r w:rsidRPr="001F59A8">
        <w:rPr>
          <w:rFonts w:cstheme="minorHAnsi"/>
          <w:szCs w:val="18"/>
        </w:rPr>
        <w:t>, May 2024, p. 45.</w:t>
      </w:r>
    </w:p>
  </w:footnote>
  <w:footnote w:id="153">
    <w:p w14:paraId="7514000C" w14:textId="5A8CFBD0" w:rsidR="00B52991" w:rsidRDefault="00B52991">
      <w:pPr>
        <w:pStyle w:val="FootnoteText"/>
      </w:pPr>
      <w:r>
        <w:rPr>
          <w:rStyle w:val="FootnoteReference"/>
        </w:rPr>
        <w:footnoteRef/>
      </w:r>
      <w:r>
        <w:t xml:space="preserve"> </w:t>
      </w:r>
      <w:r w:rsidRPr="001F59A8">
        <w:rPr>
          <w:rFonts w:cstheme="minorHAnsi"/>
          <w:szCs w:val="18"/>
        </w:rPr>
        <w:t xml:space="preserve">Independent Competition and Regulatory Commission, </w:t>
      </w:r>
      <w:r w:rsidRPr="001F59A8">
        <w:rPr>
          <w:rFonts w:cstheme="minorHAnsi"/>
          <w:i/>
          <w:iCs/>
          <w:szCs w:val="18"/>
        </w:rPr>
        <w:t>Final Report: Retail electricity price investigation 2024–27</w:t>
      </w:r>
      <w:r w:rsidRPr="001F59A8">
        <w:rPr>
          <w:rFonts w:cstheme="minorHAnsi"/>
          <w:szCs w:val="18"/>
        </w:rPr>
        <w:t xml:space="preserve">, May 2024, p. </w:t>
      </w:r>
      <w:r w:rsidR="00FD1C8E">
        <w:rPr>
          <w:rFonts w:cstheme="minorHAnsi"/>
          <w:szCs w:val="18"/>
        </w:rPr>
        <w:t>37</w:t>
      </w:r>
      <w:r w:rsidRPr="001F59A8">
        <w:rPr>
          <w:rFonts w:cstheme="minorHAnsi"/>
          <w:szCs w:val="18"/>
        </w:rPr>
        <w:t>.</w:t>
      </w:r>
    </w:p>
  </w:footnote>
  <w:footnote w:id="154">
    <w:p w14:paraId="4CA4A72E" w14:textId="490B19D1" w:rsidR="0005445F" w:rsidRPr="001F59A8" w:rsidRDefault="0005445F" w:rsidP="0005445F">
      <w:pPr>
        <w:pStyle w:val="Caption"/>
        <w:spacing w:line="240" w:lineRule="auto"/>
      </w:pPr>
      <w:r w:rsidRPr="001F59A8">
        <w:rPr>
          <w:rStyle w:val="FootnoteReference"/>
          <w:iCs w:val="0"/>
          <w:color w:val="auto"/>
        </w:rPr>
        <w:footnoteRef/>
      </w:r>
      <w:r w:rsidRPr="001F59A8">
        <w:rPr>
          <w:color w:val="auto"/>
          <w:szCs w:val="20"/>
        </w:rPr>
        <w:t xml:space="preserve"> Australian Competition and Consumer Commission, </w:t>
      </w:r>
      <w:r w:rsidRPr="001F59A8">
        <w:rPr>
          <w:i/>
          <w:color w:val="auto"/>
          <w:szCs w:val="20"/>
        </w:rPr>
        <w:t xml:space="preserve">Inquiry into </w:t>
      </w:r>
      <w:r w:rsidR="00EA1066" w:rsidRPr="001F59A8">
        <w:rPr>
          <w:i/>
          <w:color w:val="auto"/>
          <w:szCs w:val="20"/>
        </w:rPr>
        <w:t xml:space="preserve">the </w:t>
      </w:r>
      <w:r w:rsidRPr="001F59A8">
        <w:rPr>
          <w:i/>
          <w:color w:val="auto"/>
          <w:szCs w:val="20"/>
        </w:rPr>
        <w:t>National Electricity Market, December 2024</w:t>
      </w:r>
      <w:r w:rsidR="0099405D" w:rsidRPr="001F59A8">
        <w:rPr>
          <w:i/>
          <w:color w:val="auto"/>
          <w:szCs w:val="20"/>
        </w:rPr>
        <w:t xml:space="preserve"> Report</w:t>
      </w:r>
      <w:r w:rsidRPr="001F59A8">
        <w:rPr>
          <w:color w:val="auto"/>
          <w:szCs w:val="20"/>
        </w:rPr>
        <w:t>,</w:t>
      </w:r>
      <w:r w:rsidRPr="001F59A8">
        <w:rPr>
          <w:iCs w:val="0"/>
          <w:color w:val="auto"/>
        </w:rPr>
        <w:t xml:space="preserve"> </w:t>
      </w:r>
      <w:hyperlink r:id="rId27" w:history="1">
        <w:r w:rsidRPr="001F59A8">
          <w:rPr>
            <w:rStyle w:val="Hyperlink"/>
          </w:rPr>
          <w:t>Appendix C – Supplementary spreadsheet</w:t>
        </w:r>
      </w:hyperlink>
      <w:r w:rsidRPr="001F59A8">
        <w:rPr>
          <w:iCs w:val="0"/>
          <w:color w:val="auto"/>
        </w:rPr>
        <w:t xml:space="preserve">, </w:t>
      </w:r>
      <w:r w:rsidRPr="001F59A8">
        <w:rPr>
          <w:color w:val="auto"/>
          <w:szCs w:val="20"/>
        </w:rPr>
        <w:t>Supplementary Table C11.5, 30 December 2024</w:t>
      </w:r>
      <w:r w:rsidR="0007140C" w:rsidRPr="001F59A8">
        <w:rPr>
          <w:color w:val="auto"/>
          <w:szCs w:val="20"/>
        </w:rPr>
        <w:t>, accessed 7 April 2025</w:t>
      </w:r>
      <w:r w:rsidRPr="001F59A8">
        <w:rPr>
          <w:color w:val="auto"/>
          <w:szCs w:val="20"/>
        </w:rPr>
        <w:t>.</w:t>
      </w:r>
      <w:r w:rsidRPr="001F59A8">
        <w:rPr>
          <w:rFonts w:cstheme="minorHAnsi"/>
          <w:color w:val="auto"/>
        </w:rPr>
        <w:t xml:space="preserve"> </w:t>
      </w:r>
      <w:r w:rsidR="000209B3" w:rsidRPr="001F59A8">
        <w:rPr>
          <w:rFonts w:cstheme="minorHAnsi"/>
          <w:color w:val="auto"/>
        </w:rPr>
        <w:t xml:space="preserve">The </w:t>
      </w:r>
      <w:r w:rsidRPr="001F59A8">
        <w:rPr>
          <w:rFonts w:cstheme="minorHAnsi"/>
          <w:color w:val="auto"/>
        </w:rPr>
        <w:t>Australian Competition and Consumer Commission collected data from retailers to derive the actual margin averages.</w:t>
      </w:r>
    </w:p>
  </w:footnote>
  <w:footnote w:id="155">
    <w:p w14:paraId="50850204" w14:textId="420C4086" w:rsidR="00DA34AF" w:rsidRPr="001F59A8" w:rsidRDefault="00DA34AF">
      <w:pPr>
        <w:pStyle w:val="FootnoteText"/>
      </w:pPr>
      <w:r w:rsidRPr="001F59A8">
        <w:rPr>
          <w:rStyle w:val="FootnoteReference"/>
        </w:rPr>
        <w:footnoteRef/>
      </w:r>
      <w:r w:rsidRPr="001F59A8">
        <w:t xml:space="preserve"> Australian Competition and Consumer Commission, </w:t>
      </w:r>
      <w:r w:rsidRPr="001F59A8">
        <w:rPr>
          <w:i/>
        </w:rPr>
        <w:t xml:space="preserve">Inquiry into </w:t>
      </w:r>
      <w:r w:rsidR="00B97DA9" w:rsidRPr="001F59A8">
        <w:rPr>
          <w:i/>
        </w:rPr>
        <w:t xml:space="preserve">the </w:t>
      </w:r>
      <w:r w:rsidRPr="001F59A8">
        <w:rPr>
          <w:i/>
        </w:rPr>
        <w:t>National Electricity Market, December 2024</w:t>
      </w:r>
      <w:r w:rsidR="00B97DA9" w:rsidRPr="001F59A8">
        <w:rPr>
          <w:i/>
        </w:rPr>
        <w:t xml:space="preserve"> R</w:t>
      </w:r>
      <w:r w:rsidR="00970F3A" w:rsidRPr="001F59A8">
        <w:rPr>
          <w:i/>
        </w:rPr>
        <w:t xml:space="preserve">eport, </w:t>
      </w:r>
      <w:r w:rsidR="00970F3A" w:rsidRPr="00424AB0">
        <w:t xml:space="preserve">30 December 2024, Figure </w:t>
      </w:r>
      <w:r w:rsidR="00F35F69" w:rsidRPr="00424AB0">
        <w:t xml:space="preserve">3.15, p. </w:t>
      </w:r>
      <w:r w:rsidR="00CE1B00" w:rsidRPr="00424AB0">
        <w:t>75.</w:t>
      </w:r>
    </w:p>
  </w:footnote>
  <w:footnote w:id="156">
    <w:p w14:paraId="56603840" w14:textId="619B63F9" w:rsidR="00282995" w:rsidRPr="001F59A8" w:rsidRDefault="00282995" w:rsidP="00282995">
      <w:pPr>
        <w:pStyle w:val="FootnoteText"/>
        <w:rPr>
          <w:highlight w:val="yellow"/>
        </w:rPr>
      </w:pPr>
      <w:r w:rsidRPr="001F59A8">
        <w:rPr>
          <w:rStyle w:val="FootnoteReference"/>
        </w:rPr>
        <w:footnoteRef/>
      </w:r>
      <w:r w:rsidRPr="001F59A8">
        <w:t xml:space="preserve"> </w:t>
      </w:r>
      <w:r w:rsidR="004A1007" w:rsidRPr="001F59A8">
        <w:rPr>
          <w:szCs w:val="18"/>
        </w:rPr>
        <w:t>Consumer Action Law Centre, submission to the Essential Services Commission</w:t>
      </w:r>
      <w:r w:rsidR="00466EF4" w:rsidRPr="001F59A8">
        <w:rPr>
          <w:szCs w:val="18"/>
        </w:rPr>
        <w:t xml:space="preserve">, </w:t>
      </w:r>
      <w:r w:rsidR="003A0240" w:rsidRPr="001F59A8">
        <w:rPr>
          <w:i/>
          <w:szCs w:val="18"/>
        </w:rPr>
        <w:t>Victorian Default Offer 2025–26</w:t>
      </w:r>
      <w:r w:rsidR="006D5D65" w:rsidRPr="001F59A8">
        <w:rPr>
          <w:i/>
          <w:szCs w:val="18"/>
        </w:rPr>
        <w:t>: Draft Decision Paper</w:t>
      </w:r>
      <w:r w:rsidR="003A0240" w:rsidRPr="001F59A8">
        <w:rPr>
          <w:i/>
          <w:szCs w:val="18"/>
        </w:rPr>
        <w:t xml:space="preserve">, </w:t>
      </w:r>
      <w:r w:rsidR="003A0240" w:rsidRPr="001F59A8">
        <w:rPr>
          <w:szCs w:val="18"/>
        </w:rPr>
        <w:t xml:space="preserve">April 2025, p. </w:t>
      </w:r>
      <w:r w:rsidR="00DC1183" w:rsidRPr="001F59A8">
        <w:rPr>
          <w:szCs w:val="18"/>
        </w:rPr>
        <w:t>11</w:t>
      </w:r>
      <w:r w:rsidR="004A1007" w:rsidRPr="001F59A8">
        <w:rPr>
          <w:szCs w:val="18"/>
        </w:rPr>
        <w:t xml:space="preserve">; </w:t>
      </w:r>
      <w:r w:rsidR="004A1007" w:rsidRPr="001F59A8">
        <w:t xml:space="preserve">Joint submission from Victorian Council of Social Service, Brotherhood of St Laurence, Consumer Action Law Centre, Council </w:t>
      </w:r>
      <w:r w:rsidR="007A25EC">
        <w:t>on</w:t>
      </w:r>
      <w:r w:rsidR="004A1007" w:rsidRPr="001F59A8">
        <w:t xml:space="preserve"> </w:t>
      </w:r>
      <w:r w:rsidR="007A25EC">
        <w:t>t</w:t>
      </w:r>
      <w:r w:rsidR="004A1007" w:rsidRPr="001F59A8">
        <w:t>he Ageing Victoria, Energy Consumers Australia, Financial Counselling Victoria Inc</w:t>
      </w:r>
      <w:r w:rsidR="00BA4B00">
        <w:t>.</w:t>
      </w:r>
      <w:r w:rsidR="004A1007" w:rsidRPr="001F59A8">
        <w:t>, Uniting, submission to the Essential Services Commission</w:t>
      </w:r>
      <w:r w:rsidR="004968FB" w:rsidRPr="001F59A8">
        <w:t>,</w:t>
      </w:r>
      <w:r w:rsidR="004968FB" w:rsidRPr="001F59A8">
        <w:rPr>
          <w:i/>
          <w:szCs w:val="18"/>
        </w:rPr>
        <w:t xml:space="preserve"> </w:t>
      </w:r>
      <w:r w:rsidR="005F7EAD" w:rsidRPr="001F59A8">
        <w:rPr>
          <w:i/>
          <w:iCs/>
          <w:szCs w:val="18"/>
        </w:rPr>
        <w:t xml:space="preserve">Victorian Default Offer 2025–26: Draft Decision Paper, </w:t>
      </w:r>
      <w:r w:rsidR="005F7EAD" w:rsidRPr="001F59A8">
        <w:rPr>
          <w:szCs w:val="18"/>
        </w:rPr>
        <w:t xml:space="preserve">April 2025, p. </w:t>
      </w:r>
      <w:r w:rsidR="00F7750C" w:rsidRPr="001F59A8">
        <w:rPr>
          <w:szCs w:val="18"/>
        </w:rPr>
        <w:t xml:space="preserve">9. </w:t>
      </w:r>
    </w:p>
  </w:footnote>
  <w:footnote w:id="157">
    <w:p w14:paraId="272BDE6F" w14:textId="663BDC92" w:rsidR="00F02F99" w:rsidRPr="001F59A8" w:rsidRDefault="00F02F99" w:rsidP="00F02F99">
      <w:pPr>
        <w:pStyle w:val="FootnoteText"/>
        <w:rPr>
          <w:highlight w:val="yellow"/>
        </w:rPr>
      </w:pPr>
      <w:r w:rsidRPr="001F59A8">
        <w:rPr>
          <w:rStyle w:val="FootnoteReference"/>
        </w:rPr>
        <w:footnoteRef/>
      </w:r>
      <w:r w:rsidRPr="001F59A8">
        <w:t xml:space="preserve"> </w:t>
      </w:r>
      <w:r w:rsidR="00921FC8" w:rsidRPr="001F59A8">
        <w:rPr>
          <w:szCs w:val="18"/>
        </w:rPr>
        <w:t xml:space="preserve">1st Energy, submission to the Essential Services Commission, </w:t>
      </w:r>
      <w:r w:rsidR="00921FC8" w:rsidRPr="00DC5005">
        <w:rPr>
          <w:i/>
          <w:szCs w:val="18"/>
        </w:rPr>
        <w:t>Victorian Default Offer 2025–26: Draft Decision Paper</w:t>
      </w:r>
      <w:r w:rsidR="00921FC8" w:rsidRPr="007A25EC">
        <w:rPr>
          <w:szCs w:val="18"/>
        </w:rPr>
        <w:t xml:space="preserve">, </w:t>
      </w:r>
      <w:r w:rsidR="00921FC8" w:rsidRPr="001F59A8">
        <w:rPr>
          <w:szCs w:val="18"/>
        </w:rPr>
        <w:t xml:space="preserve">April 2025, p. </w:t>
      </w:r>
      <w:r w:rsidR="0089005D" w:rsidRPr="001F59A8">
        <w:rPr>
          <w:szCs w:val="18"/>
        </w:rPr>
        <w:t>2</w:t>
      </w:r>
      <w:r w:rsidR="00921FC8" w:rsidRPr="001F59A8">
        <w:rPr>
          <w:szCs w:val="18"/>
        </w:rPr>
        <w:t>;</w:t>
      </w:r>
      <w:r w:rsidR="0089005D" w:rsidRPr="001F59A8">
        <w:rPr>
          <w:szCs w:val="18"/>
        </w:rPr>
        <w:t xml:space="preserve"> AGL </w:t>
      </w:r>
      <w:r w:rsidR="00852F20" w:rsidRPr="001F59A8">
        <w:rPr>
          <w:szCs w:val="18"/>
        </w:rPr>
        <w:t>Energy</w:t>
      </w:r>
      <w:r w:rsidR="003B6E60" w:rsidRPr="001F59A8">
        <w:rPr>
          <w:szCs w:val="18"/>
        </w:rPr>
        <w:t>,</w:t>
      </w:r>
      <w:r w:rsidR="00726CD8" w:rsidRPr="001F59A8">
        <w:rPr>
          <w:szCs w:val="18"/>
        </w:rPr>
        <w:t xml:space="preserve"> </w:t>
      </w:r>
      <w:r w:rsidR="003E6CC1" w:rsidRPr="001F59A8">
        <w:rPr>
          <w:szCs w:val="18"/>
        </w:rPr>
        <w:t xml:space="preserve">submission to the Essential Services Commission, </w:t>
      </w:r>
      <w:r w:rsidR="003E6CC1" w:rsidRPr="00D06691">
        <w:rPr>
          <w:i/>
          <w:szCs w:val="18"/>
        </w:rPr>
        <w:t>Victorian Default Offer 2025–26: Draft Decision Paper</w:t>
      </w:r>
      <w:r w:rsidR="003E6CC1" w:rsidRPr="007A25EC">
        <w:rPr>
          <w:szCs w:val="18"/>
        </w:rPr>
        <w:t xml:space="preserve">, </w:t>
      </w:r>
      <w:r w:rsidR="003E6CC1" w:rsidRPr="001F59A8">
        <w:rPr>
          <w:szCs w:val="18"/>
        </w:rPr>
        <w:t xml:space="preserve">April 2025, </w:t>
      </w:r>
      <w:r w:rsidR="009C644A" w:rsidRPr="001F59A8">
        <w:rPr>
          <w:szCs w:val="18"/>
        </w:rPr>
        <w:t>pp. 3</w:t>
      </w:r>
      <w:r w:rsidR="007A25EC" w:rsidRPr="007A25EC">
        <w:rPr>
          <w:szCs w:val="18"/>
        </w:rPr>
        <w:t>-</w:t>
      </w:r>
      <w:r w:rsidR="009C644A" w:rsidRPr="001F59A8">
        <w:rPr>
          <w:szCs w:val="18"/>
        </w:rPr>
        <w:t>4</w:t>
      </w:r>
      <w:r w:rsidR="00F67F6F" w:rsidRPr="001F59A8">
        <w:rPr>
          <w:szCs w:val="18"/>
        </w:rPr>
        <w:t>; Alinta Energy</w:t>
      </w:r>
      <w:r w:rsidR="009C644A" w:rsidRPr="001F59A8">
        <w:rPr>
          <w:szCs w:val="18"/>
        </w:rPr>
        <w:t xml:space="preserve">, </w:t>
      </w:r>
      <w:r w:rsidR="003E6CC1" w:rsidRPr="001F59A8">
        <w:rPr>
          <w:szCs w:val="18"/>
        </w:rPr>
        <w:t xml:space="preserve">submission to the Essential Services Commission, </w:t>
      </w:r>
      <w:r w:rsidR="003E6CC1" w:rsidRPr="008341B5">
        <w:rPr>
          <w:i/>
          <w:szCs w:val="18"/>
        </w:rPr>
        <w:t>Victorian Default Offer 2025–26: Draft Decision Paper</w:t>
      </w:r>
      <w:r w:rsidR="003E6CC1" w:rsidRPr="007A25EC">
        <w:rPr>
          <w:szCs w:val="18"/>
        </w:rPr>
        <w:t xml:space="preserve">, </w:t>
      </w:r>
      <w:r w:rsidR="003E6CC1" w:rsidRPr="001F59A8">
        <w:rPr>
          <w:szCs w:val="18"/>
        </w:rPr>
        <w:t xml:space="preserve">April 2025, </w:t>
      </w:r>
      <w:r w:rsidR="009C644A" w:rsidRPr="001F59A8">
        <w:rPr>
          <w:szCs w:val="18"/>
        </w:rPr>
        <w:t>pp. 3-4</w:t>
      </w:r>
      <w:r w:rsidR="00F67F6F" w:rsidRPr="001F59A8">
        <w:rPr>
          <w:szCs w:val="18"/>
        </w:rPr>
        <w:t xml:space="preserve">; </w:t>
      </w:r>
      <w:r w:rsidR="0049741A" w:rsidRPr="001F59A8">
        <w:rPr>
          <w:szCs w:val="18"/>
        </w:rPr>
        <w:t>Australian Energy Council</w:t>
      </w:r>
      <w:r w:rsidR="003E6CC1" w:rsidRPr="001F59A8">
        <w:rPr>
          <w:szCs w:val="18"/>
        </w:rPr>
        <w:t xml:space="preserve">, submission to the Essential Services Commission, </w:t>
      </w:r>
      <w:r w:rsidR="003E6CC1" w:rsidRPr="008341B5">
        <w:rPr>
          <w:i/>
          <w:szCs w:val="18"/>
        </w:rPr>
        <w:t>Victorian Default Offer 2025–26: Draft Decision Paper</w:t>
      </w:r>
      <w:r w:rsidR="003E6CC1" w:rsidRPr="007A25EC">
        <w:rPr>
          <w:szCs w:val="18"/>
        </w:rPr>
        <w:t xml:space="preserve">, </w:t>
      </w:r>
      <w:r w:rsidR="003E6CC1" w:rsidRPr="001F59A8">
        <w:rPr>
          <w:szCs w:val="18"/>
        </w:rPr>
        <w:t>April 2025</w:t>
      </w:r>
      <w:r w:rsidR="00D508FA" w:rsidRPr="001F59A8">
        <w:rPr>
          <w:szCs w:val="18"/>
        </w:rPr>
        <w:t>, p. 1</w:t>
      </w:r>
      <w:r w:rsidR="0049741A" w:rsidRPr="001F59A8">
        <w:rPr>
          <w:szCs w:val="18"/>
        </w:rPr>
        <w:t>;</w:t>
      </w:r>
      <w:r w:rsidR="00F67F6F" w:rsidRPr="001F59A8">
        <w:rPr>
          <w:szCs w:val="18"/>
        </w:rPr>
        <w:t xml:space="preserve"> </w:t>
      </w:r>
      <w:r w:rsidR="00DE55A3" w:rsidRPr="001F59A8">
        <w:rPr>
          <w:szCs w:val="18"/>
        </w:rPr>
        <w:t>E</w:t>
      </w:r>
      <w:r w:rsidR="00BB17FA" w:rsidRPr="001F59A8">
        <w:rPr>
          <w:szCs w:val="18"/>
        </w:rPr>
        <w:t>n</w:t>
      </w:r>
      <w:r w:rsidR="00DE55A3" w:rsidRPr="001F59A8">
        <w:rPr>
          <w:szCs w:val="18"/>
        </w:rPr>
        <w:t>ergyAu</w:t>
      </w:r>
      <w:r w:rsidR="00DC37F0" w:rsidRPr="001F59A8">
        <w:rPr>
          <w:szCs w:val="18"/>
        </w:rPr>
        <w:t>stralia</w:t>
      </w:r>
      <w:r w:rsidR="00A65D41" w:rsidRPr="001F59A8">
        <w:rPr>
          <w:szCs w:val="18"/>
        </w:rPr>
        <w:t>,</w:t>
      </w:r>
      <w:r w:rsidR="00BB17FA" w:rsidRPr="001F59A8">
        <w:rPr>
          <w:szCs w:val="18"/>
        </w:rPr>
        <w:t xml:space="preserve"> </w:t>
      </w:r>
      <w:r w:rsidR="00A65D41" w:rsidRPr="001F59A8">
        <w:rPr>
          <w:szCs w:val="18"/>
        </w:rPr>
        <w:t xml:space="preserve">submission to the Essential Services Commission, </w:t>
      </w:r>
      <w:r w:rsidR="00A65D41" w:rsidRPr="008341B5">
        <w:rPr>
          <w:i/>
          <w:szCs w:val="18"/>
        </w:rPr>
        <w:t>Victorian Default Offer 2025–26: Draft Decision Paper</w:t>
      </w:r>
      <w:r w:rsidR="00A65D41" w:rsidRPr="007A25EC">
        <w:rPr>
          <w:szCs w:val="18"/>
        </w:rPr>
        <w:t xml:space="preserve">, </w:t>
      </w:r>
      <w:r w:rsidR="00C27CE4" w:rsidRPr="001F59A8">
        <w:rPr>
          <w:szCs w:val="18"/>
        </w:rPr>
        <w:t xml:space="preserve">April 2025, </w:t>
      </w:r>
      <w:r w:rsidR="00C533EB" w:rsidRPr="001F59A8">
        <w:rPr>
          <w:szCs w:val="18"/>
        </w:rPr>
        <w:t>pp. 2</w:t>
      </w:r>
      <w:r w:rsidR="007A25EC" w:rsidRPr="007A25EC">
        <w:rPr>
          <w:szCs w:val="18"/>
        </w:rPr>
        <w:t>-</w:t>
      </w:r>
      <w:r w:rsidR="00C533EB" w:rsidRPr="001F59A8">
        <w:rPr>
          <w:szCs w:val="18"/>
        </w:rPr>
        <w:t>3</w:t>
      </w:r>
      <w:r w:rsidR="00BB17FA" w:rsidRPr="001F59A8">
        <w:rPr>
          <w:szCs w:val="18"/>
        </w:rPr>
        <w:t>; ENGIE</w:t>
      </w:r>
      <w:r w:rsidR="002F0854" w:rsidRPr="001F59A8">
        <w:rPr>
          <w:szCs w:val="18"/>
        </w:rPr>
        <w:t>,</w:t>
      </w:r>
      <w:r w:rsidR="00BB17FA" w:rsidRPr="001F59A8">
        <w:rPr>
          <w:szCs w:val="18"/>
        </w:rPr>
        <w:t xml:space="preserve"> </w:t>
      </w:r>
      <w:r w:rsidR="00A65D41" w:rsidRPr="001F59A8">
        <w:rPr>
          <w:szCs w:val="18"/>
        </w:rPr>
        <w:t xml:space="preserve">submission to the Essential Services Commission, </w:t>
      </w:r>
      <w:r w:rsidR="00A65D41" w:rsidRPr="008341B5">
        <w:rPr>
          <w:i/>
          <w:szCs w:val="18"/>
        </w:rPr>
        <w:t>Victorian Default Offer 2025–26: Draft Decision Paper</w:t>
      </w:r>
      <w:r w:rsidR="00A65D41" w:rsidRPr="007A25EC">
        <w:rPr>
          <w:szCs w:val="18"/>
        </w:rPr>
        <w:t xml:space="preserve">, </w:t>
      </w:r>
      <w:r w:rsidR="00C27CE4" w:rsidRPr="001F59A8">
        <w:rPr>
          <w:szCs w:val="18"/>
        </w:rPr>
        <w:t xml:space="preserve">April 2025, </w:t>
      </w:r>
      <w:r w:rsidR="002F0854" w:rsidRPr="001F59A8">
        <w:rPr>
          <w:szCs w:val="18"/>
        </w:rPr>
        <w:t>p. 3</w:t>
      </w:r>
      <w:r w:rsidR="00BB17FA" w:rsidRPr="001F59A8">
        <w:rPr>
          <w:szCs w:val="18"/>
        </w:rPr>
        <w:t xml:space="preserve">; </w:t>
      </w:r>
      <w:r w:rsidR="001D1BBF" w:rsidRPr="001F59A8">
        <w:rPr>
          <w:szCs w:val="18"/>
        </w:rPr>
        <w:t>Origin Energy</w:t>
      </w:r>
      <w:r w:rsidR="00D727D3" w:rsidRPr="001F59A8">
        <w:rPr>
          <w:szCs w:val="18"/>
        </w:rPr>
        <w:t>,</w:t>
      </w:r>
      <w:r w:rsidR="001D1BBF" w:rsidRPr="001F59A8">
        <w:rPr>
          <w:szCs w:val="18"/>
        </w:rPr>
        <w:t xml:space="preserve"> </w:t>
      </w:r>
      <w:r w:rsidR="00A65D41" w:rsidRPr="001F59A8">
        <w:rPr>
          <w:szCs w:val="18"/>
        </w:rPr>
        <w:t xml:space="preserve">submission to the Essential Services Commission, </w:t>
      </w:r>
      <w:r w:rsidR="00A65D41" w:rsidRPr="008341B5">
        <w:rPr>
          <w:i/>
          <w:szCs w:val="18"/>
        </w:rPr>
        <w:t>Victorian Default Offer 2025–26: Draft Decision Paper</w:t>
      </w:r>
      <w:r w:rsidR="00A65D41" w:rsidRPr="007A25EC">
        <w:rPr>
          <w:szCs w:val="18"/>
        </w:rPr>
        <w:t xml:space="preserve">, </w:t>
      </w:r>
      <w:r w:rsidR="00C27CE4" w:rsidRPr="001F59A8">
        <w:rPr>
          <w:szCs w:val="18"/>
        </w:rPr>
        <w:t xml:space="preserve">April 2025, </w:t>
      </w:r>
      <w:r w:rsidR="00A65D41" w:rsidRPr="007A25EC">
        <w:rPr>
          <w:szCs w:val="18"/>
        </w:rPr>
        <w:t xml:space="preserve">pp. </w:t>
      </w:r>
      <w:r w:rsidR="00D727D3" w:rsidRPr="001F59A8">
        <w:rPr>
          <w:szCs w:val="18"/>
        </w:rPr>
        <w:t>3</w:t>
      </w:r>
      <w:r w:rsidR="007A25EC" w:rsidRPr="007A25EC">
        <w:rPr>
          <w:szCs w:val="18"/>
        </w:rPr>
        <w:t>-</w:t>
      </w:r>
      <w:r w:rsidR="00D727D3" w:rsidRPr="001F59A8">
        <w:rPr>
          <w:szCs w:val="18"/>
        </w:rPr>
        <w:t>4</w:t>
      </w:r>
      <w:r w:rsidR="001D1BBF" w:rsidRPr="001F59A8">
        <w:rPr>
          <w:szCs w:val="18"/>
        </w:rPr>
        <w:t>; Powershop</w:t>
      </w:r>
      <w:r w:rsidR="00434894" w:rsidRPr="001F59A8">
        <w:rPr>
          <w:szCs w:val="18"/>
        </w:rPr>
        <w:t>,</w:t>
      </w:r>
      <w:r w:rsidR="00FA13E8" w:rsidRPr="001F59A8">
        <w:rPr>
          <w:szCs w:val="18"/>
        </w:rPr>
        <w:t xml:space="preserve"> </w:t>
      </w:r>
      <w:r w:rsidR="00C27CE4" w:rsidRPr="001F59A8">
        <w:rPr>
          <w:szCs w:val="18"/>
        </w:rPr>
        <w:t xml:space="preserve">submission to the Essential Services Commission, </w:t>
      </w:r>
      <w:r w:rsidR="00C27CE4" w:rsidRPr="008341B5">
        <w:rPr>
          <w:i/>
          <w:szCs w:val="18"/>
        </w:rPr>
        <w:t>Victorian Default Offer 2025–26: Draft Decision Paper</w:t>
      </w:r>
      <w:r w:rsidR="00C27CE4" w:rsidRPr="007A25EC">
        <w:rPr>
          <w:szCs w:val="18"/>
        </w:rPr>
        <w:t xml:space="preserve">, </w:t>
      </w:r>
      <w:r w:rsidR="00C27CE4" w:rsidRPr="001F59A8">
        <w:rPr>
          <w:szCs w:val="18"/>
        </w:rPr>
        <w:t xml:space="preserve">April 2025, </w:t>
      </w:r>
      <w:r w:rsidR="00434894" w:rsidRPr="001F59A8">
        <w:rPr>
          <w:szCs w:val="18"/>
        </w:rPr>
        <w:t>p. 2</w:t>
      </w:r>
      <w:r w:rsidR="00FA13E8" w:rsidRPr="001F59A8">
        <w:rPr>
          <w:szCs w:val="18"/>
        </w:rPr>
        <w:t>.</w:t>
      </w:r>
      <w:r w:rsidR="00921FC8" w:rsidRPr="001F59A8">
        <w:rPr>
          <w:szCs w:val="18"/>
        </w:rPr>
        <w:t xml:space="preserve"> </w:t>
      </w:r>
      <w:r w:rsidR="000E6708" w:rsidRPr="001F59A8">
        <w:rPr>
          <w:szCs w:val="18"/>
        </w:rPr>
        <w:t xml:space="preserve"> </w:t>
      </w:r>
    </w:p>
  </w:footnote>
  <w:footnote w:id="158">
    <w:p w14:paraId="5AA5E9FA" w14:textId="7F60AB60" w:rsidR="0033207A" w:rsidRPr="001F59A8" w:rsidRDefault="0033207A">
      <w:pPr>
        <w:pStyle w:val="FootnoteText"/>
      </w:pPr>
      <w:r w:rsidRPr="001F59A8">
        <w:rPr>
          <w:rStyle w:val="FootnoteReference"/>
        </w:rPr>
        <w:footnoteRef/>
      </w:r>
      <w:r w:rsidRPr="001F59A8">
        <w:t xml:space="preserve"> </w:t>
      </w:r>
      <w:r w:rsidR="00E70612" w:rsidRPr="001F59A8">
        <w:rPr>
          <w:szCs w:val="18"/>
        </w:rPr>
        <w:t xml:space="preserve">Consumer Action Law Centre, submission to the Essential Services Commission, </w:t>
      </w:r>
      <w:r w:rsidR="00E70612" w:rsidRPr="001F59A8">
        <w:rPr>
          <w:i/>
          <w:iCs/>
          <w:szCs w:val="18"/>
        </w:rPr>
        <w:t xml:space="preserve">Victorian Default Offer 2025–26: Draft Decision Paper, </w:t>
      </w:r>
      <w:r w:rsidR="00E70612" w:rsidRPr="001F59A8">
        <w:rPr>
          <w:szCs w:val="18"/>
        </w:rPr>
        <w:t>April 2025, p. 11</w:t>
      </w:r>
      <w:r w:rsidR="00E36B48" w:rsidRPr="001F59A8">
        <w:rPr>
          <w:szCs w:val="18"/>
        </w:rPr>
        <w:t>.</w:t>
      </w:r>
    </w:p>
  </w:footnote>
  <w:footnote w:id="159">
    <w:p w14:paraId="61DDA549" w14:textId="154E9DAA" w:rsidR="005A6166" w:rsidRPr="001F59A8" w:rsidRDefault="005A6166">
      <w:pPr>
        <w:pStyle w:val="FootnoteText"/>
      </w:pPr>
      <w:r w:rsidRPr="001F59A8">
        <w:rPr>
          <w:rStyle w:val="FootnoteReference"/>
        </w:rPr>
        <w:footnoteRef/>
      </w:r>
      <w:r w:rsidRPr="001F59A8">
        <w:t xml:space="preserve"> </w:t>
      </w:r>
      <w:r w:rsidR="00B51122" w:rsidRPr="001F59A8">
        <w:t>Ibid, p. 3.</w:t>
      </w:r>
    </w:p>
  </w:footnote>
  <w:footnote w:id="160">
    <w:p w14:paraId="09B25909" w14:textId="21573F92" w:rsidR="00EE132D" w:rsidRPr="001F59A8" w:rsidRDefault="00EE132D">
      <w:pPr>
        <w:pStyle w:val="FootnoteText"/>
      </w:pPr>
      <w:r w:rsidRPr="001F59A8">
        <w:rPr>
          <w:rStyle w:val="FootnoteReference"/>
        </w:rPr>
        <w:footnoteRef/>
      </w:r>
      <w:r w:rsidRPr="001F59A8">
        <w:t xml:space="preserve"> Joint submission from Victorian Council of Social Service, Brotherhood of St Laurence, Consumer Action Law Centre, Council </w:t>
      </w:r>
      <w:r w:rsidR="007A25EC">
        <w:t>on the</w:t>
      </w:r>
      <w:r w:rsidRPr="001F59A8">
        <w:t xml:space="preserve"> Ageing Victoria, Energy Consumers Australia, Financial Counselling Victoria Inc</w:t>
      </w:r>
      <w:r w:rsidR="00BA4B00">
        <w:t>.</w:t>
      </w:r>
      <w:r w:rsidRPr="001F59A8">
        <w:t>, Uniting, submission to the Essential Services Commission,</w:t>
      </w:r>
      <w:r w:rsidRPr="001F59A8">
        <w:rPr>
          <w:i/>
          <w:iCs/>
          <w:szCs w:val="18"/>
        </w:rPr>
        <w:t xml:space="preserve"> Victorian Default Offer 2025–26: Draft Decision Paper, </w:t>
      </w:r>
      <w:r w:rsidRPr="001F59A8">
        <w:rPr>
          <w:szCs w:val="18"/>
        </w:rPr>
        <w:t>April 2025, p. 9.</w:t>
      </w:r>
    </w:p>
  </w:footnote>
  <w:footnote w:id="161">
    <w:p w14:paraId="68228E4C" w14:textId="438F7061" w:rsidR="00ED4C1E" w:rsidRPr="001F59A8" w:rsidRDefault="00ED4C1E">
      <w:pPr>
        <w:pStyle w:val="FootnoteText"/>
      </w:pPr>
      <w:r w:rsidRPr="001F59A8">
        <w:rPr>
          <w:rStyle w:val="FootnoteReference"/>
        </w:rPr>
        <w:footnoteRef/>
      </w:r>
      <w:r w:rsidRPr="001F59A8">
        <w:t xml:space="preserve"> Ibid, p. </w:t>
      </w:r>
      <w:r w:rsidR="002006E7" w:rsidRPr="001F59A8">
        <w:t>8.</w:t>
      </w:r>
    </w:p>
  </w:footnote>
  <w:footnote w:id="162">
    <w:p w14:paraId="2E70B1F8" w14:textId="2ECC18C9" w:rsidR="00B14727" w:rsidRPr="001F59A8" w:rsidRDefault="00B14727">
      <w:pPr>
        <w:pStyle w:val="FootnoteText"/>
      </w:pPr>
      <w:r w:rsidRPr="001F59A8">
        <w:rPr>
          <w:rStyle w:val="FootnoteReference"/>
        </w:rPr>
        <w:footnoteRef/>
      </w:r>
      <w:r w:rsidRPr="001F59A8">
        <w:t xml:space="preserve"> </w:t>
      </w:r>
      <w:r w:rsidR="000A5CA9" w:rsidRPr="001F59A8">
        <w:rPr>
          <w:szCs w:val="18"/>
        </w:rPr>
        <w:t xml:space="preserve">1st Energy, submission to the Essential Services Commission, </w:t>
      </w:r>
      <w:r w:rsidR="000A5CA9" w:rsidRPr="001F59A8">
        <w:rPr>
          <w:i/>
          <w:iCs/>
          <w:szCs w:val="18"/>
        </w:rPr>
        <w:t xml:space="preserve">Victorian Default Offer 2025–26: Draft Decision Paper, </w:t>
      </w:r>
      <w:r w:rsidR="000A5CA9" w:rsidRPr="001F59A8">
        <w:rPr>
          <w:szCs w:val="18"/>
        </w:rPr>
        <w:t>April 2025</w:t>
      </w:r>
      <w:r w:rsidR="00035995" w:rsidRPr="001F59A8">
        <w:rPr>
          <w:szCs w:val="18"/>
        </w:rPr>
        <w:t>, p. 2</w:t>
      </w:r>
      <w:r w:rsidR="0072038C" w:rsidRPr="001F59A8">
        <w:rPr>
          <w:szCs w:val="18"/>
        </w:rPr>
        <w:t xml:space="preserve">; EnergyAustralia, submission to the Essential Services Commission, </w:t>
      </w:r>
      <w:r w:rsidR="0072038C" w:rsidRPr="001F59A8">
        <w:rPr>
          <w:i/>
          <w:iCs/>
          <w:szCs w:val="18"/>
        </w:rPr>
        <w:t xml:space="preserve">Victorian Default Offer 2025–26: Draft Decision Paper, </w:t>
      </w:r>
      <w:r w:rsidR="0072038C" w:rsidRPr="001F59A8">
        <w:rPr>
          <w:szCs w:val="18"/>
        </w:rPr>
        <w:t>April 2025</w:t>
      </w:r>
      <w:r w:rsidR="00DD79B9" w:rsidRPr="001F59A8">
        <w:rPr>
          <w:szCs w:val="18"/>
        </w:rPr>
        <w:t xml:space="preserve">, </w:t>
      </w:r>
      <w:r w:rsidR="00014939" w:rsidRPr="001F59A8">
        <w:rPr>
          <w:szCs w:val="18"/>
        </w:rPr>
        <w:t>p. 2</w:t>
      </w:r>
      <w:r w:rsidR="0072038C" w:rsidRPr="001F59A8">
        <w:rPr>
          <w:szCs w:val="18"/>
        </w:rPr>
        <w:t>.</w:t>
      </w:r>
    </w:p>
  </w:footnote>
  <w:footnote w:id="163">
    <w:p w14:paraId="39CB7C78" w14:textId="305B95E1" w:rsidR="002D1223" w:rsidRPr="001F59A8" w:rsidRDefault="002D1223">
      <w:pPr>
        <w:pStyle w:val="FootnoteText"/>
      </w:pPr>
      <w:r w:rsidRPr="001F59A8">
        <w:rPr>
          <w:rStyle w:val="FootnoteReference"/>
        </w:rPr>
        <w:footnoteRef/>
      </w:r>
      <w:r w:rsidRPr="001F59A8">
        <w:t xml:space="preserve"> </w:t>
      </w:r>
      <w:r w:rsidR="004D47AD" w:rsidRPr="001F59A8">
        <w:rPr>
          <w:rFonts w:cstheme="minorHAnsi"/>
          <w:szCs w:val="18"/>
        </w:rPr>
        <w:t xml:space="preserve">Australian Energy Council, submission to the Essential Services Commission, </w:t>
      </w:r>
      <w:r w:rsidR="004D47AD" w:rsidRPr="001F59A8">
        <w:rPr>
          <w:rFonts w:cstheme="minorHAnsi"/>
          <w:i/>
          <w:iCs/>
          <w:szCs w:val="18"/>
        </w:rPr>
        <w:t>Victorian Default Offer 2025–26: Draft Decision Paper</w:t>
      </w:r>
      <w:r w:rsidR="004D47AD" w:rsidRPr="001F59A8">
        <w:rPr>
          <w:rFonts w:cstheme="minorHAnsi"/>
          <w:szCs w:val="18"/>
        </w:rPr>
        <w:t xml:space="preserve">, April 2025, p. </w:t>
      </w:r>
      <w:r w:rsidR="00B36B63" w:rsidRPr="001F59A8">
        <w:rPr>
          <w:rFonts w:cstheme="minorHAnsi"/>
          <w:szCs w:val="18"/>
        </w:rPr>
        <w:t>1.</w:t>
      </w:r>
    </w:p>
  </w:footnote>
  <w:footnote w:id="164">
    <w:p w14:paraId="1307BB05" w14:textId="77777777" w:rsidR="007515AC" w:rsidRPr="001F59A8" w:rsidRDefault="007515AC" w:rsidP="007515AC">
      <w:pPr>
        <w:pStyle w:val="FootnoteText"/>
      </w:pPr>
      <w:r w:rsidRPr="001F59A8">
        <w:rPr>
          <w:rStyle w:val="FootnoteReference"/>
        </w:rPr>
        <w:footnoteRef/>
      </w:r>
      <w:r w:rsidRPr="001F59A8">
        <w:t xml:space="preserve"> </w:t>
      </w:r>
      <w:r w:rsidRPr="001F59A8">
        <w:rPr>
          <w:rFonts w:cstheme="minorHAnsi"/>
          <w:szCs w:val="18"/>
        </w:rPr>
        <w:t xml:space="preserve">Frontier Economics, </w:t>
      </w:r>
      <w:r w:rsidRPr="001F59A8">
        <w:rPr>
          <w:rFonts w:cstheme="minorHAnsi"/>
          <w:i/>
          <w:szCs w:val="18"/>
        </w:rPr>
        <w:t>Retail Costs and Margin: A Report for the Essential Services Commission</w:t>
      </w:r>
      <w:r w:rsidRPr="001F59A8">
        <w:rPr>
          <w:rFonts w:cstheme="minorHAnsi"/>
          <w:szCs w:val="18"/>
        </w:rPr>
        <w:t>, Chapter 6 ‘The expected returns approach’, April 2019, p. 28</w:t>
      </w:r>
    </w:p>
  </w:footnote>
  <w:footnote w:id="165">
    <w:p w14:paraId="7DE4356D" w14:textId="1B23C5A9" w:rsidR="00BB5D47" w:rsidRDefault="00BB5D47">
      <w:pPr>
        <w:pStyle w:val="FootnoteText"/>
      </w:pPr>
      <w:r>
        <w:rPr>
          <w:rStyle w:val="FootnoteReference"/>
        </w:rPr>
        <w:footnoteRef/>
      </w:r>
      <w:r w:rsidR="00ED7744" w:rsidRPr="001F59A8">
        <w:t xml:space="preserve"> </w:t>
      </w:r>
      <w:r w:rsidR="00ED7744" w:rsidRPr="001F59A8">
        <w:rPr>
          <w:rFonts w:cstheme="minorHAnsi"/>
          <w:szCs w:val="18"/>
        </w:rPr>
        <w:t xml:space="preserve">Frontier Economics, </w:t>
      </w:r>
      <w:r w:rsidR="00ED7744" w:rsidRPr="001F59A8">
        <w:rPr>
          <w:rFonts w:cstheme="minorHAnsi"/>
          <w:i/>
          <w:szCs w:val="18"/>
        </w:rPr>
        <w:t>Retail Costs and Margin: A Report for the Essential Services Commission</w:t>
      </w:r>
      <w:r w:rsidR="00ED7744" w:rsidRPr="001F59A8">
        <w:rPr>
          <w:rFonts w:cstheme="minorHAnsi"/>
          <w:szCs w:val="18"/>
        </w:rPr>
        <w:t>, Chapter 6 ‘The expected returns approach’, April 2019, p. 28</w:t>
      </w:r>
      <w:r w:rsidR="001C3555">
        <w:rPr>
          <w:rFonts w:cstheme="minorHAnsi"/>
          <w:szCs w:val="18"/>
        </w:rPr>
        <w:t xml:space="preserve">, </w:t>
      </w:r>
      <w:r w:rsidR="001C3555" w:rsidRPr="001F59A8">
        <w:rPr>
          <w:rFonts w:cstheme="minorHAnsi"/>
          <w:szCs w:val="18"/>
        </w:rPr>
        <w:t xml:space="preserve">Independent Competition and Regulatory Commission, </w:t>
      </w:r>
      <w:r w:rsidR="001C3555" w:rsidRPr="001F59A8">
        <w:rPr>
          <w:rFonts w:cstheme="minorHAnsi"/>
          <w:i/>
          <w:iCs/>
          <w:szCs w:val="18"/>
        </w:rPr>
        <w:t>Final Report: Retail electricity price investigation 2024–27</w:t>
      </w:r>
      <w:r w:rsidR="001C3555" w:rsidRPr="001F59A8">
        <w:rPr>
          <w:rFonts w:cstheme="minorHAnsi"/>
          <w:szCs w:val="18"/>
        </w:rPr>
        <w:t>, May 2024, p. 45.</w:t>
      </w:r>
    </w:p>
  </w:footnote>
  <w:footnote w:id="166">
    <w:p w14:paraId="7CA708FD" w14:textId="5F1A99E7" w:rsidR="000419C4" w:rsidRDefault="000419C4">
      <w:pPr>
        <w:pStyle w:val="FootnoteText"/>
      </w:pPr>
      <w:r>
        <w:rPr>
          <w:rStyle w:val="FootnoteReference"/>
        </w:rPr>
        <w:footnoteRef/>
      </w:r>
      <w:r>
        <w:t xml:space="preserve"> </w:t>
      </w:r>
      <w:r w:rsidR="00C91144" w:rsidRPr="001F59A8">
        <w:rPr>
          <w:szCs w:val="18"/>
        </w:rPr>
        <w:t xml:space="preserve">AGL Energy, submission to the Essential Services Commission, </w:t>
      </w:r>
      <w:r w:rsidR="00C91144" w:rsidRPr="009D6CE7">
        <w:rPr>
          <w:i/>
          <w:szCs w:val="18"/>
        </w:rPr>
        <w:t>Victorian Default Offer 2025–26: Draft Decision Paper</w:t>
      </w:r>
      <w:r w:rsidR="00C91144" w:rsidRPr="007A25EC">
        <w:rPr>
          <w:szCs w:val="18"/>
        </w:rPr>
        <w:t xml:space="preserve">, </w:t>
      </w:r>
      <w:r w:rsidR="00C91144" w:rsidRPr="001F59A8">
        <w:rPr>
          <w:szCs w:val="18"/>
        </w:rPr>
        <w:t xml:space="preserve">April 2025, </w:t>
      </w:r>
      <w:r w:rsidR="00C91144" w:rsidRPr="0001444E">
        <w:rPr>
          <w:szCs w:val="18"/>
        </w:rPr>
        <w:t xml:space="preserve">p. </w:t>
      </w:r>
      <w:r w:rsidR="00CC4798" w:rsidRPr="0001444E">
        <w:rPr>
          <w:szCs w:val="18"/>
        </w:rPr>
        <w:t>4</w:t>
      </w:r>
      <w:r w:rsidR="00CC4798" w:rsidRPr="001F59A8">
        <w:rPr>
          <w:szCs w:val="18"/>
        </w:rPr>
        <w:t>.</w:t>
      </w:r>
    </w:p>
  </w:footnote>
  <w:footnote w:id="167">
    <w:p w14:paraId="1BA2A984" w14:textId="3B89B971" w:rsidR="0042591A" w:rsidRPr="001F59A8" w:rsidRDefault="0042591A" w:rsidP="0042591A">
      <w:pPr>
        <w:pStyle w:val="FootnoteText"/>
      </w:pPr>
      <w:r w:rsidRPr="001F59A8">
        <w:rPr>
          <w:rStyle w:val="FootnoteReference"/>
        </w:rPr>
        <w:footnoteRef/>
      </w:r>
      <w:r w:rsidRPr="001F59A8">
        <w:t xml:space="preserve"> </w:t>
      </w:r>
      <w:r w:rsidRPr="001F59A8">
        <w:rPr>
          <w:szCs w:val="18"/>
        </w:rPr>
        <w:t xml:space="preserve">Powershop, submission to the Essential Services Commission, </w:t>
      </w:r>
      <w:r w:rsidRPr="001F59A8">
        <w:rPr>
          <w:i/>
          <w:iCs/>
          <w:szCs w:val="18"/>
        </w:rPr>
        <w:t xml:space="preserve">Victorian Default Offer 2025–26: Draft Decision Paper, </w:t>
      </w:r>
      <w:r w:rsidRPr="001F59A8">
        <w:rPr>
          <w:szCs w:val="18"/>
        </w:rPr>
        <w:t>April 2025, p. 2.</w:t>
      </w:r>
    </w:p>
  </w:footnote>
  <w:footnote w:id="168">
    <w:p w14:paraId="0476183A" w14:textId="60F59E54" w:rsidR="0042591A" w:rsidRPr="001F59A8" w:rsidRDefault="0042591A">
      <w:pPr>
        <w:pStyle w:val="FootnoteText"/>
      </w:pPr>
      <w:r w:rsidRPr="001F59A8">
        <w:rPr>
          <w:rStyle w:val="FootnoteReference"/>
        </w:rPr>
        <w:footnoteRef/>
      </w:r>
      <w:r w:rsidRPr="001F59A8">
        <w:t xml:space="preserve"> </w:t>
      </w:r>
      <w:r w:rsidRPr="001F59A8">
        <w:rPr>
          <w:szCs w:val="18"/>
        </w:rPr>
        <w:t xml:space="preserve">Alinta Energy, submission to the Essential Services Commission, </w:t>
      </w:r>
      <w:r w:rsidRPr="001F59A8">
        <w:rPr>
          <w:i/>
          <w:iCs/>
          <w:szCs w:val="18"/>
        </w:rPr>
        <w:t xml:space="preserve">Victorian Default Offer 2025–26: Draft Decision Paper, </w:t>
      </w:r>
      <w:r w:rsidRPr="001F59A8">
        <w:rPr>
          <w:szCs w:val="18"/>
        </w:rPr>
        <w:t>April 2025, p</w:t>
      </w:r>
      <w:r w:rsidR="009026A7" w:rsidRPr="001F59A8">
        <w:rPr>
          <w:szCs w:val="18"/>
        </w:rPr>
        <w:t>p</w:t>
      </w:r>
      <w:r w:rsidRPr="001F59A8">
        <w:rPr>
          <w:szCs w:val="18"/>
        </w:rPr>
        <w:t xml:space="preserve">. </w:t>
      </w:r>
      <w:r w:rsidR="009026A7" w:rsidRPr="001F59A8">
        <w:rPr>
          <w:szCs w:val="18"/>
        </w:rPr>
        <w:t>3</w:t>
      </w:r>
      <w:r w:rsidR="005076FD">
        <w:rPr>
          <w:szCs w:val="18"/>
        </w:rPr>
        <w:t>–</w:t>
      </w:r>
      <w:r w:rsidR="009026A7" w:rsidRPr="001F59A8">
        <w:rPr>
          <w:szCs w:val="18"/>
        </w:rPr>
        <w:t>4</w:t>
      </w:r>
      <w:r w:rsidRPr="001F59A8">
        <w:rPr>
          <w:szCs w:val="18"/>
        </w:rPr>
        <w:t xml:space="preserve">; Australian Energy Council, submission to the Essential Services Commission, </w:t>
      </w:r>
      <w:r w:rsidRPr="001F59A8">
        <w:rPr>
          <w:i/>
          <w:iCs/>
          <w:szCs w:val="18"/>
        </w:rPr>
        <w:t xml:space="preserve">Victorian Default Offer 2025–26: Draft Decision Paper, </w:t>
      </w:r>
      <w:r w:rsidRPr="001F59A8">
        <w:rPr>
          <w:szCs w:val="18"/>
        </w:rPr>
        <w:t>April 2025, p. 1.</w:t>
      </w:r>
    </w:p>
  </w:footnote>
  <w:footnote w:id="169">
    <w:p w14:paraId="616D7704" w14:textId="239403C1" w:rsidR="00C930A3" w:rsidRPr="001F59A8" w:rsidRDefault="00C930A3">
      <w:pPr>
        <w:pStyle w:val="FootnoteText"/>
      </w:pPr>
      <w:r w:rsidRPr="001F59A8">
        <w:rPr>
          <w:rStyle w:val="FootnoteReference"/>
        </w:rPr>
        <w:footnoteRef/>
      </w:r>
      <w:r w:rsidRPr="001F59A8">
        <w:t xml:space="preserve"> </w:t>
      </w:r>
      <w:r w:rsidR="00C04146" w:rsidRPr="001F59A8">
        <w:rPr>
          <w:szCs w:val="18"/>
        </w:rPr>
        <w:t xml:space="preserve">Powershop, submission to the Essential Services Commission, </w:t>
      </w:r>
      <w:r w:rsidR="00C04146" w:rsidRPr="001F59A8">
        <w:rPr>
          <w:i/>
          <w:iCs/>
          <w:szCs w:val="18"/>
        </w:rPr>
        <w:t xml:space="preserve">Victorian Default Offer 2025–26: Draft Decision Paper, </w:t>
      </w:r>
      <w:r w:rsidR="00C04146" w:rsidRPr="001F59A8">
        <w:rPr>
          <w:szCs w:val="18"/>
        </w:rPr>
        <w:t>April 2025, p. 2.</w:t>
      </w:r>
    </w:p>
  </w:footnote>
  <w:footnote w:id="170">
    <w:p w14:paraId="4B3F267B" w14:textId="77777777" w:rsidR="00191071" w:rsidRPr="001F59A8" w:rsidRDefault="00191071" w:rsidP="00191071">
      <w:pPr>
        <w:pStyle w:val="FootnoteText"/>
        <w:rPr>
          <w:highlight w:val="yellow"/>
        </w:rPr>
      </w:pPr>
      <w:r w:rsidRPr="001F59A8">
        <w:rPr>
          <w:rStyle w:val="FootnoteReference"/>
        </w:rPr>
        <w:footnoteRef/>
      </w:r>
      <w:r w:rsidRPr="001F59A8">
        <w:t xml:space="preserve"> Clause 12(7) of the pricing order.</w:t>
      </w:r>
    </w:p>
  </w:footnote>
  <w:footnote w:id="171">
    <w:p w14:paraId="686D93B5" w14:textId="73E446FD" w:rsidR="0067660E" w:rsidRPr="001F59A8" w:rsidRDefault="0067660E">
      <w:pPr>
        <w:pStyle w:val="FootnoteText"/>
      </w:pPr>
      <w:r w:rsidRPr="001F59A8">
        <w:rPr>
          <w:rStyle w:val="FootnoteReference"/>
        </w:rPr>
        <w:footnoteRef/>
      </w:r>
      <w:r w:rsidRPr="001F59A8">
        <w:t xml:space="preserve"> </w:t>
      </w:r>
      <w:r w:rsidRPr="001F59A8">
        <w:rPr>
          <w:szCs w:val="18"/>
        </w:rPr>
        <w:t xml:space="preserve">Alinta Energy, submission to the Essential Services Commission, </w:t>
      </w:r>
      <w:r w:rsidRPr="001F59A8">
        <w:rPr>
          <w:i/>
          <w:iCs/>
          <w:szCs w:val="18"/>
        </w:rPr>
        <w:t xml:space="preserve">Victorian Default Offer 2025–26: Draft Decision Paper, </w:t>
      </w:r>
      <w:r w:rsidRPr="001F59A8">
        <w:rPr>
          <w:szCs w:val="18"/>
        </w:rPr>
        <w:t>April 2025, pp. 3</w:t>
      </w:r>
      <w:r w:rsidR="00924F71">
        <w:rPr>
          <w:szCs w:val="18"/>
        </w:rPr>
        <w:t>–</w:t>
      </w:r>
      <w:r w:rsidRPr="001F59A8">
        <w:rPr>
          <w:szCs w:val="18"/>
        </w:rPr>
        <w:t xml:space="preserve">4; Australian Energy Council, submission to the Essential Services Commission, </w:t>
      </w:r>
      <w:r w:rsidRPr="001F59A8">
        <w:rPr>
          <w:i/>
          <w:iCs/>
          <w:szCs w:val="18"/>
        </w:rPr>
        <w:t xml:space="preserve">Victorian Default Offer 2025–26: Draft Decision Paper, </w:t>
      </w:r>
      <w:r w:rsidRPr="001F59A8">
        <w:rPr>
          <w:szCs w:val="18"/>
        </w:rPr>
        <w:t>April 2025, p. 1.</w:t>
      </w:r>
    </w:p>
  </w:footnote>
  <w:footnote w:id="172">
    <w:p w14:paraId="5A4AA46E" w14:textId="4946B887" w:rsidR="00D44CC3" w:rsidRPr="001F59A8" w:rsidRDefault="00D44CC3" w:rsidP="00D44CC3">
      <w:pPr>
        <w:pStyle w:val="FootnoteText"/>
        <w:rPr>
          <w:highlight w:val="yellow"/>
        </w:rPr>
      </w:pPr>
      <w:r w:rsidRPr="001F59A8">
        <w:rPr>
          <w:rStyle w:val="FootnoteReference"/>
        </w:rPr>
        <w:footnoteRef/>
      </w:r>
      <w:r w:rsidRPr="001F59A8">
        <w:t xml:space="preserve"> 1st Energy, submission to the Essential Services Commission</w:t>
      </w:r>
      <w:r w:rsidR="00B5506F" w:rsidRPr="001F59A8">
        <w:t>,</w:t>
      </w:r>
      <w:r w:rsidRPr="001F59A8">
        <w:t xml:space="preserve"> </w:t>
      </w:r>
      <w:r w:rsidRPr="001F59A8">
        <w:rPr>
          <w:i/>
        </w:rPr>
        <w:t>2025</w:t>
      </w:r>
      <w:r w:rsidR="00924F71">
        <w:rPr>
          <w:i/>
        </w:rPr>
        <w:t>–</w:t>
      </w:r>
      <w:r w:rsidRPr="001F59A8">
        <w:rPr>
          <w:i/>
        </w:rPr>
        <w:t xml:space="preserve">26 Victorian Default Offer: </w:t>
      </w:r>
      <w:r w:rsidR="00026902" w:rsidRPr="001F59A8">
        <w:rPr>
          <w:i/>
        </w:rPr>
        <w:t xml:space="preserve">Draft Decision, </w:t>
      </w:r>
      <w:r w:rsidR="00737D56" w:rsidRPr="001F59A8">
        <w:rPr>
          <w:i/>
        </w:rPr>
        <w:t>April</w:t>
      </w:r>
      <w:r w:rsidR="00026902" w:rsidRPr="001F59A8">
        <w:rPr>
          <w:i/>
        </w:rPr>
        <w:t xml:space="preserve"> 2025</w:t>
      </w:r>
      <w:r w:rsidRPr="001F59A8">
        <w:t xml:space="preserve">, p. </w:t>
      </w:r>
      <w:r w:rsidR="00026902" w:rsidRPr="001F59A8">
        <w:t>2</w:t>
      </w:r>
      <w:r w:rsidRPr="001F59A8">
        <w:t>.</w:t>
      </w:r>
    </w:p>
  </w:footnote>
  <w:footnote w:id="173">
    <w:p w14:paraId="0866F0A6" w14:textId="3C54FF2E" w:rsidR="007E2F98" w:rsidRDefault="007E2F98">
      <w:pPr>
        <w:pStyle w:val="FootnoteText"/>
      </w:pPr>
      <w:r>
        <w:rPr>
          <w:rStyle w:val="FootnoteReference"/>
        </w:rPr>
        <w:footnoteRef/>
      </w:r>
      <w:r>
        <w:t xml:space="preserve"> </w:t>
      </w:r>
      <w:r w:rsidRPr="001F59A8">
        <w:t>Clause 10(2)(a)(i) of the pricing order.</w:t>
      </w:r>
    </w:p>
  </w:footnote>
  <w:footnote w:id="174">
    <w:p w14:paraId="789F2519" w14:textId="3B695F88" w:rsidR="004923ED" w:rsidRPr="001F59A8" w:rsidRDefault="004923ED">
      <w:pPr>
        <w:pStyle w:val="FootnoteText"/>
      </w:pPr>
      <w:r w:rsidRPr="001F59A8">
        <w:rPr>
          <w:rStyle w:val="FootnoteReference"/>
        </w:rPr>
        <w:footnoteRef/>
      </w:r>
      <w:r w:rsidRPr="001F59A8">
        <w:t xml:space="preserve"> Clause 10(2)(a)(ii)(</w:t>
      </w:r>
      <w:r w:rsidR="00F02CEF" w:rsidRPr="001F59A8">
        <w:t>A)</w:t>
      </w:r>
      <w:r w:rsidRPr="001F59A8">
        <w:t xml:space="preserve"> of the pricing order.</w:t>
      </w:r>
    </w:p>
  </w:footnote>
  <w:footnote w:id="175">
    <w:p w14:paraId="3F8B3543" w14:textId="16E68877" w:rsidR="00C17CB0" w:rsidRPr="001F59A8" w:rsidRDefault="00C17CB0">
      <w:pPr>
        <w:pStyle w:val="FootnoteText"/>
      </w:pPr>
      <w:r w:rsidRPr="001F59A8">
        <w:rPr>
          <w:rStyle w:val="FootnoteReference"/>
        </w:rPr>
        <w:footnoteRef/>
      </w:r>
      <w:r w:rsidRPr="001F59A8">
        <w:t xml:space="preserve"> Clause 10(2)(a)(ii)(B) and </w:t>
      </w:r>
      <w:r w:rsidR="005C0911" w:rsidRPr="001F59A8">
        <w:t>clause 12(</w:t>
      </w:r>
      <w:r w:rsidR="00123653" w:rsidRPr="001F59A8">
        <w:t>5)</w:t>
      </w:r>
      <w:r w:rsidRPr="001F59A8">
        <w:t xml:space="preserve"> of the pricing order.</w:t>
      </w:r>
    </w:p>
  </w:footnote>
  <w:footnote w:id="176">
    <w:p w14:paraId="57C7B7B3" w14:textId="0483C31C" w:rsidR="00783F32" w:rsidRPr="001F59A8" w:rsidRDefault="00783F32">
      <w:pPr>
        <w:pStyle w:val="FootnoteText"/>
      </w:pPr>
      <w:r w:rsidRPr="001F59A8">
        <w:rPr>
          <w:rStyle w:val="FootnoteReference"/>
        </w:rPr>
        <w:footnoteRef/>
      </w:r>
      <w:r w:rsidRPr="001F59A8">
        <w:t xml:space="preserve"> Clause 12(5) of the pricing order.</w:t>
      </w:r>
    </w:p>
  </w:footnote>
  <w:footnote w:id="177">
    <w:p w14:paraId="05D6A1E5" w14:textId="04B47262" w:rsidR="0085425F" w:rsidRPr="001F59A8" w:rsidRDefault="0085425F">
      <w:pPr>
        <w:pStyle w:val="FootnoteText"/>
      </w:pPr>
      <w:r w:rsidRPr="001F59A8">
        <w:rPr>
          <w:rStyle w:val="FootnoteReference"/>
        </w:rPr>
        <w:footnoteRef/>
      </w:r>
      <w:r w:rsidRPr="001F59A8">
        <w:t xml:space="preserve"> </w:t>
      </w:r>
      <w:r w:rsidR="00197826" w:rsidRPr="001F59A8">
        <w:t>C</w:t>
      </w:r>
      <w:r w:rsidRPr="001F59A8">
        <w:t>lause 15(5)</w:t>
      </w:r>
      <w:r w:rsidR="008C6078" w:rsidRPr="001F59A8">
        <w:t>(a)</w:t>
      </w:r>
      <w:r w:rsidR="008618BA" w:rsidRPr="001F59A8">
        <w:t>(i</w:t>
      </w:r>
      <w:r w:rsidRPr="001F59A8">
        <w:t>) of the pricing order.</w:t>
      </w:r>
    </w:p>
  </w:footnote>
  <w:footnote w:id="178">
    <w:p w14:paraId="0FA1A152" w14:textId="461A5AD9" w:rsidR="008618BA" w:rsidRPr="001F59A8" w:rsidRDefault="008618BA">
      <w:pPr>
        <w:pStyle w:val="FootnoteText"/>
      </w:pPr>
      <w:r w:rsidRPr="001F59A8">
        <w:rPr>
          <w:rStyle w:val="FootnoteReference"/>
        </w:rPr>
        <w:footnoteRef/>
      </w:r>
      <w:r w:rsidRPr="001F59A8">
        <w:t xml:space="preserve"> Clause 15(5)(a)(iii) of the pricing order.</w:t>
      </w:r>
    </w:p>
  </w:footnote>
  <w:footnote w:id="179">
    <w:p w14:paraId="5CF473F3" w14:textId="76036889" w:rsidR="005C7112" w:rsidRPr="001F59A8" w:rsidRDefault="005C7112">
      <w:pPr>
        <w:pStyle w:val="FootnoteText"/>
      </w:pPr>
      <w:r w:rsidRPr="001F59A8">
        <w:rPr>
          <w:rStyle w:val="FootnoteReference"/>
        </w:rPr>
        <w:footnoteRef/>
      </w:r>
      <w:r w:rsidRPr="001F59A8">
        <w:t xml:space="preserve"> Clause 15(5)(a)(i) and (iii) of the pricing order.</w:t>
      </w:r>
    </w:p>
  </w:footnote>
  <w:footnote w:id="180">
    <w:p w14:paraId="71CBDA8C" w14:textId="59F1A358" w:rsidR="003D4DD7" w:rsidRDefault="003D4DD7">
      <w:pPr>
        <w:pStyle w:val="FootnoteText"/>
      </w:pPr>
      <w:r>
        <w:rPr>
          <w:rStyle w:val="FootnoteReference"/>
        </w:rPr>
        <w:footnoteRef/>
      </w:r>
      <w:r>
        <w:t xml:space="preserve"> </w:t>
      </w:r>
      <w:r w:rsidR="00CE6460" w:rsidRPr="00CE6460">
        <w:t xml:space="preserve">Australian Energy Market Operator, Distribution Loss Factors for the 2023–24 Financial Year, July 2023, p. 12; </w:t>
      </w:r>
      <w:r w:rsidR="00C91EDE" w:rsidRPr="00CE6460">
        <w:t>CitiPower</w:t>
      </w:r>
      <w:r w:rsidR="00CE6460" w:rsidRPr="00CE6460">
        <w:t>, Powercor and United Energy, response to Distribution data: solar export and transmission lines, October 2023; AusNet, response to request on AusNet Services data – solar export and transmission lines, September 2023; Australian Energy Market Operator, Marginal Loss Factor: Financial Year 2023–24, March 2023, pp. 24–25.</w:t>
      </w:r>
    </w:p>
  </w:footnote>
  <w:footnote w:id="181">
    <w:p w14:paraId="46B32951" w14:textId="77777777" w:rsidR="00BC4D7C" w:rsidRPr="001F59A8" w:rsidRDefault="00BC4D7C" w:rsidP="00275412">
      <w:r w:rsidRPr="001F59A8">
        <w:rPr>
          <w:rStyle w:val="FootnoteReference"/>
        </w:rPr>
        <w:footnoteRef/>
      </w:r>
      <w:r w:rsidRPr="001F59A8">
        <w:t xml:space="preserve"> </w:t>
      </w:r>
      <w:r w:rsidRPr="001F59A8">
        <w:rPr>
          <w:rStyle w:val="FootnoteTextChar"/>
        </w:rPr>
        <w:t>Values in the table do not sum to exact total due to rounding.</w:t>
      </w:r>
    </w:p>
  </w:footnote>
  <w:footnote w:id="182">
    <w:p w14:paraId="6AFC2D48" w14:textId="0C23CA7F" w:rsidR="00100539" w:rsidRPr="001F59A8" w:rsidRDefault="00100539" w:rsidP="00100539">
      <w:pPr>
        <w:pStyle w:val="FootnoteText"/>
      </w:pPr>
      <w:r w:rsidRPr="001F59A8">
        <w:rPr>
          <w:rStyle w:val="FootnoteReference"/>
        </w:rPr>
        <w:footnoteRef/>
      </w:r>
      <w:r w:rsidRPr="001F59A8">
        <w:t xml:space="preserve"> Australian Competition and Consumer Commission, Retail electricity pricing inquiry – Final report, July 2018</w:t>
      </w:r>
    </w:p>
  </w:footnote>
  <w:footnote w:id="183">
    <w:p w14:paraId="52564F20" w14:textId="6D66D761" w:rsidR="00A34B18" w:rsidRDefault="00A34B18">
      <w:pPr>
        <w:pStyle w:val="FootnoteText"/>
      </w:pPr>
      <w:r>
        <w:rPr>
          <w:rStyle w:val="FootnoteReference"/>
        </w:rPr>
        <w:footnoteRef/>
      </w:r>
      <w:r>
        <w:t xml:space="preserve"> </w:t>
      </w:r>
      <w:r w:rsidRPr="001F59A8">
        <w:t>Values in the table may not sum to exact total due to rounding.</w:t>
      </w:r>
    </w:p>
  </w:footnote>
  <w:footnote w:id="184">
    <w:p w14:paraId="4A0CCDC1" w14:textId="77777777" w:rsidR="00DF2775" w:rsidRPr="001F59A8" w:rsidRDefault="00DF2775" w:rsidP="00DF2775">
      <w:pPr>
        <w:pStyle w:val="FootnoteText"/>
      </w:pPr>
      <w:r w:rsidRPr="001F59A8">
        <w:rPr>
          <w:rStyle w:val="FootnoteReference"/>
        </w:rPr>
        <w:footnoteRef/>
      </w:r>
      <w:r w:rsidRPr="001F59A8">
        <w:t xml:space="preserve"> Clause 12(1) of the pricing order.</w:t>
      </w:r>
    </w:p>
  </w:footnote>
  <w:footnote w:id="185">
    <w:p w14:paraId="683E34C3" w14:textId="77777777" w:rsidR="00DF2775" w:rsidRPr="001F59A8" w:rsidRDefault="00DF2775" w:rsidP="00DF2775">
      <w:pPr>
        <w:pStyle w:val="FootnoteText"/>
      </w:pPr>
      <w:r w:rsidRPr="001F59A8">
        <w:rPr>
          <w:rStyle w:val="FootnoteReference"/>
        </w:rPr>
        <w:footnoteRef/>
      </w:r>
      <w:r w:rsidRPr="001F59A8">
        <w:t xml:space="preserve"> Best meeting the objective of the Victorian Default Offer is a requirement of clause 12(2) of the pricing order.</w:t>
      </w:r>
    </w:p>
  </w:footnote>
  <w:footnote w:id="186">
    <w:p w14:paraId="5C2BB691" w14:textId="77777777" w:rsidR="002C3F79" w:rsidRPr="001F59A8" w:rsidRDefault="002C3F79" w:rsidP="002C3F79">
      <w:pPr>
        <w:pStyle w:val="FootnoteText"/>
      </w:pPr>
      <w:r w:rsidRPr="001F59A8">
        <w:rPr>
          <w:rStyle w:val="FootnoteReference"/>
        </w:rPr>
        <w:footnoteRef/>
      </w:r>
      <w:r w:rsidRPr="001F59A8">
        <w:t xml:space="preserve"> Clause 10(3) of the pricing order read with section 33(5) of the </w:t>
      </w:r>
      <w:r w:rsidRPr="001F59A8">
        <w:rPr>
          <w:i/>
          <w:iCs/>
        </w:rPr>
        <w:t>Essential Services Commission Act 2001</w:t>
      </w:r>
      <w:r w:rsidRPr="001F59A8">
        <w:t>.</w:t>
      </w:r>
    </w:p>
  </w:footnote>
  <w:footnote w:id="187">
    <w:p w14:paraId="48D8E671" w14:textId="77777777" w:rsidR="002C3F79" w:rsidRPr="001F59A8" w:rsidRDefault="002C3F79" w:rsidP="002C3F79">
      <w:pPr>
        <w:pStyle w:val="FootnoteText"/>
      </w:pPr>
      <w:r w:rsidRPr="001F59A8">
        <w:rPr>
          <w:rStyle w:val="FootnoteReference"/>
        </w:rPr>
        <w:footnoteRef/>
      </w:r>
      <w:r w:rsidRPr="001F59A8">
        <w:t xml:space="preserve"> Clause 12(3) of the pricing order. Further, clause 12(8) affirms that the pricing order does not require the commission to determine tariffs based on the actual costs of a retailer.</w:t>
      </w:r>
    </w:p>
  </w:footnote>
  <w:footnote w:id="188">
    <w:p w14:paraId="13247ACB" w14:textId="77777777" w:rsidR="00DF2775" w:rsidRPr="001F59A8" w:rsidRDefault="00DF2775" w:rsidP="00DF2775">
      <w:pPr>
        <w:pStyle w:val="FootnoteText"/>
      </w:pPr>
      <w:r w:rsidRPr="001F59A8">
        <w:rPr>
          <w:rStyle w:val="FootnoteReference"/>
        </w:rPr>
        <w:footnoteRef/>
      </w:r>
      <w:r w:rsidRPr="001F59A8">
        <w:t xml:space="preserve"> Clause 12(4) of the pricing order.</w:t>
      </w:r>
    </w:p>
  </w:footnote>
  <w:footnote w:id="189">
    <w:p w14:paraId="798775B7" w14:textId="77777777" w:rsidR="00DF2775" w:rsidRPr="001F59A8" w:rsidRDefault="00DF2775" w:rsidP="00DF2775">
      <w:pPr>
        <w:pStyle w:val="FootnoteText"/>
      </w:pPr>
      <w:r w:rsidRPr="001F59A8">
        <w:rPr>
          <w:rStyle w:val="FootnoteReference"/>
        </w:rPr>
        <w:footnoteRef/>
      </w:r>
      <w:r w:rsidRPr="001F59A8">
        <w:t xml:space="preserve"> Clause 12(6) of the pricing order specifies that this is to be an amount determined by the commission in its discretion.</w:t>
      </w:r>
    </w:p>
  </w:footnote>
  <w:footnote w:id="190">
    <w:p w14:paraId="5CBBE19E" w14:textId="77777777" w:rsidR="00DF2775" w:rsidRPr="001F59A8" w:rsidRDefault="00DF2775" w:rsidP="00DF2775">
      <w:pPr>
        <w:pStyle w:val="FootnoteText"/>
        <w:rPr>
          <w:highlight w:val="yellow"/>
        </w:rPr>
      </w:pPr>
      <w:r w:rsidRPr="001F59A8">
        <w:rPr>
          <w:rStyle w:val="FootnoteReference"/>
        </w:rPr>
        <w:footnoteRef/>
      </w:r>
      <w:r w:rsidRPr="001F59A8">
        <w:t xml:space="preserve"> Clause 12(7) of the pricing order specifies that this is to be an amount determined by the commission in its discretion, and in doing so regard must be had to (without limitation) the principle that the margin must not compensate retailers for risks that are compensated elsewhere in the costs. Clause 12(9) of the pricing order affirms that the commission is not required to determine tariffs based on the actual retail operating margin of a retailer.</w:t>
      </w:r>
    </w:p>
  </w:footnote>
  <w:footnote w:id="191">
    <w:p w14:paraId="2ECB5938" w14:textId="252BBE37" w:rsidR="00DF2775" w:rsidRPr="001F59A8" w:rsidRDefault="00DF2775" w:rsidP="00DF2775">
      <w:pPr>
        <w:pStyle w:val="FootnoteText"/>
      </w:pPr>
      <w:r w:rsidRPr="001F59A8">
        <w:rPr>
          <w:rStyle w:val="FootnoteReference"/>
        </w:rPr>
        <w:footnoteRef/>
      </w:r>
      <w:r w:rsidRPr="001F59A8">
        <w:t xml:space="preserve"> Clause 12(10) of the pricing order; </w:t>
      </w:r>
      <w:r w:rsidR="00893D71">
        <w:t>‘</w:t>
      </w:r>
      <w:r w:rsidR="00893D71" w:rsidRPr="001F59A8">
        <w:t>headroom</w:t>
      </w:r>
      <w:r w:rsidR="00893D71">
        <w:t>’</w:t>
      </w:r>
      <w:r w:rsidRPr="001F59A8">
        <w:t xml:space="preserve"> being defined in clause 4(1) as ‘an allowance that does not reflect an efficient cost borne by firms operating in the </w:t>
      </w:r>
      <w:r w:rsidR="00893D71" w:rsidRPr="001F59A8">
        <w:t>market</w:t>
      </w:r>
      <w:r w:rsidR="00893D71">
        <w:t>’</w:t>
      </w:r>
      <w:r w:rsidRPr="001F59A8">
        <w:t>.</w:t>
      </w:r>
    </w:p>
  </w:footnote>
  <w:footnote w:id="192">
    <w:p w14:paraId="4A2A859F" w14:textId="77777777" w:rsidR="00DF2775" w:rsidRPr="001F59A8" w:rsidRDefault="00DF2775" w:rsidP="00DF2775">
      <w:pPr>
        <w:pStyle w:val="FootnoteText"/>
      </w:pPr>
      <w:r w:rsidRPr="001F59A8">
        <w:rPr>
          <w:rStyle w:val="FootnoteReference"/>
        </w:rPr>
        <w:footnoteRef/>
      </w:r>
      <w:r w:rsidRPr="001F59A8">
        <w:t xml:space="preserve"> </w:t>
      </w:r>
      <w:r w:rsidRPr="001F59A8">
        <w:rPr>
          <w:i/>
        </w:rPr>
        <w:t>Essential Services Commission Act</w:t>
      </w:r>
      <w:r w:rsidRPr="001F59A8">
        <w:t xml:space="preserve"> </w:t>
      </w:r>
      <w:r w:rsidRPr="00D37F4A">
        <w:rPr>
          <w:i/>
        </w:rPr>
        <w:t>2001</w:t>
      </w:r>
      <w:r w:rsidRPr="001F59A8">
        <w:t>, s 8.</w:t>
      </w:r>
    </w:p>
  </w:footnote>
  <w:footnote w:id="193">
    <w:p w14:paraId="5C54FB27" w14:textId="77777777" w:rsidR="00DF2775" w:rsidRPr="001F59A8" w:rsidRDefault="00DF2775" w:rsidP="00DF2775">
      <w:pPr>
        <w:pStyle w:val="FootnoteText"/>
      </w:pPr>
      <w:r w:rsidRPr="001F59A8">
        <w:rPr>
          <w:rStyle w:val="FootnoteReference"/>
        </w:rPr>
        <w:footnoteRef/>
      </w:r>
      <w:r w:rsidRPr="001F59A8">
        <w:t xml:space="preserve"> </w:t>
      </w:r>
      <w:r w:rsidRPr="001F59A8">
        <w:rPr>
          <w:i/>
        </w:rPr>
        <w:t>Electricity Industry Act 2000</w:t>
      </w:r>
      <w:r w:rsidRPr="001F59A8">
        <w:t>, s 10.</w:t>
      </w:r>
    </w:p>
  </w:footnote>
  <w:footnote w:id="194">
    <w:p w14:paraId="4333F191" w14:textId="77777777" w:rsidR="00DF2775" w:rsidRPr="001F59A8" w:rsidRDefault="00DF2775" w:rsidP="00DF2775">
      <w:pPr>
        <w:pStyle w:val="FootnoteText"/>
      </w:pPr>
      <w:r w:rsidRPr="001F59A8">
        <w:rPr>
          <w:rStyle w:val="FootnoteReference"/>
        </w:rPr>
        <w:footnoteRef/>
      </w:r>
      <w:r w:rsidRPr="001F59A8">
        <w:t xml:space="preserve"> Clause 3 of the pricing order sets out the objective of the Victorian Default Offer.</w:t>
      </w:r>
    </w:p>
  </w:footnote>
  <w:footnote w:id="195">
    <w:p w14:paraId="3AC71ED1" w14:textId="77777777" w:rsidR="00DF2775" w:rsidRPr="001F59A8" w:rsidRDefault="00DF2775" w:rsidP="00DF2775">
      <w:pPr>
        <w:pStyle w:val="FootnoteText"/>
      </w:pPr>
      <w:r w:rsidRPr="001F59A8">
        <w:rPr>
          <w:rStyle w:val="FootnoteReference"/>
        </w:rPr>
        <w:footnoteRef/>
      </w:r>
      <w:r w:rsidRPr="001F59A8">
        <w:t xml:space="preserve"> Under clause 12(11) of the pricing order, section 33(4)(a) does not apply to a Victorian Default Offer determination.</w:t>
      </w:r>
    </w:p>
  </w:footnote>
  <w:footnote w:id="196">
    <w:p w14:paraId="51F5DE00" w14:textId="0E640F91" w:rsidR="00FF2DBB" w:rsidRPr="001F59A8" w:rsidRDefault="00FF2DBB" w:rsidP="00FF2DBB">
      <w:pPr>
        <w:pStyle w:val="FootnoteText"/>
      </w:pPr>
      <w:r w:rsidRPr="001F59A8">
        <w:rPr>
          <w:rStyle w:val="FootnoteReference"/>
        </w:rPr>
        <w:footnoteRef/>
      </w:r>
      <w:r w:rsidRPr="001F59A8">
        <w:t xml:space="preserve"> Clauses 12(3) and 12(4) of the pricing order</w:t>
      </w:r>
      <w:r w:rsidR="00AD4367">
        <w:t>.</w:t>
      </w:r>
    </w:p>
  </w:footnote>
  <w:footnote w:id="197">
    <w:p w14:paraId="4369BD8B" w14:textId="3B1F3D68"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s8 and s 8A.</w:t>
      </w:r>
    </w:p>
  </w:footnote>
  <w:footnote w:id="198">
    <w:p w14:paraId="4A9960DA" w14:textId="3462EFA9" w:rsidR="00FF2DBB" w:rsidRPr="001F59A8" w:rsidRDefault="00FF2DBB" w:rsidP="00FF2DBB">
      <w:pPr>
        <w:pStyle w:val="FootnoteText"/>
      </w:pPr>
      <w:r w:rsidRPr="001F59A8">
        <w:rPr>
          <w:rStyle w:val="FootnoteReference"/>
        </w:rPr>
        <w:footnoteRef/>
      </w:r>
      <w:r w:rsidRPr="001F59A8">
        <w:t xml:space="preserve"> </w:t>
      </w:r>
      <w:r w:rsidRPr="003F0B5A">
        <w:rPr>
          <w:i/>
        </w:rPr>
        <w:t>Electricity Industry Act 2000</w:t>
      </w:r>
      <w:r w:rsidRPr="001F59A8">
        <w:t>, s 10</w:t>
      </w:r>
      <w:r w:rsidR="00AD4367">
        <w:t>.</w:t>
      </w:r>
    </w:p>
  </w:footnote>
  <w:footnote w:id="199">
    <w:p w14:paraId="79255F7D" w14:textId="687BD234" w:rsidR="00FF2DBB" w:rsidRPr="001F59A8" w:rsidRDefault="00FF2DBB" w:rsidP="00FF2DBB">
      <w:pPr>
        <w:pStyle w:val="FootnoteText"/>
      </w:pPr>
      <w:r w:rsidRPr="001F59A8">
        <w:rPr>
          <w:rStyle w:val="FootnoteReference"/>
        </w:rPr>
        <w:footnoteRef/>
      </w:r>
      <w:r w:rsidRPr="001F59A8">
        <w:t xml:space="preserve"> Clauses 3 and 12(2) of the pricing order. Also consistent with section 10(c), </w:t>
      </w:r>
      <w:r w:rsidRPr="003F0B5A">
        <w:rPr>
          <w:i/>
        </w:rPr>
        <w:t>Electricity Industry Act</w:t>
      </w:r>
      <w:r w:rsidR="00AD4367" w:rsidRPr="003F0B5A">
        <w:rPr>
          <w:i/>
        </w:rPr>
        <w:t xml:space="preserve"> 200</w:t>
      </w:r>
      <w:r w:rsidR="00E61947" w:rsidRPr="003F0B5A">
        <w:rPr>
          <w:i/>
        </w:rPr>
        <w:t>0</w:t>
      </w:r>
      <w:r w:rsidR="00AD4367">
        <w:t>.</w:t>
      </w:r>
    </w:p>
  </w:footnote>
  <w:footnote w:id="200">
    <w:p w14:paraId="29CD2583" w14:textId="5A5FEA53"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ss 8A and 33(3</w:t>
      </w:r>
      <w:r w:rsidR="00AD4367">
        <w:t>).</w:t>
      </w:r>
    </w:p>
  </w:footnote>
  <w:footnote w:id="201">
    <w:p w14:paraId="729DA7FD" w14:textId="713A250C" w:rsidR="00581D1B" w:rsidRDefault="00581D1B">
      <w:pPr>
        <w:pStyle w:val="FootnoteText"/>
      </w:pPr>
      <w:r>
        <w:rPr>
          <w:rStyle w:val="FootnoteReference"/>
        </w:rPr>
        <w:footnoteRef/>
      </w:r>
      <w:r>
        <w:t xml:space="preserve"> Clause 12(2) of the pricing order.</w:t>
      </w:r>
    </w:p>
  </w:footnote>
  <w:footnote w:id="202">
    <w:p w14:paraId="3E24EA08" w14:textId="77777777"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ss 8A(1)(a) and 33(3)(b).</w:t>
      </w:r>
    </w:p>
  </w:footnote>
  <w:footnote w:id="203">
    <w:p w14:paraId="29330DC6" w14:textId="19E237B3" w:rsidR="00FF2DBB" w:rsidRPr="001F59A8" w:rsidRDefault="00FF2DBB" w:rsidP="00FF2DBB">
      <w:pPr>
        <w:pStyle w:val="FootnoteText"/>
      </w:pPr>
      <w:r w:rsidRPr="001F59A8">
        <w:rPr>
          <w:rStyle w:val="FootnoteReference"/>
        </w:rPr>
        <w:footnoteRef/>
      </w:r>
      <w:r w:rsidRPr="001F59A8">
        <w:t xml:space="preserve"> Clause 12(4)(e) of the pricing order</w:t>
      </w:r>
      <w:r w:rsidR="00AD4367">
        <w:t>.</w:t>
      </w:r>
    </w:p>
  </w:footnote>
  <w:footnote w:id="204">
    <w:p w14:paraId="26A428BE" w14:textId="6F60C993"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 8A(1)(b).</w:t>
      </w:r>
    </w:p>
  </w:footnote>
  <w:footnote w:id="205">
    <w:p w14:paraId="5F59F5B4" w14:textId="41CBDCCF" w:rsidR="00B85A92" w:rsidRPr="001F59A8" w:rsidRDefault="00B85A92" w:rsidP="00B85A92">
      <w:pPr>
        <w:pStyle w:val="FootnoteText"/>
      </w:pPr>
      <w:r w:rsidRPr="001F59A8">
        <w:rPr>
          <w:rStyle w:val="FootnoteReference"/>
        </w:rPr>
        <w:footnoteRef/>
      </w:r>
      <w:r w:rsidRPr="001F59A8">
        <w:t xml:space="preserve"> </w:t>
      </w:r>
      <w:r w:rsidRPr="003F0B5A">
        <w:rPr>
          <w:i/>
        </w:rPr>
        <w:t>Essential Services Commission Act 2001</w:t>
      </w:r>
      <w:r w:rsidRPr="001F59A8">
        <w:t>, s 8A(1)(c).</w:t>
      </w:r>
    </w:p>
  </w:footnote>
  <w:footnote w:id="206">
    <w:p w14:paraId="783EAAB1" w14:textId="2B0E1A47"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 8A(1)(d</w:t>
      </w:r>
      <w:r w:rsidR="00AB6CEC" w:rsidRPr="001F59A8">
        <w:t>).</w:t>
      </w:r>
    </w:p>
  </w:footnote>
  <w:footnote w:id="207">
    <w:p w14:paraId="5D10F318" w14:textId="32E137D3" w:rsidR="00A64D19" w:rsidRPr="001F59A8" w:rsidRDefault="00A64D19" w:rsidP="00A64D19">
      <w:pPr>
        <w:pStyle w:val="FootnoteText"/>
      </w:pPr>
      <w:r w:rsidRPr="001F59A8">
        <w:rPr>
          <w:rStyle w:val="FootnoteReference"/>
        </w:rPr>
        <w:footnoteRef/>
      </w:r>
      <w:r w:rsidRPr="001F59A8">
        <w:t xml:space="preserve"> The development of the Victorian Default Offer stemmed from the Independent Review into the Electricity and Gas Retail Markets in Victoria. The</w:t>
      </w:r>
      <w:r w:rsidR="00093A04" w:rsidRPr="00093A04">
        <w:t xml:space="preserve"> </w:t>
      </w:r>
      <w:r w:rsidR="00093A04">
        <w:t>Victorian Government’s</w:t>
      </w:r>
      <w:r w:rsidRPr="001F59A8">
        <w:t xml:space="preserve"> final report from the Independent Review recommended a range of regulatory responses were required to protect the long-term interests of consumers. See Independent Review into the Electricity and Gas Retail Markets in Victoria: Final Report, August 2017, p. 52</w:t>
      </w:r>
      <w:r w:rsidR="00E61947">
        <w:t>.</w:t>
      </w:r>
    </w:p>
  </w:footnote>
  <w:footnote w:id="208">
    <w:p w14:paraId="5815911F" w14:textId="13D6C155" w:rsidR="00FF2DBB" w:rsidRPr="001F59A8" w:rsidRDefault="00FF2DBB" w:rsidP="00FF2DBB">
      <w:pPr>
        <w:pStyle w:val="FootnoteText"/>
      </w:pPr>
      <w:r w:rsidRPr="001F59A8">
        <w:rPr>
          <w:rStyle w:val="FootnoteReference"/>
        </w:rPr>
        <w:footnoteRef/>
      </w:r>
      <w:r w:rsidRPr="001F59A8">
        <w:t xml:space="preserve"> Under clause 12(11) of the pricing order, section 33(4)(a) of the Essential Services Commission Act 2001 does not apply to a Victorian Default Offer price determination</w:t>
      </w:r>
      <w:r w:rsidR="00E61947">
        <w:t>.</w:t>
      </w:r>
    </w:p>
  </w:footnote>
  <w:footnote w:id="209">
    <w:p w14:paraId="4E6D3F0F" w14:textId="77777777" w:rsidR="00FF2DBB" w:rsidRPr="001F59A8" w:rsidRDefault="00FF2DBB" w:rsidP="00FF2DBB">
      <w:pPr>
        <w:pStyle w:val="FootnoteText"/>
      </w:pPr>
      <w:r w:rsidRPr="001F59A8">
        <w:rPr>
          <w:rStyle w:val="FootnoteReference"/>
        </w:rPr>
        <w:footnoteRef/>
      </w:r>
      <w:r w:rsidRPr="001F59A8">
        <w:t xml:space="preserve"> </w:t>
      </w:r>
      <w:r w:rsidRPr="007C763A">
        <w:rPr>
          <w:i/>
        </w:rPr>
        <w:t>Essential Services Commission Act 2001</w:t>
      </w:r>
      <w:r w:rsidRPr="001F59A8">
        <w:t>, ss 8A(1)(f) and 33(3)(d).</w:t>
      </w:r>
    </w:p>
  </w:footnote>
  <w:footnote w:id="210">
    <w:p w14:paraId="5018F266" w14:textId="38D65E3B" w:rsidR="00FF2DBB" w:rsidRPr="001F59A8"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 33(3)(a)</w:t>
      </w:r>
      <w:r w:rsidR="00E61947">
        <w:t>.</w:t>
      </w:r>
    </w:p>
  </w:footnote>
  <w:footnote w:id="211">
    <w:p w14:paraId="681805A0" w14:textId="49A80638" w:rsidR="00FF2DBB" w:rsidRDefault="00FF2DBB" w:rsidP="00FF2DBB">
      <w:pPr>
        <w:pStyle w:val="FootnoteText"/>
      </w:pPr>
      <w:r w:rsidRPr="001F59A8">
        <w:rPr>
          <w:rStyle w:val="FootnoteReference"/>
        </w:rPr>
        <w:footnoteRef/>
      </w:r>
      <w:r w:rsidRPr="001F59A8">
        <w:t xml:space="preserve"> </w:t>
      </w:r>
      <w:r w:rsidRPr="003F0B5A">
        <w:rPr>
          <w:i/>
        </w:rPr>
        <w:t>Essential Services Commission Act 2001</w:t>
      </w:r>
      <w:r w:rsidRPr="001F59A8">
        <w:t>, s 33(</w:t>
      </w:r>
      <w:r w:rsidR="00F13386">
        <w:t>4</w:t>
      </w:r>
      <w:r w:rsidRPr="001F59A8">
        <w:t>)(b)</w:t>
      </w:r>
      <w:r w:rsidR="00E6194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013E9" w14:textId="6CBC1644" w:rsidR="0088672A" w:rsidRPr="001F59A8" w:rsidRDefault="0088672A">
    <w:pPr>
      <w:pStyle w:val="Header"/>
    </w:pPr>
    <w:r w:rsidRPr="001F59A8">
      <w:rPr>
        <w:noProof/>
      </w:rPr>
      <mc:AlternateContent>
        <mc:Choice Requires="wps">
          <w:drawing>
            <wp:anchor distT="0" distB="0" distL="114300" distR="114300" simplePos="0" relativeHeight="251658245" behindDoc="0" locked="1" layoutInCell="0" allowOverlap="1" wp14:anchorId="0D8B1F23" wp14:editId="77402A06">
              <wp:simplePos x="0" y="0"/>
              <wp:positionH relativeFrom="margin">
                <wp:align>center</wp:align>
              </wp:positionH>
              <wp:positionV relativeFrom="topMargin">
                <wp:align>center</wp:align>
              </wp:positionV>
              <wp:extent cx="892175" cy="342900"/>
              <wp:effectExtent l="0" t="0" r="0" b="0"/>
              <wp:wrapNone/>
              <wp:docPr id="55488125" name="janusSEAL SC H_Even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3BFB3" w14:textId="5C651D5B" w:rsidR="0088672A" w:rsidRPr="001F59A8" w:rsidRDefault="0088672A" w:rsidP="0088672A">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8B1F23" id="_x0000_t202" coordsize="21600,21600" o:spt="202" path="m,l,21600r21600,l21600,xe">
              <v:stroke joinstyle="miter"/>
              <v:path gradientshapeok="t" o:connecttype="rect"/>
            </v:shapetype>
            <v:shape id="janusSEAL SC H_EvenPage" o:spid="_x0000_s1026" type="#_x0000_t202" style="position:absolute;margin-left:0;margin-top:0;width:70.25pt;height:27pt;z-index:251658245;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" o:allowincell="f" filled="f" stroked="f" strokeweight=".5pt">
              <v:textbox style="mso-fit-shape-to-text:t">
                <w:txbxContent>
                  <w:p w14:paraId="5223BFB3" w14:textId="5C651D5B" w:rsidR="0088672A" w:rsidRPr="001F59A8" w:rsidRDefault="0088672A" w:rsidP="0088672A">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0437" w14:textId="5841C36D" w:rsidR="002C3ECC" w:rsidRPr="001F59A8" w:rsidRDefault="0071743B">
    <w:pPr>
      <w:pStyle w:val="Header"/>
    </w:pPr>
    <w:r w:rsidRPr="001F59A8">
      <w:rPr>
        <w:noProof/>
      </w:rPr>
      <mc:AlternateContent>
        <mc:Choice Requires="wps">
          <w:drawing>
            <wp:anchor distT="0" distB="0" distL="114300" distR="114300" simplePos="0" relativeHeight="251658251" behindDoc="0" locked="1" layoutInCell="0" allowOverlap="1" wp14:anchorId="7298B23A" wp14:editId="6B8BD09E">
              <wp:simplePos x="0" y="0"/>
              <wp:positionH relativeFrom="margin">
                <wp:align>center</wp:align>
              </wp:positionH>
              <wp:positionV relativeFrom="topMargin">
                <wp:align>center</wp:align>
              </wp:positionV>
              <wp:extent cx="892175" cy="342900"/>
              <wp:effectExtent l="0" t="0" r="0" b="0"/>
              <wp:wrapNone/>
              <wp:docPr id="1991543762" name="janusSEAL SC H_First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DEC4B" w14:textId="08DD2728"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298B23A" id="_x0000_t202" coordsize="21600,21600" o:spt="202" path="m,l,21600r21600,l21600,xe">
              <v:stroke joinstyle="miter"/>
              <v:path gradientshapeok="t" o:connecttype="rect"/>
            </v:shapetype>
            <v:shape id="_x0000_s1033" type="#_x0000_t202" style="position:absolute;margin-left:0;margin-top:0;width:70.25pt;height:27pt;z-index:251658251;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" o:allowincell="f" filled="f" stroked="f" strokeweight=".5pt">
              <v:textbox style="mso-fit-shape-to-text:t">
                <w:txbxContent>
                  <w:p w14:paraId="53DDEC4B" w14:textId="08DD2728"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E40F" w14:textId="527B13F8" w:rsidR="002C3ECC" w:rsidRPr="001F59A8" w:rsidRDefault="002C3E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0C00" w14:textId="2A67D75C" w:rsidR="002C3ECC" w:rsidRPr="001F59A8" w:rsidRDefault="002C3E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C153" w14:textId="35294BEB" w:rsidR="007C7751" w:rsidRDefault="007C77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8B4B" w14:textId="69E2487B" w:rsidR="007C7751" w:rsidRDefault="007C77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E66C" w14:textId="415AACAF" w:rsidR="002C3ECC" w:rsidRPr="001F59A8" w:rsidRDefault="002C3E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CD73" w14:textId="7D665D91" w:rsidR="002C3ECC" w:rsidRPr="001F59A8" w:rsidRDefault="002C3EC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ECBC" w14:textId="7C886E63" w:rsidR="002C3ECC" w:rsidRPr="001F59A8" w:rsidRDefault="002C3E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E717" w14:textId="379119DC" w:rsidR="002C3ECC" w:rsidRPr="001F59A8" w:rsidRDefault="002C3EC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E211" w14:textId="022A766E" w:rsidR="007C7751" w:rsidRDefault="007C77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A0DF" w14:textId="05B13DA1" w:rsidR="003A30F3" w:rsidRPr="001F59A8" w:rsidRDefault="007E1738" w:rsidP="00633068">
    <w:pPr>
      <w:pStyle w:val="Header"/>
      <w:tabs>
        <w:tab w:val="clear" w:pos="4680"/>
        <w:tab w:val="clear" w:pos="9360"/>
        <w:tab w:val="left" w:pos="2236"/>
      </w:tabs>
    </w:pPr>
    <w:r w:rsidRPr="001F59A8">
      <w:rPr>
        <w:noProof/>
        <w:lang w:eastAsia="en-AU"/>
      </w:rPr>
      <mc:AlternateContent>
        <mc:Choice Requires="wpg">
          <w:drawing>
            <wp:anchor distT="0" distB="0" distL="114300" distR="114300" simplePos="0" relativeHeight="251658243" behindDoc="0" locked="1" layoutInCell="1" allowOverlap="1" wp14:anchorId="764D9C73" wp14:editId="1C94300B">
              <wp:simplePos x="0" y="0"/>
              <wp:positionH relativeFrom="page">
                <wp:posOffset>179705</wp:posOffset>
              </wp:positionH>
              <wp:positionV relativeFrom="page">
                <wp:posOffset>187960</wp:posOffset>
              </wp:positionV>
              <wp:extent cx="7199630" cy="10309860"/>
              <wp:effectExtent l="0" t="0" r="1270" b="0"/>
              <wp:wrapNone/>
              <wp:docPr id="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199630" cy="10309860"/>
                        <a:chOff x="0" y="0"/>
                        <a:chExt cx="3016" cy="4319"/>
                      </a:xfrm>
                    </wpg:grpSpPr>
                    <wps:wsp>
                      <wps:cNvPr id="2" name="Freeform 5"/>
                      <wps:cNvSpPr>
                        <a:spLocks/>
                      </wps:cNvSpPr>
                      <wps:spPr bwMode="auto">
                        <a:xfrm>
                          <a:off x="0" y="3658"/>
                          <a:ext cx="2406" cy="661"/>
                        </a:xfrm>
                        <a:custGeom>
                          <a:avLst/>
                          <a:gdLst>
                            <a:gd name="T0" fmla="*/ 1134 w 1808"/>
                            <a:gd name="T1" fmla="*/ 469 h 498"/>
                            <a:gd name="T2" fmla="*/ 1134 w 1808"/>
                            <a:gd name="T3" fmla="*/ 469 h 498"/>
                            <a:gd name="T4" fmla="*/ 522 w 1808"/>
                            <a:gd name="T5" fmla="*/ 347 h 498"/>
                            <a:gd name="T6" fmla="*/ 4 w 1808"/>
                            <a:gd name="T7" fmla="*/ 0 h 498"/>
                            <a:gd name="T8" fmla="*/ 0 w 1808"/>
                            <a:gd name="T9" fmla="*/ 5 h 498"/>
                            <a:gd name="T10" fmla="*/ 0 w 1808"/>
                            <a:gd name="T11" fmla="*/ 222 h 498"/>
                            <a:gd name="T12" fmla="*/ 452 w 1808"/>
                            <a:gd name="T13" fmla="*/ 498 h 498"/>
                            <a:gd name="T14" fmla="*/ 460 w 1808"/>
                            <a:gd name="T15" fmla="*/ 498 h 498"/>
                            <a:gd name="T16" fmla="*/ 1134 w 1808"/>
                            <a:gd name="T17" fmla="*/ 498 h 498"/>
                            <a:gd name="T18" fmla="*/ 1808 w 1808"/>
                            <a:gd name="T19" fmla="*/ 498 h 498"/>
                            <a:gd name="T20" fmla="*/ 1745 w 1808"/>
                            <a:gd name="T21" fmla="*/ 347 h 498"/>
                            <a:gd name="T22" fmla="*/ 1134 w 1808"/>
                            <a:gd name="T23" fmla="*/ 469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8" h="498">
                              <a:moveTo>
                                <a:pt x="1134" y="469"/>
                              </a:moveTo>
                              <a:cubicBezTo>
                                <a:pt x="1134" y="469"/>
                                <a:pt x="1134" y="469"/>
                                <a:pt x="1134" y="469"/>
                              </a:cubicBezTo>
                              <a:cubicBezTo>
                                <a:pt x="917" y="469"/>
                                <a:pt x="711" y="426"/>
                                <a:pt x="522" y="347"/>
                              </a:cubicBezTo>
                              <a:cubicBezTo>
                                <a:pt x="327" y="266"/>
                                <a:pt x="151" y="148"/>
                                <a:pt x="4" y="0"/>
                              </a:cubicBezTo>
                              <a:cubicBezTo>
                                <a:pt x="0" y="5"/>
                                <a:pt x="0" y="5"/>
                                <a:pt x="0" y="5"/>
                              </a:cubicBezTo>
                              <a:cubicBezTo>
                                <a:pt x="0" y="222"/>
                                <a:pt x="0" y="222"/>
                                <a:pt x="0" y="222"/>
                              </a:cubicBezTo>
                              <a:cubicBezTo>
                                <a:pt x="135" y="335"/>
                                <a:pt x="287" y="429"/>
                                <a:pt x="452" y="498"/>
                              </a:cubicBezTo>
                              <a:cubicBezTo>
                                <a:pt x="460" y="498"/>
                                <a:pt x="460" y="498"/>
                                <a:pt x="460" y="498"/>
                              </a:cubicBezTo>
                              <a:cubicBezTo>
                                <a:pt x="1134" y="498"/>
                                <a:pt x="1134" y="498"/>
                                <a:pt x="1134" y="498"/>
                              </a:cubicBezTo>
                              <a:cubicBezTo>
                                <a:pt x="1808" y="498"/>
                                <a:pt x="1808" y="498"/>
                                <a:pt x="1808" y="498"/>
                              </a:cubicBezTo>
                              <a:cubicBezTo>
                                <a:pt x="1745" y="347"/>
                                <a:pt x="1745" y="347"/>
                                <a:pt x="1745" y="347"/>
                              </a:cubicBezTo>
                              <a:cubicBezTo>
                                <a:pt x="1557" y="426"/>
                                <a:pt x="1350" y="469"/>
                                <a:pt x="1134" y="469"/>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wps:cNvSpPr>
                        <a:spLocks/>
                      </wps:cNvSpPr>
                      <wps:spPr bwMode="auto">
                        <a:xfrm>
                          <a:off x="2322" y="0"/>
                          <a:ext cx="694" cy="661"/>
                        </a:xfrm>
                        <a:custGeom>
                          <a:avLst/>
                          <a:gdLst>
                            <a:gd name="T0" fmla="*/ 70 w 522"/>
                            <a:gd name="T1" fmla="*/ 0 h 498"/>
                            <a:gd name="T2" fmla="*/ 63 w 522"/>
                            <a:gd name="T3" fmla="*/ 0 h 498"/>
                            <a:gd name="T4" fmla="*/ 0 w 522"/>
                            <a:gd name="T5" fmla="*/ 151 h 498"/>
                            <a:gd name="T6" fmla="*/ 518 w 522"/>
                            <a:gd name="T7" fmla="*/ 498 h 498"/>
                            <a:gd name="T8" fmla="*/ 522 w 522"/>
                            <a:gd name="T9" fmla="*/ 493 h 498"/>
                            <a:gd name="T10" fmla="*/ 522 w 522"/>
                            <a:gd name="T11" fmla="*/ 276 h 498"/>
                            <a:gd name="T12" fmla="*/ 70 w 522"/>
                            <a:gd name="T13" fmla="*/ 0 h 498"/>
                          </a:gdLst>
                          <a:ahLst/>
                          <a:cxnLst>
                            <a:cxn ang="0">
                              <a:pos x="T0" y="T1"/>
                            </a:cxn>
                            <a:cxn ang="0">
                              <a:pos x="T2" y="T3"/>
                            </a:cxn>
                            <a:cxn ang="0">
                              <a:pos x="T4" y="T5"/>
                            </a:cxn>
                            <a:cxn ang="0">
                              <a:pos x="T6" y="T7"/>
                            </a:cxn>
                            <a:cxn ang="0">
                              <a:pos x="T8" y="T9"/>
                            </a:cxn>
                            <a:cxn ang="0">
                              <a:pos x="T10" y="T11"/>
                            </a:cxn>
                            <a:cxn ang="0">
                              <a:pos x="T12" y="T13"/>
                            </a:cxn>
                          </a:cxnLst>
                          <a:rect l="0" t="0" r="r" b="b"/>
                          <a:pathLst>
                            <a:path w="522" h="498">
                              <a:moveTo>
                                <a:pt x="70" y="0"/>
                              </a:moveTo>
                              <a:cubicBezTo>
                                <a:pt x="63" y="0"/>
                                <a:pt x="63" y="0"/>
                                <a:pt x="63" y="0"/>
                              </a:cubicBezTo>
                              <a:cubicBezTo>
                                <a:pt x="0" y="151"/>
                                <a:pt x="0" y="151"/>
                                <a:pt x="0" y="151"/>
                              </a:cubicBezTo>
                              <a:cubicBezTo>
                                <a:pt x="195" y="232"/>
                                <a:pt x="371" y="350"/>
                                <a:pt x="518" y="498"/>
                              </a:cubicBezTo>
                              <a:cubicBezTo>
                                <a:pt x="522" y="493"/>
                                <a:pt x="522" y="493"/>
                                <a:pt x="522" y="493"/>
                              </a:cubicBezTo>
                              <a:cubicBezTo>
                                <a:pt x="522" y="276"/>
                                <a:pt x="522" y="276"/>
                                <a:pt x="522" y="276"/>
                              </a:cubicBezTo>
                              <a:cubicBezTo>
                                <a:pt x="387" y="163"/>
                                <a:pt x="235" y="69"/>
                                <a:pt x="70"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wps:cNvSpPr>
                        <a:spLocks/>
                      </wps:cNvSpPr>
                      <wps:spPr bwMode="auto">
                        <a:xfrm>
                          <a:off x="0" y="759"/>
                          <a:ext cx="331" cy="700"/>
                        </a:xfrm>
                        <a:custGeom>
                          <a:avLst/>
                          <a:gdLst>
                            <a:gd name="T0" fmla="*/ 78 w 249"/>
                            <a:gd name="T1" fmla="*/ 0 h 527"/>
                            <a:gd name="T2" fmla="*/ 0 w 249"/>
                            <a:gd name="T3" fmla="*/ 85 h 527"/>
                            <a:gd name="T4" fmla="*/ 0 w 249"/>
                            <a:gd name="T5" fmla="*/ 527 h 527"/>
                            <a:gd name="T6" fmla="*/ 249 w 249"/>
                            <a:gd name="T7" fmla="*/ 171 h 527"/>
                            <a:gd name="T8" fmla="*/ 78 w 249"/>
                            <a:gd name="T9" fmla="*/ 0 h 527"/>
                          </a:gdLst>
                          <a:ahLst/>
                          <a:cxnLst>
                            <a:cxn ang="0">
                              <a:pos x="T0" y="T1"/>
                            </a:cxn>
                            <a:cxn ang="0">
                              <a:pos x="T2" y="T3"/>
                            </a:cxn>
                            <a:cxn ang="0">
                              <a:pos x="T4" y="T5"/>
                            </a:cxn>
                            <a:cxn ang="0">
                              <a:pos x="T6" y="T7"/>
                            </a:cxn>
                            <a:cxn ang="0">
                              <a:pos x="T8" y="T9"/>
                            </a:cxn>
                          </a:cxnLst>
                          <a:rect l="0" t="0" r="r" b="b"/>
                          <a:pathLst>
                            <a:path w="249" h="527">
                              <a:moveTo>
                                <a:pt x="78" y="0"/>
                              </a:moveTo>
                              <a:cubicBezTo>
                                <a:pt x="51" y="27"/>
                                <a:pt x="25" y="56"/>
                                <a:pt x="0" y="85"/>
                              </a:cubicBezTo>
                              <a:cubicBezTo>
                                <a:pt x="0" y="527"/>
                                <a:pt x="0" y="527"/>
                                <a:pt x="0" y="527"/>
                              </a:cubicBezTo>
                              <a:cubicBezTo>
                                <a:pt x="62" y="394"/>
                                <a:pt x="147" y="274"/>
                                <a:pt x="249" y="171"/>
                              </a:cubicBezTo>
                              <a:lnTo>
                                <a:pt x="78"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wps:cNvSpPr>
                        <a:spLocks/>
                      </wps:cNvSpPr>
                      <wps:spPr bwMode="auto">
                        <a:xfrm>
                          <a:off x="1509" y="178"/>
                          <a:ext cx="1507" cy="1281"/>
                        </a:xfrm>
                        <a:custGeom>
                          <a:avLst/>
                          <a:gdLst>
                            <a:gd name="T0" fmla="*/ 1055 w 1133"/>
                            <a:gd name="T1" fmla="*/ 438 h 965"/>
                            <a:gd name="T2" fmla="*/ 571 w 1133"/>
                            <a:gd name="T3" fmla="*/ 114 h 965"/>
                            <a:gd name="T4" fmla="*/ 0 w 1133"/>
                            <a:gd name="T5" fmla="*/ 0 h 965"/>
                            <a:gd name="T6" fmla="*/ 0 w 1133"/>
                            <a:gd name="T7" fmla="*/ 242 h 965"/>
                            <a:gd name="T8" fmla="*/ 478 w 1133"/>
                            <a:gd name="T9" fmla="*/ 337 h 965"/>
                            <a:gd name="T10" fmla="*/ 884 w 1133"/>
                            <a:gd name="T11" fmla="*/ 609 h 965"/>
                            <a:gd name="T12" fmla="*/ 1133 w 1133"/>
                            <a:gd name="T13" fmla="*/ 965 h 965"/>
                            <a:gd name="T14" fmla="*/ 1133 w 1133"/>
                            <a:gd name="T15" fmla="*/ 523 h 965"/>
                            <a:gd name="T16" fmla="*/ 1055 w 1133"/>
                            <a:gd name="T17" fmla="*/ 438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3" h="965">
                              <a:moveTo>
                                <a:pt x="1055" y="438"/>
                              </a:moveTo>
                              <a:cubicBezTo>
                                <a:pt x="917" y="300"/>
                                <a:pt x="753" y="190"/>
                                <a:pt x="571" y="114"/>
                              </a:cubicBezTo>
                              <a:cubicBezTo>
                                <a:pt x="395" y="41"/>
                                <a:pt x="202" y="0"/>
                                <a:pt x="0" y="0"/>
                              </a:cubicBezTo>
                              <a:cubicBezTo>
                                <a:pt x="0" y="242"/>
                                <a:pt x="0" y="242"/>
                                <a:pt x="0" y="242"/>
                              </a:cubicBezTo>
                              <a:cubicBezTo>
                                <a:pt x="169" y="242"/>
                                <a:pt x="331" y="276"/>
                                <a:pt x="478" y="337"/>
                              </a:cubicBezTo>
                              <a:cubicBezTo>
                                <a:pt x="631" y="401"/>
                                <a:pt x="769" y="494"/>
                                <a:pt x="884" y="609"/>
                              </a:cubicBezTo>
                              <a:cubicBezTo>
                                <a:pt x="986" y="712"/>
                                <a:pt x="1071" y="832"/>
                                <a:pt x="1133" y="965"/>
                              </a:cubicBezTo>
                              <a:cubicBezTo>
                                <a:pt x="1133" y="523"/>
                                <a:pt x="1133" y="523"/>
                                <a:pt x="1133" y="523"/>
                              </a:cubicBezTo>
                              <a:cubicBezTo>
                                <a:pt x="1108" y="494"/>
                                <a:pt x="1082" y="465"/>
                                <a:pt x="1055" y="438"/>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wps:cNvSpPr>
                        <a:spLocks/>
                      </wps:cNvSpPr>
                      <wps:spPr bwMode="auto">
                        <a:xfrm>
                          <a:off x="0" y="2860"/>
                          <a:ext cx="3016" cy="1281"/>
                        </a:xfrm>
                        <a:custGeom>
                          <a:avLst/>
                          <a:gdLst>
                            <a:gd name="T0" fmla="*/ 1612 w 2267"/>
                            <a:gd name="T1" fmla="*/ 628 h 965"/>
                            <a:gd name="T2" fmla="*/ 1134 w 2267"/>
                            <a:gd name="T3" fmla="*/ 723 h 965"/>
                            <a:gd name="T4" fmla="*/ 1134 w 2267"/>
                            <a:gd name="T5" fmla="*/ 723 h 965"/>
                            <a:gd name="T6" fmla="*/ 655 w 2267"/>
                            <a:gd name="T7" fmla="*/ 628 h 965"/>
                            <a:gd name="T8" fmla="*/ 249 w 2267"/>
                            <a:gd name="T9" fmla="*/ 356 h 965"/>
                            <a:gd name="T10" fmla="*/ 0 w 2267"/>
                            <a:gd name="T11" fmla="*/ 0 h 965"/>
                            <a:gd name="T12" fmla="*/ 0 w 2267"/>
                            <a:gd name="T13" fmla="*/ 442 h 965"/>
                            <a:gd name="T14" fmla="*/ 78 w 2267"/>
                            <a:gd name="T15" fmla="*/ 527 h 965"/>
                            <a:gd name="T16" fmla="*/ 562 w 2267"/>
                            <a:gd name="T17" fmla="*/ 851 h 965"/>
                            <a:gd name="T18" fmla="*/ 1134 w 2267"/>
                            <a:gd name="T19" fmla="*/ 965 h 965"/>
                            <a:gd name="T20" fmla="*/ 1134 w 2267"/>
                            <a:gd name="T21" fmla="*/ 965 h 965"/>
                            <a:gd name="T22" fmla="*/ 1705 w 2267"/>
                            <a:gd name="T23" fmla="*/ 851 h 965"/>
                            <a:gd name="T24" fmla="*/ 2189 w 2267"/>
                            <a:gd name="T25" fmla="*/ 527 h 965"/>
                            <a:gd name="T26" fmla="*/ 2267 w 2267"/>
                            <a:gd name="T27" fmla="*/ 442 h 965"/>
                            <a:gd name="T28" fmla="*/ 2267 w 2267"/>
                            <a:gd name="T29" fmla="*/ 0 h 965"/>
                            <a:gd name="T30" fmla="*/ 2018 w 2267"/>
                            <a:gd name="T31" fmla="*/ 356 h 965"/>
                            <a:gd name="T32" fmla="*/ 1612 w 2267"/>
                            <a:gd name="T33" fmla="*/ 628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67" h="965">
                              <a:moveTo>
                                <a:pt x="1612" y="628"/>
                              </a:moveTo>
                              <a:cubicBezTo>
                                <a:pt x="1465" y="689"/>
                                <a:pt x="1303" y="723"/>
                                <a:pt x="1134" y="723"/>
                              </a:cubicBezTo>
                              <a:cubicBezTo>
                                <a:pt x="1134" y="723"/>
                                <a:pt x="1134" y="723"/>
                                <a:pt x="1134" y="723"/>
                              </a:cubicBezTo>
                              <a:cubicBezTo>
                                <a:pt x="964" y="723"/>
                                <a:pt x="802" y="689"/>
                                <a:pt x="655" y="628"/>
                              </a:cubicBezTo>
                              <a:cubicBezTo>
                                <a:pt x="502" y="564"/>
                                <a:pt x="365" y="471"/>
                                <a:pt x="249" y="356"/>
                              </a:cubicBezTo>
                              <a:cubicBezTo>
                                <a:pt x="147" y="253"/>
                                <a:pt x="62" y="133"/>
                                <a:pt x="0" y="0"/>
                              </a:cubicBezTo>
                              <a:cubicBezTo>
                                <a:pt x="0" y="442"/>
                                <a:pt x="0" y="442"/>
                                <a:pt x="0" y="442"/>
                              </a:cubicBezTo>
                              <a:cubicBezTo>
                                <a:pt x="25" y="471"/>
                                <a:pt x="51" y="500"/>
                                <a:pt x="78" y="527"/>
                              </a:cubicBezTo>
                              <a:cubicBezTo>
                                <a:pt x="216" y="665"/>
                                <a:pt x="380" y="775"/>
                                <a:pt x="562" y="851"/>
                              </a:cubicBezTo>
                              <a:cubicBezTo>
                                <a:pt x="738" y="924"/>
                                <a:pt x="931" y="965"/>
                                <a:pt x="1134" y="965"/>
                              </a:cubicBezTo>
                              <a:cubicBezTo>
                                <a:pt x="1134" y="965"/>
                                <a:pt x="1134" y="965"/>
                                <a:pt x="1134" y="965"/>
                              </a:cubicBezTo>
                              <a:cubicBezTo>
                                <a:pt x="1336" y="965"/>
                                <a:pt x="1529" y="924"/>
                                <a:pt x="1705" y="851"/>
                              </a:cubicBezTo>
                              <a:cubicBezTo>
                                <a:pt x="1887" y="775"/>
                                <a:pt x="2051" y="665"/>
                                <a:pt x="2189" y="527"/>
                              </a:cubicBezTo>
                              <a:cubicBezTo>
                                <a:pt x="2216" y="500"/>
                                <a:pt x="2242" y="471"/>
                                <a:pt x="2267" y="442"/>
                              </a:cubicBezTo>
                              <a:cubicBezTo>
                                <a:pt x="2267" y="0"/>
                                <a:pt x="2267" y="0"/>
                                <a:pt x="2267" y="0"/>
                              </a:cubicBezTo>
                              <a:cubicBezTo>
                                <a:pt x="2205" y="133"/>
                                <a:pt x="2120" y="253"/>
                                <a:pt x="2018" y="356"/>
                              </a:cubicBezTo>
                              <a:cubicBezTo>
                                <a:pt x="1903" y="471"/>
                                <a:pt x="1765" y="564"/>
                                <a:pt x="1612" y="628"/>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0"/>
                      <wps:cNvSpPr>
                        <a:spLocks/>
                      </wps:cNvSpPr>
                      <wps:spPr bwMode="auto">
                        <a:xfrm>
                          <a:off x="926" y="2669"/>
                          <a:ext cx="1988" cy="1009"/>
                        </a:xfrm>
                        <a:custGeom>
                          <a:avLst/>
                          <a:gdLst>
                            <a:gd name="T0" fmla="*/ 1366 w 1494"/>
                            <a:gd name="T1" fmla="*/ 0 h 760"/>
                            <a:gd name="T2" fmla="*/ 1148 w 1494"/>
                            <a:gd name="T3" fmla="*/ 326 h 760"/>
                            <a:gd name="T4" fmla="*/ 822 w 1494"/>
                            <a:gd name="T5" fmla="*/ 544 h 760"/>
                            <a:gd name="T6" fmla="*/ 438 w 1494"/>
                            <a:gd name="T7" fmla="*/ 621 h 760"/>
                            <a:gd name="T8" fmla="*/ 438 w 1494"/>
                            <a:gd name="T9" fmla="*/ 621 h 760"/>
                            <a:gd name="T10" fmla="*/ 53 w 1494"/>
                            <a:gd name="T11" fmla="*/ 544 h 760"/>
                            <a:gd name="T12" fmla="*/ 0 w 1494"/>
                            <a:gd name="T13" fmla="*/ 672 h 760"/>
                            <a:gd name="T14" fmla="*/ 438 w 1494"/>
                            <a:gd name="T15" fmla="*/ 760 h 760"/>
                            <a:gd name="T16" fmla="*/ 438 w 1494"/>
                            <a:gd name="T17" fmla="*/ 760 h 760"/>
                            <a:gd name="T18" fmla="*/ 875 w 1494"/>
                            <a:gd name="T19" fmla="*/ 672 h 760"/>
                            <a:gd name="T20" fmla="*/ 1246 w 1494"/>
                            <a:gd name="T21" fmla="*/ 424 h 760"/>
                            <a:gd name="T22" fmla="*/ 1494 w 1494"/>
                            <a:gd name="T23" fmla="*/ 54 h 760"/>
                            <a:gd name="T24" fmla="*/ 1366 w 1494"/>
                            <a:gd name="T25"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94" h="760">
                              <a:moveTo>
                                <a:pt x="1366" y="0"/>
                              </a:moveTo>
                              <a:cubicBezTo>
                                <a:pt x="1315" y="123"/>
                                <a:pt x="1240" y="234"/>
                                <a:pt x="1148" y="326"/>
                              </a:cubicBezTo>
                              <a:cubicBezTo>
                                <a:pt x="1055" y="419"/>
                                <a:pt x="945" y="493"/>
                                <a:pt x="822" y="544"/>
                              </a:cubicBezTo>
                              <a:cubicBezTo>
                                <a:pt x="704" y="594"/>
                                <a:pt x="574" y="621"/>
                                <a:pt x="438" y="621"/>
                              </a:cubicBezTo>
                              <a:cubicBezTo>
                                <a:pt x="438" y="621"/>
                                <a:pt x="438" y="621"/>
                                <a:pt x="438" y="621"/>
                              </a:cubicBezTo>
                              <a:cubicBezTo>
                                <a:pt x="301" y="621"/>
                                <a:pt x="172" y="594"/>
                                <a:pt x="53" y="544"/>
                              </a:cubicBezTo>
                              <a:cubicBezTo>
                                <a:pt x="0" y="672"/>
                                <a:pt x="0" y="672"/>
                                <a:pt x="0" y="672"/>
                              </a:cubicBezTo>
                              <a:cubicBezTo>
                                <a:pt x="135" y="728"/>
                                <a:pt x="283" y="760"/>
                                <a:pt x="438" y="760"/>
                              </a:cubicBezTo>
                              <a:cubicBezTo>
                                <a:pt x="438" y="760"/>
                                <a:pt x="438" y="760"/>
                                <a:pt x="438" y="760"/>
                              </a:cubicBezTo>
                              <a:cubicBezTo>
                                <a:pt x="593" y="760"/>
                                <a:pt x="740" y="728"/>
                                <a:pt x="875" y="672"/>
                              </a:cubicBezTo>
                              <a:cubicBezTo>
                                <a:pt x="1015" y="614"/>
                                <a:pt x="1141" y="530"/>
                                <a:pt x="1246" y="424"/>
                              </a:cubicBezTo>
                              <a:cubicBezTo>
                                <a:pt x="1351" y="319"/>
                                <a:pt x="1436" y="193"/>
                                <a:pt x="1494" y="54"/>
                              </a:cubicBezTo>
                              <a:lnTo>
                                <a:pt x="1366"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1"/>
                      <wps:cNvSpPr>
                        <a:spLocks/>
                      </wps:cNvSpPr>
                      <wps:spPr bwMode="auto">
                        <a:xfrm>
                          <a:off x="118" y="641"/>
                          <a:ext cx="2466" cy="1009"/>
                        </a:xfrm>
                        <a:custGeom>
                          <a:avLst/>
                          <a:gdLst>
                            <a:gd name="T0" fmla="*/ 1051 w 1853"/>
                            <a:gd name="T1" fmla="*/ 139 h 760"/>
                            <a:gd name="T2" fmla="*/ 1057 w 1853"/>
                            <a:gd name="T3" fmla="*/ 139 h 760"/>
                            <a:gd name="T4" fmla="*/ 1051 w 1853"/>
                            <a:gd name="T5" fmla="*/ 139 h 760"/>
                            <a:gd name="T6" fmla="*/ 1429 w 1853"/>
                            <a:gd name="T7" fmla="*/ 216 h 760"/>
                            <a:gd name="T8" fmla="*/ 1755 w 1853"/>
                            <a:gd name="T9" fmla="*/ 434 h 760"/>
                            <a:gd name="T10" fmla="*/ 1853 w 1853"/>
                            <a:gd name="T11" fmla="*/ 336 h 760"/>
                            <a:gd name="T12" fmla="*/ 1482 w 1853"/>
                            <a:gd name="T13" fmla="*/ 88 h 760"/>
                            <a:gd name="T14" fmla="*/ 1057 w 1853"/>
                            <a:gd name="T15" fmla="*/ 0 h 760"/>
                            <a:gd name="T16" fmla="*/ 1045 w 1853"/>
                            <a:gd name="T17" fmla="*/ 0 h 760"/>
                            <a:gd name="T18" fmla="*/ 619 w 1853"/>
                            <a:gd name="T19" fmla="*/ 88 h 760"/>
                            <a:gd name="T20" fmla="*/ 248 w 1853"/>
                            <a:gd name="T21" fmla="*/ 336 h 760"/>
                            <a:gd name="T22" fmla="*/ 0 w 1853"/>
                            <a:gd name="T23" fmla="*/ 706 h 760"/>
                            <a:gd name="T24" fmla="*/ 128 w 1853"/>
                            <a:gd name="T25" fmla="*/ 760 h 760"/>
                            <a:gd name="T26" fmla="*/ 346 w 1853"/>
                            <a:gd name="T27" fmla="*/ 434 h 760"/>
                            <a:gd name="T28" fmla="*/ 672 w 1853"/>
                            <a:gd name="T29" fmla="*/ 216 h 760"/>
                            <a:gd name="T30" fmla="*/ 1051 w 1853"/>
                            <a:gd name="T31" fmla="*/ 139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3" h="760">
                              <a:moveTo>
                                <a:pt x="1051" y="139"/>
                              </a:moveTo>
                              <a:cubicBezTo>
                                <a:pt x="1049" y="139"/>
                                <a:pt x="1057" y="139"/>
                                <a:pt x="1057" y="139"/>
                              </a:cubicBezTo>
                              <a:cubicBezTo>
                                <a:pt x="1057" y="139"/>
                                <a:pt x="1053" y="139"/>
                                <a:pt x="1051" y="139"/>
                              </a:cubicBezTo>
                              <a:cubicBezTo>
                                <a:pt x="1185" y="140"/>
                                <a:pt x="1312" y="167"/>
                                <a:pt x="1429" y="216"/>
                              </a:cubicBezTo>
                              <a:cubicBezTo>
                                <a:pt x="1552" y="267"/>
                                <a:pt x="1662" y="341"/>
                                <a:pt x="1755" y="434"/>
                              </a:cubicBezTo>
                              <a:cubicBezTo>
                                <a:pt x="1853" y="336"/>
                                <a:pt x="1853" y="336"/>
                                <a:pt x="1853" y="336"/>
                              </a:cubicBezTo>
                              <a:cubicBezTo>
                                <a:pt x="1748" y="230"/>
                                <a:pt x="1622" y="146"/>
                                <a:pt x="1482" y="88"/>
                              </a:cubicBezTo>
                              <a:cubicBezTo>
                                <a:pt x="1351" y="33"/>
                                <a:pt x="1207" y="2"/>
                                <a:pt x="1057" y="0"/>
                              </a:cubicBezTo>
                              <a:cubicBezTo>
                                <a:pt x="1045" y="0"/>
                                <a:pt x="1045" y="0"/>
                                <a:pt x="1045" y="0"/>
                              </a:cubicBezTo>
                              <a:cubicBezTo>
                                <a:pt x="894" y="2"/>
                                <a:pt x="750" y="33"/>
                                <a:pt x="619" y="88"/>
                              </a:cubicBezTo>
                              <a:cubicBezTo>
                                <a:pt x="479" y="146"/>
                                <a:pt x="354" y="230"/>
                                <a:pt x="248" y="336"/>
                              </a:cubicBezTo>
                              <a:cubicBezTo>
                                <a:pt x="143" y="441"/>
                                <a:pt x="58" y="567"/>
                                <a:pt x="0" y="706"/>
                              </a:cubicBezTo>
                              <a:cubicBezTo>
                                <a:pt x="128" y="760"/>
                                <a:pt x="128" y="760"/>
                                <a:pt x="128" y="760"/>
                              </a:cubicBezTo>
                              <a:cubicBezTo>
                                <a:pt x="179" y="637"/>
                                <a:pt x="254" y="526"/>
                                <a:pt x="346" y="434"/>
                              </a:cubicBezTo>
                              <a:cubicBezTo>
                                <a:pt x="439" y="341"/>
                                <a:pt x="549" y="267"/>
                                <a:pt x="672" y="216"/>
                              </a:cubicBezTo>
                              <a:cubicBezTo>
                                <a:pt x="789" y="167"/>
                                <a:pt x="917" y="140"/>
                                <a:pt x="1051" y="139"/>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84D19FF" id="Group 4" o:spid="_x0000_s1026" style="position:absolute;margin-left:14.15pt;margin-top:14.8pt;width:566.9pt;height:811.8pt;z-index:251658243;mso-position-horizontal-relative:page;mso-position-vertical-relative:page;mso-width-relative:margin;mso-height-relative:margin" coordsize="301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">
              <o:lock v:ext="edit" aspectratio="t"/>
              <v:shape id="Freeform 5" o:spid="_x0000_s1027" style="position:absolute;top:3658;width:2406;height:661;visibility:visible;mso-wrap-style:square;v-text-anchor:top" coordsize="180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" path="m1134,469v,,,,,c917,469,711,426,522,347,327,266,151,148,4,,,5,,5,,5,,222,,222,,222,135,335,287,429,452,498v8,,8,,8,c1134,498,1134,498,1134,498v674,,674,,674,c1745,347,1745,347,1745,347v-188,79,-395,122,-611,122xe" fillcolor="#8cb8cb [1951]" stroked="f">
                <v:path arrowok="t" o:connecttype="custom" o:connectlocs="1509,623;1509,623;695,461;5,0;0,7;0,295;602,661;612,661;1509,661;2406,661;2322,461;1509,623" o:connectangles="0,0,0,0,0,0,0,0,0,0,0,0"/>
              </v:shape>
              <v:shape id="Freeform 6" o:spid="_x0000_s1028" style="position:absolute;left:2322;width:694;height:661;visibility:visible;mso-wrap-style:square;v-text-anchor:top" coordsize="5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" path="m70,c63,,63,,63,,,151,,151,,151v195,81,371,199,518,347c522,493,522,493,522,493v,-217,,-217,,-217c387,163,235,69,70,xe" fillcolor="#8cb8cb [1951]" stroked="f">
                <v:path arrowok="t" o:connecttype="custom" o:connectlocs="93,0;84,0;0,200;689,661;694,654;694,366;93,0" o:connectangles="0,0,0,0,0,0,0"/>
              </v:shape>
              <v:shape id="Freeform 7" o:spid="_x0000_s1029" style="position:absolute;top:759;width:331;height:700;visibility:visible;mso-wrap-style:square;v-text-anchor:top" coordsize="24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" path="m78,c51,27,25,56,,85,,527,,527,,527,62,394,147,274,249,171l78,xe" fillcolor="#4986a0 [3215]" stroked="f">
                <v:path arrowok="t" o:connecttype="custom" o:connectlocs="104,0;0,113;0,700;331,227;104,0" o:connectangles="0,0,0,0,0"/>
              </v:shape>
              <v:shape id="Freeform 8" o:spid="_x0000_s1030" style="position:absolute;left:1509;top:178;width:1507;height:1281;visibility:visible;mso-wrap-style:square;v-text-anchor:top" coordsize="1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" path="m1055,438c917,300,753,190,571,114,395,41,202,,,,,242,,242,,242v169,,331,34,478,95c631,401,769,494,884,609v102,103,187,223,249,356c1133,523,1133,523,1133,523v-25,-29,-51,-58,-78,-85xe" fillcolor="#4986a0 [3215]" stroked="f">
                <v:path arrowok="t" o:connecttype="custom" o:connectlocs="1403,581;759,151;0,0;0,321;636,447;1176,808;1507,1281;1507,694;1403,581" o:connectangles="0,0,0,0,0,0,0,0,0"/>
              </v:shape>
              <v:shape id="Freeform 9" o:spid="_x0000_s1031" style="position:absolute;top:2860;width:3016;height:1281;visibility:visible;mso-wrap-style:square;v-text-anchor:top" coordsize="22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" path="m1612,628v-147,61,-309,95,-478,95c1134,723,1134,723,1134,723,964,723,802,689,655,628,502,564,365,471,249,356,147,253,62,133,,,,442,,442,,442v25,29,51,58,78,85c216,665,380,775,562,851v176,73,369,114,572,114c1134,965,1134,965,1134,965v202,,395,-41,571,-114c1887,775,2051,665,2189,527v27,-27,53,-56,78,-85c2267,,2267,,2267,v-62,133,-147,253,-249,356c1903,471,1765,564,1612,628xe" fillcolor="#4986a0 [3215]" stroked="f">
                <v:path arrowok="t" o:connecttype="custom" o:connectlocs="2145,834;1509,960;1509,960;871,834;331,473;0,0;0,587;104,700;748,1130;1509,1281;1509,1281;2268,1130;2912,700;3016,587;3016,0;2685,473;2145,834" o:connectangles="0,0,0,0,0,0,0,0,0,0,0,0,0,0,0,0,0"/>
              </v:shape>
              <v:shape id="Freeform 10" o:spid="_x0000_s1032" style="position:absolute;left:926;top:2669;width:1988;height:1009;visibility:visible;mso-wrap-style:square;v-text-anchor:top" coordsize="14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" path="m1366,v-51,123,-126,234,-218,326c1055,419,945,493,822,544,704,594,574,621,438,621v,,,,,c301,621,172,594,53,544,,672,,672,,672v135,56,283,88,438,88c438,760,438,760,438,760v155,,302,-32,437,-88c1015,614,1141,530,1246,424,1351,319,1436,193,1494,54l1366,xe" fillcolor="#d50032 [3209]" stroked="f">
                <v:path arrowok="t" o:connecttype="custom" o:connectlocs="1818,0;1528,433;1094,722;583,824;583,824;71,722;0,892;583,1009;583,1009;1164,892;1658,563;1988,72;1818,0" o:connectangles="0,0,0,0,0,0,0,0,0,0,0,0,0"/>
              </v:shape>
              <v:shape id="Freeform 11" o:spid="_x0000_s1033" style="position:absolute;left:118;top:641;width:2466;height:1009;visibility:visible;mso-wrap-style:square;v-text-anchor:top" coordsize="18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" path="m1051,139v-2,,6,,6,c1057,139,1053,139,1051,139v134,1,261,28,378,77c1552,267,1662,341,1755,434v98,-98,98,-98,98,-98c1748,230,1622,146,1482,88,1351,33,1207,2,1057,v-12,,-12,,-12,c894,2,750,33,619,88,479,146,354,230,248,336,143,441,58,567,,706v128,54,128,54,128,54c179,637,254,526,346,434,439,341,549,267,672,216v117,-49,245,-76,379,-77xe" fillcolor="#d50032 [3209]" stroked="f">
                <v:path arrowok="t" o:connecttype="custom" o:connectlocs="1399,185;1407,185;1399,185;1902,287;2336,576;2466,446;1972,117;1407,0;1391,0;824,117;330,446;0,937;170,1009;460,576;894,287;1399,185" o:connectangles="0,0,0,0,0,0,0,0,0,0,0,0,0,0,0,0"/>
              </v:shape>
              <w10:wrap anchorx="page" anchory="page"/>
              <w10:anchorlock/>
            </v:group>
          </w:pict>
        </mc:Fallback>
      </mc:AlternateContent>
    </w:r>
    <w:r w:rsidR="003A30F3" w:rsidRPr="001F59A8">
      <w:rPr>
        <w:noProof/>
        <w:lang w:eastAsia="en-AU"/>
      </w:rPr>
      <w:drawing>
        <wp:anchor distT="0" distB="431800" distL="114300" distR="114300" simplePos="0" relativeHeight="251658242" behindDoc="1" locked="1" layoutInCell="1" allowOverlap="1" wp14:anchorId="03E62720" wp14:editId="2F77AEF9">
          <wp:simplePos x="0" y="0"/>
          <wp:positionH relativeFrom="page">
            <wp:posOffset>720090</wp:posOffset>
          </wp:positionH>
          <wp:positionV relativeFrom="page">
            <wp:posOffset>720090</wp:posOffset>
          </wp:positionV>
          <wp:extent cx="2656800" cy="828000"/>
          <wp:effectExtent l="0" t="0" r="0" b="0"/>
          <wp:wrapTopAndBottom/>
          <wp:docPr id="1331392455" name="Picture 133139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0E2D" w14:textId="6EC45582" w:rsidR="007C7751" w:rsidRDefault="007C775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6911" w14:textId="21183CFF" w:rsidR="007C7751" w:rsidRDefault="007C775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C53DF" w14:textId="2DE9C0A5" w:rsidR="007C7751" w:rsidRDefault="007C775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769A" w14:textId="27F17DF8" w:rsidR="002C3ECC" w:rsidRPr="001F59A8" w:rsidRDefault="002C3EC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8BF1" w14:textId="2AC44A37" w:rsidR="002C3ECC" w:rsidRPr="001F59A8" w:rsidRDefault="002C3EC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A9A5" w14:textId="6F45317B" w:rsidR="002C3ECC" w:rsidRPr="001F59A8" w:rsidRDefault="002C3EC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B6ED" w14:textId="06EC0764" w:rsidR="002C3ECC" w:rsidRPr="001F59A8" w:rsidRDefault="002C3E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156E" w14:textId="61F699DA" w:rsidR="003A30F3" w:rsidRPr="001F59A8" w:rsidRDefault="0088672A" w:rsidP="007C7E2D">
    <w:pPr>
      <w:pStyle w:val="Header"/>
      <w:tabs>
        <w:tab w:val="clear" w:pos="4680"/>
        <w:tab w:val="clear" w:pos="9360"/>
        <w:tab w:val="left" w:pos="2236"/>
      </w:tabs>
    </w:pPr>
    <w:r w:rsidRPr="001F59A8">
      <w:rPr>
        <w:noProof/>
        <w:lang w:eastAsia="en-AU"/>
      </w:rPr>
      <mc:AlternateContent>
        <mc:Choice Requires="wps">
          <w:drawing>
            <wp:anchor distT="0" distB="0" distL="114300" distR="114300" simplePos="0" relativeHeight="251658244" behindDoc="0" locked="1" layoutInCell="0" allowOverlap="1" wp14:anchorId="5B05349F" wp14:editId="3A5803B9">
              <wp:simplePos x="0" y="0"/>
              <wp:positionH relativeFrom="margin">
                <wp:align>center</wp:align>
              </wp:positionH>
              <wp:positionV relativeFrom="topMargin">
                <wp:align>center</wp:align>
              </wp:positionV>
              <wp:extent cx="892175" cy="342900"/>
              <wp:effectExtent l="0" t="0" r="0" b="0"/>
              <wp:wrapNone/>
              <wp:docPr id="515753296" name="janusSEAL SC H_First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DFBE3" w14:textId="386A8111" w:rsidR="0088672A" w:rsidRPr="001F59A8" w:rsidRDefault="0088672A" w:rsidP="0088672A">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05349F" id="_x0000_t202" coordsize="21600,21600" o:spt="202" path="m,l,21600r21600,l21600,xe">
              <v:stroke joinstyle="miter"/>
              <v:path gradientshapeok="t" o:connecttype="rect"/>
            </v:shapetype>
            <v:shape id="janusSEAL SC H_FirstPage" o:spid="_x0000_s1027" type="#_x0000_t202" style="position:absolute;margin-left:0;margin-top:0;width:70.25pt;height:27pt;z-index:25165824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" o:allowincell="f" filled="f" stroked="f" strokeweight=".5pt">
              <v:textbox style="mso-fit-shape-to-text:t">
                <w:txbxContent>
                  <w:p w14:paraId="6EBDFBE3" w14:textId="386A8111" w:rsidR="0088672A" w:rsidRPr="001F59A8" w:rsidRDefault="0088672A" w:rsidP="0088672A">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r w:rsidR="003A30F3" w:rsidRPr="001F59A8">
      <w:rPr>
        <w:noProof/>
        <w:lang w:eastAsia="en-AU"/>
      </w:rPr>
      <mc:AlternateContent>
        <mc:Choice Requires="wpg">
          <w:drawing>
            <wp:anchor distT="0" distB="0" distL="114300" distR="114300" simplePos="0" relativeHeight="251658241" behindDoc="0" locked="1" layoutInCell="1" allowOverlap="1" wp14:anchorId="1D8050B7" wp14:editId="5EA5302E">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809CD48"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ce0058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003A30F3" w:rsidRPr="001F59A8">
      <w:rPr>
        <w:noProof/>
        <w:lang w:eastAsia="en-AU"/>
      </w:rPr>
      <w:drawing>
        <wp:anchor distT="0" distB="431800" distL="114300" distR="114300" simplePos="0" relativeHeight="251658240" behindDoc="1" locked="1" layoutInCell="1" allowOverlap="1" wp14:anchorId="02363B4B" wp14:editId="758D52E8">
          <wp:simplePos x="0" y="0"/>
          <wp:positionH relativeFrom="page">
            <wp:posOffset>720090</wp:posOffset>
          </wp:positionH>
          <wp:positionV relativeFrom="page">
            <wp:posOffset>720090</wp:posOffset>
          </wp:positionV>
          <wp:extent cx="2656800" cy="828000"/>
          <wp:effectExtent l="0" t="0" r="0" b="0"/>
          <wp:wrapTopAndBottom/>
          <wp:docPr id="1071165341" name="Picture 107116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rsidR="003A30F3" w:rsidRPr="001F59A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01EA" w14:textId="3DB12E94" w:rsidR="002C3ECC" w:rsidRPr="001F59A8" w:rsidRDefault="0071743B">
    <w:pPr>
      <w:pStyle w:val="Header"/>
    </w:pPr>
    <w:r w:rsidRPr="001F59A8">
      <w:rPr>
        <w:noProof/>
      </w:rPr>
      <mc:AlternateContent>
        <mc:Choice Requires="wps">
          <w:drawing>
            <wp:anchor distT="0" distB="0" distL="114300" distR="114300" simplePos="0" relativeHeight="251658247" behindDoc="0" locked="1" layoutInCell="0" allowOverlap="1" wp14:anchorId="2F84EB33" wp14:editId="601C1ADB">
              <wp:simplePos x="0" y="0"/>
              <wp:positionH relativeFrom="margin">
                <wp:align>center</wp:align>
              </wp:positionH>
              <wp:positionV relativeFrom="topMargin">
                <wp:align>center</wp:align>
              </wp:positionV>
              <wp:extent cx="892175" cy="342900"/>
              <wp:effectExtent l="0" t="0" r="0" b="0"/>
              <wp:wrapNone/>
              <wp:docPr id="890827076" name="janusSEAL SC H_Even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49E496" w14:textId="60C32EDF"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F84EB33" id="_x0000_t202" coordsize="21600,21600" o:spt="202" path="m,l,21600r21600,l21600,xe">
              <v:stroke joinstyle="miter"/>
              <v:path gradientshapeok="t" o:connecttype="rect"/>
            </v:shapetype>
            <v:shape id="_x0000_s1028" type="#_x0000_t202" style="position:absolute;margin-left:0;margin-top:0;width:70.25pt;height:27pt;z-index:251658247;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" o:allowincell="f" filled="f" stroked="f" strokeweight=".5pt">
              <v:textbox style="mso-fit-shape-to-text:t">
                <w:txbxContent>
                  <w:p w14:paraId="1D49E496" w14:textId="60C32EDF"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8BD7" w14:textId="5BE61777" w:rsidR="003A30F3" w:rsidRPr="001F59A8" w:rsidRDefault="003A30F3" w:rsidP="00633068">
    <w:pPr>
      <w:pStyle w:val="Header"/>
      <w:tabs>
        <w:tab w:val="clear" w:pos="4680"/>
        <w:tab w:val="clear" w:pos="9360"/>
        <w:tab w:val="left" w:pos="22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A930E" w14:textId="50E4DD93" w:rsidR="002C3ECC" w:rsidRPr="001F59A8" w:rsidRDefault="0071743B">
    <w:pPr>
      <w:pStyle w:val="Header"/>
    </w:pPr>
    <w:r w:rsidRPr="001F59A8">
      <w:rPr>
        <w:noProof/>
      </w:rPr>
      <mc:AlternateContent>
        <mc:Choice Requires="wps">
          <w:drawing>
            <wp:anchor distT="0" distB="0" distL="114300" distR="114300" simplePos="0" relativeHeight="251658246" behindDoc="0" locked="1" layoutInCell="0" allowOverlap="1" wp14:anchorId="404DF5DF" wp14:editId="0DECF8AF">
              <wp:simplePos x="0" y="0"/>
              <wp:positionH relativeFrom="margin">
                <wp:align>center</wp:align>
              </wp:positionH>
              <wp:positionV relativeFrom="topMargin">
                <wp:align>center</wp:align>
              </wp:positionV>
              <wp:extent cx="892175" cy="342900"/>
              <wp:effectExtent l="0" t="0" r="0" b="0"/>
              <wp:wrapNone/>
              <wp:docPr id="335050538" name="janusSEAL SC H_First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9A1258" w14:textId="3E2F4486"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4DF5DF" id="_x0000_t202" coordsize="21600,21600" o:spt="202" path="m,l,21600r21600,l21600,xe">
              <v:stroke joinstyle="miter"/>
              <v:path gradientshapeok="t" o:connecttype="rect"/>
            </v:shapetype>
            <v:shape id="_x0000_s1029" type="#_x0000_t202" style="position:absolute;margin-left:0;margin-top:0;width:70.25pt;height:27pt;z-index:25165824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" o:allowincell="f" filled="f" stroked="f" strokeweight=".5pt">
              <v:textbox style="mso-fit-shape-to-text:t">
                <w:txbxContent>
                  <w:p w14:paraId="379A1258" w14:textId="3E2F4486"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C1C0" w14:textId="04B77796" w:rsidR="005130D3" w:rsidRPr="001F59A8" w:rsidRDefault="005130D3">
    <w:pPr>
      <w:pStyle w:val="Header"/>
    </w:pPr>
    <w:r w:rsidRPr="001F59A8">
      <w:rPr>
        <w:noProof/>
      </w:rPr>
      <mc:AlternateContent>
        <mc:Choice Requires="wps">
          <w:drawing>
            <wp:anchor distT="0" distB="0" distL="114300" distR="114300" simplePos="0" relativeHeight="251658249" behindDoc="0" locked="1" layoutInCell="0" allowOverlap="1" wp14:anchorId="0F328BDC" wp14:editId="212C2C20">
              <wp:simplePos x="0" y="0"/>
              <wp:positionH relativeFrom="margin">
                <wp:align>center</wp:align>
              </wp:positionH>
              <wp:positionV relativeFrom="topMargin">
                <wp:align>center</wp:align>
              </wp:positionV>
              <wp:extent cx="1612265" cy="342900"/>
              <wp:effectExtent l="0" t="0" r="0" b="0"/>
              <wp:wrapNone/>
              <wp:docPr id="36342756" name="janusSEAL SC H_EvenPage"/>
              <wp:cNvGraphicFramePr/>
              <a:graphic xmlns:a="http://schemas.openxmlformats.org/drawingml/2006/main">
                <a:graphicData uri="http://schemas.microsoft.com/office/word/2010/wordprocessingShape">
                  <wps:wsp>
                    <wps:cNvSpPr txBox="1"/>
                    <wps:spPr>
                      <a:xfrm>
                        <a:off x="0" y="0"/>
                        <a:ext cx="161226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2688A" w14:textId="4A408214" w:rsidR="005130D3" w:rsidRPr="001F59A8" w:rsidRDefault="005130D3" w:rsidP="00AA7D73">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328BDC" id="_x0000_t202" coordsize="21600,21600" o:spt="202" path="m,l,21600r21600,l21600,xe">
              <v:stroke joinstyle="miter"/>
              <v:path gradientshapeok="t" o:connecttype="rect"/>
            </v:shapetype>
            <v:shape id="_x0000_s1030" type="#_x0000_t202" style="position:absolute;margin-left:0;margin-top:0;width:126.95pt;height:27pt;z-index:251658249;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" o:allowincell="f" filled="f" stroked="f" strokeweight=".5pt">
              <v:textbox style="mso-fit-shape-to-text:t">
                <w:txbxContent>
                  <w:p w14:paraId="2A22688A" w14:textId="4A408214" w:rsidR="005130D3" w:rsidRPr="001F59A8" w:rsidRDefault="005130D3" w:rsidP="00AA7D73">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EC70" w14:textId="6A8ADEC6" w:rsidR="005130D3" w:rsidRPr="001F59A8" w:rsidRDefault="005130D3">
    <w:pPr>
      <w:pStyle w:val="Header"/>
    </w:pPr>
    <w:r w:rsidRPr="001F59A8">
      <w:rPr>
        <w:noProof/>
      </w:rPr>
      <mc:AlternateContent>
        <mc:Choice Requires="wps">
          <w:drawing>
            <wp:anchor distT="0" distB="0" distL="114300" distR="114300" simplePos="0" relativeHeight="251658248" behindDoc="0" locked="1" layoutInCell="0" allowOverlap="1" wp14:anchorId="3AE62049" wp14:editId="297166C4">
              <wp:simplePos x="0" y="0"/>
              <wp:positionH relativeFrom="margin">
                <wp:align>center</wp:align>
              </wp:positionH>
              <wp:positionV relativeFrom="topMargin">
                <wp:align>center</wp:align>
              </wp:positionV>
              <wp:extent cx="1612265" cy="342900"/>
              <wp:effectExtent l="0" t="0" r="0" b="0"/>
              <wp:wrapNone/>
              <wp:docPr id="45978902" name="janusSEAL SC H_FirstPage"/>
              <wp:cNvGraphicFramePr/>
              <a:graphic xmlns:a="http://schemas.openxmlformats.org/drawingml/2006/main">
                <a:graphicData uri="http://schemas.microsoft.com/office/word/2010/wordprocessingShape">
                  <wps:wsp>
                    <wps:cNvSpPr txBox="1"/>
                    <wps:spPr>
                      <a:xfrm>
                        <a:off x="0" y="0"/>
                        <a:ext cx="161226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85D7D" w14:textId="36523157" w:rsidR="005130D3" w:rsidRPr="001F59A8" w:rsidRDefault="005130D3" w:rsidP="00855815">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AE62049" id="_x0000_t202" coordsize="21600,21600" o:spt="202" path="m,l,21600r21600,l21600,xe">
              <v:stroke joinstyle="miter"/>
              <v:path gradientshapeok="t" o:connecttype="rect"/>
            </v:shapetype>
            <v:shape id="_x0000_s1031" type="#_x0000_t202" style="position:absolute;margin-left:0;margin-top:0;width:126.95pt;height:27pt;z-index:25165824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" o:allowincell="f" filled="f" stroked="f" strokeweight=".5pt">
              <v:textbox style="mso-fit-shape-to-text:t">
                <w:txbxContent>
                  <w:p w14:paraId="68F85D7D" w14:textId="36523157" w:rsidR="005130D3" w:rsidRPr="001F59A8" w:rsidRDefault="005130D3" w:rsidP="00855815">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F8D9" w14:textId="3C1D2339" w:rsidR="002C3ECC" w:rsidRPr="001F59A8" w:rsidRDefault="0071743B">
    <w:pPr>
      <w:pStyle w:val="Header"/>
    </w:pPr>
    <w:r w:rsidRPr="001F59A8">
      <w:rPr>
        <w:noProof/>
      </w:rPr>
      <mc:AlternateContent>
        <mc:Choice Requires="wps">
          <w:drawing>
            <wp:anchor distT="0" distB="0" distL="114300" distR="114300" simplePos="0" relativeHeight="251658250" behindDoc="0" locked="1" layoutInCell="0" allowOverlap="1" wp14:anchorId="2D704FFF" wp14:editId="0B228892">
              <wp:simplePos x="0" y="0"/>
              <wp:positionH relativeFrom="margin">
                <wp:align>center</wp:align>
              </wp:positionH>
              <wp:positionV relativeFrom="topMargin">
                <wp:align>center</wp:align>
              </wp:positionV>
              <wp:extent cx="892175" cy="342900"/>
              <wp:effectExtent l="0" t="0" r="0" b="0"/>
              <wp:wrapNone/>
              <wp:docPr id="352055612" name="janusSEAL SC H_EvenPage"/>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E0CE5" w14:textId="2F711123"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704FFF" id="_x0000_t202" coordsize="21600,21600" o:spt="202" path="m,l,21600r21600,l21600,xe">
              <v:stroke joinstyle="miter"/>
              <v:path gradientshapeok="t" o:connecttype="rect"/>
            </v:shapetype>
            <v:shape id="_x0000_s1032" type="#_x0000_t202" style="position:absolute;margin-left:0;margin-top:0;width:70.25pt;height:27pt;z-index:251658250;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" o:allowincell="f" filled="f" stroked="f" strokeweight=".5pt">
              <v:textbox style="mso-fit-shape-to-text:t">
                <w:txbxContent>
                  <w:p w14:paraId="2FBE0CE5" w14:textId="2F711123" w:rsidR="0071743B" w:rsidRPr="001F59A8" w:rsidRDefault="0071743B" w:rsidP="0071743B">
                    <w:pPr>
                      <w:spacing w:before="0" w:after="0"/>
                      <w:jc w:val="center"/>
                      <w:rPr>
                        <w:b/>
                        <w:color w:val="FF0000"/>
                        <w:sz w:val="24"/>
                      </w:rPr>
                    </w:pPr>
                    <w:r w:rsidRPr="001F59A8">
                      <w:rPr>
                        <w:b/>
                        <w:color w:val="FF0000"/>
                        <w:sz w:val="24"/>
                      </w:rPr>
                      <w:fldChar w:fldCharType="begin"/>
                    </w:r>
                    <w:r w:rsidRPr="001F59A8">
                      <w:rPr>
                        <w:b/>
                        <w:color w:val="FF0000"/>
                        <w:sz w:val="24"/>
                      </w:rPr>
                      <w:instrText xml:space="preserve"> DOCPROPERTY PM_ProtectiveMarkingValue_Header \* MERGEFORMAT </w:instrText>
                    </w:r>
                    <w:r w:rsidRPr="001F59A8">
                      <w:rPr>
                        <w:b/>
                        <w:color w:val="FF0000"/>
                        <w:sz w:val="24"/>
                      </w:rPr>
                      <w:fldChar w:fldCharType="separate"/>
                    </w:r>
                    <w:r w:rsidR="003E1323">
                      <w:rPr>
                        <w:b/>
                        <w:color w:val="FF0000"/>
                        <w:sz w:val="24"/>
                      </w:rPr>
                      <w:t>OFFICIAL</w:t>
                    </w:r>
                    <w:r w:rsidRPr="001F59A8">
                      <w:rPr>
                        <w:b/>
                        <w:color w:val="FF0000"/>
                        <w:sz w:val="24"/>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ADA1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F370AC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9AA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F6E1D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41CF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A5CB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74FB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3C4D4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220C7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CEE6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218B6A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774B41"/>
    <w:multiLevelType w:val="hybridMultilevel"/>
    <w:tmpl w:val="A3E626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4420B6A"/>
    <w:multiLevelType w:val="hybridMultilevel"/>
    <w:tmpl w:val="4A262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12247"/>
    <w:multiLevelType w:val="hybridMultilevel"/>
    <w:tmpl w:val="7B16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204161"/>
    <w:multiLevelType w:val="multilevel"/>
    <w:tmpl w:val="B546AD18"/>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decimal"/>
      <w:lvlText w:val="%3."/>
      <w:lvlJc w:val="left"/>
      <w:pPr>
        <w:ind w:left="284" w:hanging="284"/>
      </w:pPr>
      <w:rPr>
        <w:rFonts w:hint="default"/>
      </w:rPr>
    </w:lvl>
    <w:lvl w:ilvl="3">
      <w:start w:val="1"/>
      <w:numFmt w:val="decimal"/>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C3306B"/>
    <w:multiLevelType w:val="hybridMultilevel"/>
    <w:tmpl w:val="1C46F796"/>
    <w:lvl w:ilvl="0" w:tplc="C17080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73066D"/>
    <w:multiLevelType w:val="hybridMultilevel"/>
    <w:tmpl w:val="791CB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D107CD"/>
    <w:multiLevelType w:val="hybridMultilevel"/>
    <w:tmpl w:val="5A1EAAA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DB1044E"/>
    <w:multiLevelType w:val="hybridMultilevel"/>
    <w:tmpl w:val="977E2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E5B66DA"/>
    <w:multiLevelType w:val="hybridMultilevel"/>
    <w:tmpl w:val="165AD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F96766"/>
    <w:multiLevelType w:val="multilevel"/>
    <w:tmpl w:val="7B18E240"/>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5E1A95"/>
    <w:multiLevelType w:val="hybridMultilevel"/>
    <w:tmpl w:val="1074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06F3222"/>
    <w:multiLevelType w:val="hybridMultilevel"/>
    <w:tmpl w:val="FBA81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305DCE"/>
    <w:multiLevelType w:val="hybridMultilevel"/>
    <w:tmpl w:val="C610D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510C0B"/>
    <w:multiLevelType w:val="multilevel"/>
    <w:tmpl w:val="3D66CBA2"/>
    <w:numStyleLink w:val="CustomNumberlist"/>
  </w:abstractNum>
  <w:abstractNum w:abstractNumId="26" w15:restartNumberingAfterBreak="0">
    <w:nsid w:val="160F6B5B"/>
    <w:multiLevelType w:val="hybridMultilevel"/>
    <w:tmpl w:val="85488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800602D"/>
    <w:multiLevelType w:val="hybridMultilevel"/>
    <w:tmpl w:val="F088492A"/>
    <w:lvl w:ilvl="0" w:tplc="253E08A6">
      <w:start w:val="1"/>
      <w:numFmt w:val="bullet"/>
      <w:lvlText w:val=""/>
      <w:lvlJc w:val="left"/>
      <w:pPr>
        <w:ind w:left="720" w:hanging="360"/>
      </w:pPr>
      <w:rPr>
        <w:rFonts w:ascii="Symbol" w:hAnsi="Symbol"/>
      </w:rPr>
    </w:lvl>
    <w:lvl w:ilvl="1" w:tplc="36D29614">
      <w:start w:val="1"/>
      <w:numFmt w:val="bullet"/>
      <w:lvlText w:val=""/>
      <w:lvlJc w:val="left"/>
      <w:pPr>
        <w:ind w:left="720" w:hanging="360"/>
      </w:pPr>
      <w:rPr>
        <w:rFonts w:ascii="Symbol" w:hAnsi="Symbol"/>
      </w:rPr>
    </w:lvl>
    <w:lvl w:ilvl="2" w:tplc="F03259C4">
      <w:start w:val="1"/>
      <w:numFmt w:val="bullet"/>
      <w:lvlText w:val=""/>
      <w:lvlJc w:val="left"/>
      <w:pPr>
        <w:ind w:left="720" w:hanging="360"/>
      </w:pPr>
      <w:rPr>
        <w:rFonts w:ascii="Symbol" w:hAnsi="Symbol"/>
      </w:rPr>
    </w:lvl>
    <w:lvl w:ilvl="3" w:tplc="06B2411C">
      <w:start w:val="1"/>
      <w:numFmt w:val="bullet"/>
      <w:lvlText w:val=""/>
      <w:lvlJc w:val="left"/>
      <w:pPr>
        <w:ind w:left="720" w:hanging="360"/>
      </w:pPr>
      <w:rPr>
        <w:rFonts w:ascii="Symbol" w:hAnsi="Symbol"/>
      </w:rPr>
    </w:lvl>
    <w:lvl w:ilvl="4" w:tplc="3F7278F0">
      <w:start w:val="1"/>
      <w:numFmt w:val="bullet"/>
      <w:lvlText w:val=""/>
      <w:lvlJc w:val="left"/>
      <w:pPr>
        <w:ind w:left="720" w:hanging="360"/>
      </w:pPr>
      <w:rPr>
        <w:rFonts w:ascii="Symbol" w:hAnsi="Symbol"/>
      </w:rPr>
    </w:lvl>
    <w:lvl w:ilvl="5" w:tplc="32CC4DBA">
      <w:start w:val="1"/>
      <w:numFmt w:val="bullet"/>
      <w:lvlText w:val=""/>
      <w:lvlJc w:val="left"/>
      <w:pPr>
        <w:ind w:left="720" w:hanging="360"/>
      </w:pPr>
      <w:rPr>
        <w:rFonts w:ascii="Symbol" w:hAnsi="Symbol"/>
      </w:rPr>
    </w:lvl>
    <w:lvl w:ilvl="6" w:tplc="70B2CA46">
      <w:start w:val="1"/>
      <w:numFmt w:val="bullet"/>
      <w:lvlText w:val=""/>
      <w:lvlJc w:val="left"/>
      <w:pPr>
        <w:ind w:left="720" w:hanging="360"/>
      </w:pPr>
      <w:rPr>
        <w:rFonts w:ascii="Symbol" w:hAnsi="Symbol"/>
      </w:rPr>
    </w:lvl>
    <w:lvl w:ilvl="7" w:tplc="662640E6">
      <w:start w:val="1"/>
      <w:numFmt w:val="bullet"/>
      <w:lvlText w:val=""/>
      <w:lvlJc w:val="left"/>
      <w:pPr>
        <w:ind w:left="720" w:hanging="360"/>
      </w:pPr>
      <w:rPr>
        <w:rFonts w:ascii="Symbol" w:hAnsi="Symbol"/>
      </w:rPr>
    </w:lvl>
    <w:lvl w:ilvl="8" w:tplc="312E05B8">
      <w:start w:val="1"/>
      <w:numFmt w:val="bullet"/>
      <w:lvlText w:val=""/>
      <w:lvlJc w:val="left"/>
      <w:pPr>
        <w:ind w:left="720" w:hanging="360"/>
      </w:pPr>
      <w:rPr>
        <w:rFonts w:ascii="Symbol" w:hAnsi="Symbol"/>
      </w:rPr>
    </w:lvl>
  </w:abstractNum>
  <w:abstractNum w:abstractNumId="28" w15:restartNumberingAfterBreak="0">
    <w:nsid w:val="183E3402"/>
    <w:multiLevelType w:val="hybridMultilevel"/>
    <w:tmpl w:val="1A7669D8"/>
    <w:lvl w:ilvl="0" w:tplc="521667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B3C049B"/>
    <w:multiLevelType w:val="multilevel"/>
    <w:tmpl w:val="6D9A2BC2"/>
    <w:numStyleLink w:val="NumberedHeadings"/>
  </w:abstractNum>
  <w:abstractNum w:abstractNumId="30" w15:restartNumberingAfterBreak="0">
    <w:nsid w:val="1E8052EF"/>
    <w:multiLevelType w:val="multilevel"/>
    <w:tmpl w:val="DF4A9966"/>
    <w:numStyleLink w:val="TableBullets"/>
  </w:abstractNum>
  <w:abstractNum w:abstractNumId="31"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2391238"/>
    <w:multiLevelType w:val="multilevel"/>
    <w:tmpl w:val="6D9A2BC2"/>
    <w:numStyleLink w:val="NumberedHeadings"/>
  </w:abstractNum>
  <w:abstractNum w:abstractNumId="33" w15:restartNumberingAfterBreak="0">
    <w:nsid w:val="2253000B"/>
    <w:multiLevelType w:val="hybridMultilevel"/>
    <w:tmpl w:val="C0424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666CF7"/>
    <w:multiLevelType w:val="hybridMultilevel"/>
    <w:tmpl w:val="79C2A746"/>
    <w:lvl w:ilvl="0" w:tplc="05FAA4D8">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22CC1EEF"/>
    <w:multiLevelType w:val="hybridMultilevel"/>
    <w:tmpl w:val="B746A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062F38"/>
    <w:multiLevelType w:val="hybridMultilevel"/>
    <w:tmpl w:val="8C38C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82205C"/>
    <w:multiLevelType w:val="hybridMultilevel"/>
    <w:tmpl w:val="64F2E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9E348D"/>
    <w:multiLevelType w:val="multilevel"/>
    <w:tmpl w:val="3D66CBA2"/>
    <w:numStyleLink w:val="CustomNumberlist"/>
  </w:abstractNum>
  <w:abstractNum w:abstractNumId="39" w15:restartNumberingAfterBreak="0">
    <w:nsid w:val="373939A7"/>
    <w:multiLevelType w:val="hybridMultilevel"/>
    <w:tmpl w:val="F39EA862"/>
    <w:lvl w:ilvl="0" w:tplc="A8B6EDDC">
      <w:start w:val="1"/>
      <w:numFmt w:val="bullet"/>
      <w:lvlText w:val="–"/>
      <w:lvlJc w:val="left"/>
      <w:pPr>
        <w:ind w:left="774" w:hanging="360"/>
      </w:pPr>
      <w:rPr>
        <w:rFonts w:ascii="Arial" w:hAnsi="Aria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0" w15:restartNumberingAfterBreak="0">
    <w:nsid w:val="37450114"/>
    <w:multiLevelType w:val="hybridMultilevel"/>
    <w:tmpl w:val="25D854F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387F2B8B"/>
    <w:multiLevelType w:val="hybridMultilevel"/>
    <w:tmpl w:val="3FA05596"/>
    <w:lvl w:ilvl="0" w:tplc="B5B442AC">
      <w:start w:val="1"/>
      <w:numFmt w:val="bullet"/>
      <w:lvlText w:val="•"/>
      <w:lvlJc w:val="left"/>
      <w:pPr>
        <w:tabs>
          <w:tab w:val="num" w:pos="720"/>
        </w:tabs>
        <w:ind w:left="720" w:hanging="360"/>
      </w:pPr>
      <w:rPr>
        <w:rFonts w:ascii="Arial" w:hAnsi="Arial" w:hint="default"/>
      </w:rPr>
    </w:lvl>
    <w:lvl w:ilvl="1" w:tplc="53B4750E" w:tentative="1">
      <w:start w:val="1"/>
      <w:numFmt w:val="bullet"/>
      <w:lvlText w:val="•"/>
      <w:lvlJc w:val="left"/>
      <w:pPr>
        <w:tabs>
          <w:tab w:val="num" w:pos="1440"/>
        </w:tabs>
        <w:ind w:left="1440" w:hanging="360"/>
      </w:pPr>
      <w:rPr>
        <w:rFonts w:ascii="Arial" w:hAnsi="Arial" w:hint="default"/>
      </w:rPr>
    </w:lvl>
    <w:lvl w:ilvl="2" w:tplc="F962F1A0" w:tentative="1">
      <w:start w:val="1"/>
      <w:numFmt w:val="bullet"/>
      <w:lvlText w:val="•"/>
      <w:lvlJc w:val="left"/>
      <w:pPr>
        <w:tabs>
          <w:tab w:val="num" w:pos="2160"/>
        </w:tabs>
        <w:ind w:left="2160" w:hanging="360"/>
      </w:pPr>
      <w:rPr>
        <w:rFonts w:ascii="Arial" w:hAnsi="Arial" w:hint="default"/>
      </w:rPr>
    </w:lvl>
    <w:lvl w:ilvl="3" w:tplc="33B619E4">
      <w:numFmt w:val="bullet"/>
      <w:lvlText w:val="‒"/>
      <w:lvlJc w:val="left"/>
      <w:pPr>
        <w:tabs>
          <w:tab w:val="num" w:pos="2880"/>
        </w:tabs>
        <w:ind w:left="2880" w:hanging="360"/>
      </w:pPr>
      <w:rPr>
        <w:rFonts w:ascii="Arial" w:hAnsi="Arial" w:hint="default"/>
      </w:rPr>
    </w:lvl>
    <w:lvl w:ilvl="4" w:tplc="A86A77F6" w:tentative="1">
      <w:start w:val="1"/>
      <w:numFmt w:val="bullet"/>
      <w:lvlText w:val="•"/>
      <w:lvlJc w:val="left"/>
      <w:pPr>
        <w:tabs>
          <w:tab w:val="num" w:pos="3600"/>
        </w:tabs>
        <w:ind w:left="3600" w:hanging="360"/>
      </w:pPr>
      <w:rPr>
        <w:rFonts w:ascii="Arial" w:hAnsi="Arial" w:hint="default"/>
      </w:rPr>
    </w:lvl>
    <w:lvl w:ilvl="5" w:tplc="B92EA4DC" w:tentative="1">
      <w:start w:val="1"/>
      <w:numFmt w:val="bullet"/>
      <w:lvlText w:val="•"/>
      <w:lvlJc w:val="left"/>
      <w:pPr>
        <w:tabs>
          <w:tab w:val="num" w:pos="4320"/>
        </w:tabs>
        <w:ind w:left="4320" w:hanging="360"/>
      </w:pPr>
      <w:rPr>
        <w:rFonts w:ascii="Arial" w:hAnsi="Arial" w:hint="default"/>
      </w:rPr>
    </w:lvl>
    <w:lvl w:ilvl="6" w:tplc="1E70FF8C" w:tentative="1">
      <w:start w:val="1"/>
      <w:numFmt w:val="bullet"/>
      <w:lvlText w:val="•"/>
      <w:lvlJc w:val="left"/>
      <w:pPr>
        <w:tabs>
          <w:tab w:val="num" w:pos="5040"/>
        </w:tabs>
        <w:ind w:left="5040" w:hanging="360"/>
      </w:pPr>
      <w:rPr>
        <w:rFonts w:ascii="Arial" w:hAnsi="Arial" w:hint="default"/>
      </w:rPr>
    </w:lvl>
    <w:lvl w:ilvl="7" w:tplc="60E80CE2" w:tentative="1">
      <w:start w:val="1"/>
      <w:numFmt w:val="bullet"/>
      <w:lvlText w:val="•"/>
      <w:lvlJc w:val="left"/>
      <w:pPr>
        <w:tabs>
          <w:tab w:val="num" w:pos="5760"/>
        </w:tabs>
        <w:ind w:left="5760" w:hanging="360"/>
      </w:pPr>
      <w:rPr>
        <w:rFonts w:ascii="Arial" w:hAnsi="Arial" w:hint="default"/>
      </w:rPr>
    </w:lvl>
    <w:lvl w:ilvl="8" w:tplc="7D441B6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9122C75"/>
    <w:multiLevelType w:val="hybridMultilevel"/>
    <w:tmpl w:val="5588C4D6"/>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9C20E77"/>
    <w:multiLevelType w:val="multilevel"/>
    <w:tmpl w:val="6D9A2BC2"/>
    <w:numStyleLink w:val="NumberedHeadings"/>
  </w:abstractNum>
  <w:abstractNum w:abstractNumId="44" w15:restartNumberingAfterBreak="0">
    <w:nsid w:val="3AA454D7"/>
    <w:multiLevelType w:val="multilevel"/>
    <w:tmpl w:val="6D9A2BC2"/>
    <w:numStyleLink w:val="NumberedHeadings"/>
  </w:abstractNum>
  <w:abstractNum w:abstractNumId="45" w15:restartNumberingAfterBreak="0">
    <w:nsid w:val="3CA95606"/>
    <w:multiLevelType w:val="hybridMultilevel"/>
    <w:tmpl w:val="D0167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737C09"/>
    <w:multiLevelType w:val="hybridMultilevel"/>
    <w:tmpl w:val="BBC295E8"/>
    <w:lvl w:ilvl="0" w:tplc="5464E76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9B1711"/>
    <w:multiLevelType w:val="hybridMultilevel"/>
    <w:tmpl w:val="36A4B8AC"/>
    <w:lvl w:ilvl="0" w:tplc="3DD68BD2">
      <w:start w:val="1"/>
      <w:numFmt w:val="decimal"/>
      <w:lvlText w:val="%1."/>
      <w:lvlJc w:val="left"/>
      <w:pPr>
        <w:ind w:left="1020" w:hanging="360"/>
      </w:pPr>
    </w:lvl>
    <w:lvl w:ilvl="1" w:tplc="A2262B58">
      <w:start w:val="1"/>
      <w:numFmt w:val="decimal"/>
      <w:lvlText w:val="%2."/>
      <w:lvlJc w:val="left"/>
      <w:pPr>
        <w:ind w:left="1020" w:hanging="360"/>
      </w:pPr>
    </w:lvl>
    <w:lvl w:ilvl="2" w:tplc="5AAE2D80">
      <w:start w:val="1"/>
      <w:numFmt w:val="decimal"/>
      <w:lvlText w:val="%3."/>
      <w:lvlJc w:val="left"/>
      <w:pPr>
        <w:ind w:left="1020" w:hanging="360"/>
      </w:pPr>
    </w:lvl>
    <w:lvl w:ilvl="3" w:tplc="EFA071F8">
      <w:start w:val="1"/>
      <w:numFmt w:val="decimal"/>
      <w:lvlText w:val="%4."/>
      <w:lvlJc w:val="left"/>
      <w:pPr>
        <w:ind w:left="1020" w:hanging="360"/>
      </w:pPr>
    </w:lvl>
    <w:lvl w:ilvl="4" w:tplc="B5F646F8">
      <w:start w:val="1"/>
      <w:numFmt w:val="decimal"/>
      <w:lvlText w:val="%5."/>
      <w:lvlJc w:val="left"/>
      <w:pPr>
        <w:ind w:left="1020" w:hanging="360"/>
      </w:pPr>
    </w:lvl>
    <w:lvl w:ilvl="5" w:tplc="23DC3B34">
      <w:start w:val="1"/>
      <w:numFmt w:val="decimal"/>
      <w:lvlText w:val="%6."/>
      <w:lvlJc w:val="left"/>
      <w:pPr>
        <w:ind w:left="1020" w:hanging="360"/>
      </w:pPr>
    </w:lvl>
    <w:lvl w:ilvl="6" w:tplc="B3ECE7F4">
      <w:start w:val="1"/>
      <w:numFmt w:val="decimal"/>
      <w:lvlText w:val="%7."/>
      <w:lvlJc w:val="left"/>
      <w:pPr>
        <w:ind w:left="1020" w:hanging="360"/>
      </w:pPr>
    </w:lvl>
    <w:lvl w:ilvl="7" w:tplc="3F900D22">
      <w:start w:val="1"/>
      <w:numFmt w:val="decimal"/>
      <w:lvlText w:val="%8."/>
      <w:lvlJc w:val="left"/>
      <w:pPr>
        <w:ind w:left="1020" w:hanging="360"/>
      </w:pPr>
    </w:lvl>
    <w:lvl w:ilvl="8" w:tplc="3E722FF6">
      <w:start w:val="1"/>
      <w:numFmt w:val="decimal"/>
      <w:lvlText w:val="%9."/>
      <w:lvlJc w:val="left"/>
      <w:pPr>
        <w:ind w:left="1020" w:hanging="360"/>
      </w:pPr>
    </w:lvl>
  </w:abstractNum>
  <w:abstractNum w:abstractNumId="49" w15:restartNumberingAfterBreak="0">
    <w:nsid w:val="41AD5117"/>
    <w:multiLevelType w:val="hybridMultilevel"/>
    <w:tmpl w:val="3514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4E7DCB"/>
    <w:multiLevelType w:val="hybridMultilevel"/>
    <w:tmpl w:val="365AA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7050C6"/>
    <w:multiLevelType w:val="hybridMultilevel"/>
    <w:tmpl w:val="2A80CA32"/>
    <w:lvl w:ilvl="0" w:tplc="4796CD60">
      <w:start w:val="1"/>
      <w:numFmt w:val="bullet"/>
      <w:pStyle w:val="Pull-outBullet1"/>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pStyle w:val="Pull-outListNumber1"/>
      <w:lvlText w:val=""/>
      <w:lvlJc w:val="left"/>
      <w:pPr>
        <w:ind w:left="2160" w:hanging="360"/>
      </w:pPr>
      <w:rPr>
        <w:rFonts w:ascii="Wingdings" w:hAnsi="Wingdings" w:hint="default"/>
      </w:rPr>
    </w:lvl>
    <w:lvl w:ilvl="3" w:tplc="0C090001" w:tentative="1">
      <w:start w:val="1"/>
      <w:numFmt w:val="bullet"/>
      <w:pStyle w:val="Pull-outListNumber2"/>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7AB1F67"/>
    <w:multiLevelType w:val="multilevel"/>
    <w:tmpl w:val="A86A987C"/>
    <w:lvl w:ilvl="0">
      <w:start w:val="1"/>
      <w:numFmt w:val="bullet"/>
      <w:lvlText w:val=""/>
      <w:lvlJc w:val="left"/>
      <w:pPr>
        <w:ind w:left="567" w:hanging="567"/>
      </w:pPr>
      <w:rPr>
        <w:rFonts w:ascii="Symbol" w:hAnsi="Symbol"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A8B0109"/>
    <w:multiLevelType w:val="multilevel"/>
    <w:tmpl w:val="3D66CBA2"/>
    <w:numStyleLink w:val="CustomNumberlist"/>
  </w:abstractNum>
  <w:abstractNum w:abstractNumId="55" w15:restartNumberingAfterBreak="0">
    <w:nsid w:val="4BD979BE"/>
    <w:multiLevelType w:val="hybridMultilevel"/>
    <w:tmpl w:val="679A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464BC9"/>
    <w:multiLevelType w:val="hybridMultilevel"/>
    <w:tmpl w:val="28F47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FD57B6"/>
    <w:multiLevelType w:val="hybridMultilevel"/>
    <w:tmpl w:val="46D26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E90778"/>
    <w:multiLevelType w:val="hybridMultilevel"/>
    <w:tmpl w:val="55B4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F472098"/>
    <w:multiLevelType w:val="hybridMultilevel"/>
    <w:tmpl w:val="5DA87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2713E0"/>
    <w:multiLevelType w:val="hybridMultilevel"/>
    <w:tmpl w:val="581CB504"/>
    <w:lvl w:ilvl="0" w:tplc="A8B6EDDC">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42963A3"/>
    <w:multiLevelType w:val="multilevel"/>
    <w:tmpl w:val="15E08EDC"/>
    <w:lvl w:ilvl="0">
      <w:start w:val="1"/>
      <w:numFmt w:val="decimal"/>
      <w:lvlText w:val="%1."/>
      <w:lvlJc w:val="left"/>
      <w:pPr>
        <w:tabs>
          <w:tab w:val="num" w:pos="360"/>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284" w:hanging="28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4690896"/>
    <w:multiLevelType w:val="hybridMultilevel"/>
    <w:tmpl w:val="362A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6A26AF"/>
    <w:multiLevelType w:val="hybridMultilevel"/>
    <w:tmpl w:val="A6300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FD29AD"/>
    <w:multiLevelType w:val="hybridMultilevel"/>
    <w:tmpl w:val="F522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8C3DA8"/>
    <w:multiLevelType w:val="hybridMultilevel"/>
    <w:tmpl w:val="48B6D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156AFD"/>
    <w:multiLevelType w:val="hybridMultilevel"/>
    <w:tmpl w:val="6D0A7086"/>
    <w:lvl w:ilvl="0" w:tplc="E86E71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C26971"/>
    <w:multiLevelType w:val="hybridMultilevel"/>
    <w:tmpl w:val="CFF0AB76"/>
    <w:lvl w:ilvl="0" w:tplc="6466F31E">
      <w:start w:val="1"/>
      <w:numFmt w:val="decimal"/>
      <w:lvlText w:val="%1."/>
      <w:lvlJc w:val="left"/>
      <w:pPr>
        <w:ind w:left="1020" w:hanging="360"/>
      </w:pPr>
    </w:lvl>
    <w:lvl w:ilvl="1" w:tplc="4D369298">
      <w:start w:val="1"/>
      <w:numFmt w:val="decimal"/>
      <w:lvlText w:val="%2."/>
      <w:lvlJc w:val="left"/>
      <w:pPr>
        <w:ind w:left="1020" w:hanging="360"/>
      </w:pPr>
    </w:lvl>
    <w:lvl w:ilvl="2" w:tplc="589CD52A">
      <w:start w:val="1"/>
      <w:numFmt w:val="decimal"/>
      <w:lvlText w:val="%3."/>
      <w:lvlJc w:val="left"/>
      <w:pPr>
        <w:ind w:left="1020" w:hanging="360"/>
      </w:pPr>
    </w:lvl>
    <w:lvl w:ilvl="3" w:tplc="62B429FE">
      <w:start w:val="1"/>
      <w:numFmt w:val="decimal"/>
      <w:lvlText w:val="%4."/>
      <w:lvlJc w:val="left"/>
      <w:pPr>
        <w:ind w:left="1020" w:hanging="360"/>
      </w:pPr>
    </w:lvl>
    <w:lvl w:ilvl="4" w:tplc="381CD9C0">
      <w:start w:val="1"/>
      <w:numFmt w:val="decimal"/>
      <w:lvlText w:val="%5."/>
      <w:lvlJc w:val="left"/>
      <w:pPr>
        <w:ind w:left="1020" w:hanging="360"/>
      </w:pPr>
    </w:lvl>
    <w:lvl w:ilvl="5" w:tplc="5A587BBA">
      <w:start w:val="1"/>
      <w:numFmt w:val="decimal"/>
      <w:lvlText w:val="%6."/>
      <w:lvlJc w:val="left"/>
      <w:pPr>
        <w:ind w:left="1020" w:hanging="360"/>
      </w:pPr>
    </w:lvl>
    <w:lvl w:ilvl="6" w:tplc="3440C8DE">
      <w:start w:val="1"/>
      <w:numFmt w:val="decimal"/>
      <w:lvlText w:val="%7."/>
      <w:lvlJc w:val="left"/>
      <w:pPr>
        <w:ind w:left="1020" w:hanging="360"/>
      </w:pPr>
    </w:lvl>
    <w:lvl w:ilvl="7" w:tplc="72D0309C">
      <w:start w:val="1"/>
      <w:numFmt w:val="decimal"/>
      <w:lvlText w:val="%8."/>
      <w:lvlJc w:val="left"/>
      <w:pPr>
        <w:ind w:left="1020" w:hanging="360"/>
      </w:pPr>
    </w:lvl>
    <w:lvl w:ilvl="8" w:tplc="3DC86E00">
      <w:start w:val="1"/>
      <w:numFmt w:val="decimal"/>
      <w:lvlText w:val="%9."/>
      <w:lvlJc w:val="left"/>
      <w:pPr>
        <w:ind w:left="1020" w:hanging="360"/>
      </w:pPr>
    </w:lvl>
  </w:abstractNum>
  <w:abstractNum w:abstractNumId="68" w15:restartNumberingAfterBreak="0">
    <w:nsid w:val="5D69572B"/>
    <w:multiLevelType w:val="hybridMultilevel"/>
    <w:tmpl w:val="8DE06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C84B28"/>
    <w:multiLevelType w:val="hybridMultilevel"/>
    <w:tmpl w:val="E50C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3D30B6"/>
    <w:multiLevelType w:val="hybridMultilevel"/>
    <w:tmpl w:val="FC20E16C"/>
    <w:lvl w:ilvl="0" w:tplc="A8B6EDD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5A06F0B"/>
    <w:multiLevelType w:val="hybridMultilevel"/>
    <w:tmpl w:val="6E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505317"/>
    <w:multiLevelType w:val="multilevel"/>
    <w:tmpl w:val="3D66CBA2"/>
    <w:numStyleLink w:val="CustomNumberlist"/>
  </w:abstractNum>
  <w:abstractNum w:abstractNumId="73" w15:restartNumberingAfterBreak="0">
    <w:nsid w:val="66603CFA"/>
    <w:multiLevelType w:val="hybridMultilevel"/>
    <w:tmpl w:val="095209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51306C"/>
    <w:multiLevelType w:val="hybridMultilevel"/>
    <w:tmpl w:val="CB40D352"/>
    <w:lvl w:ilvl="0" w:tplc="5464E76C">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5" w15:restartNumberingAfterBreak="0">
    <w:nsid w:val="69146A0B"/>
    <w:multiLevelType w:val="hybridMultilevel"/>
    <w:tmpl w:val="DE00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9884D5B"/>
    <w:multiLevelType w:val="hybridMultilevel"/>
    <w:tmpl w:val="BD20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9A520B5"/>
    <w:multiLevelType w:val="hybridMultilevel"/>
    <w:tmpl w:val="FC608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B671F93"/>
    <w:multiLevelType w:val="hybridMultilevel"/>
    <w:tmpl w:val="0706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CC92B97"/>
    <w:multiLevelType w:val="hybridMultilevel"/>
    <w:tmpl w:val="F3967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F0E3BAC"/>
    <w:multiLevelType w:val="hybridMultilevel"/>
    <w:tmpl w:val="DFAED5E8"/>
    <w:lvl w:ilvl="0" w:tplc="A8B6EDDC">
      <w:start w:val="1"/>
      <w:numFmt w:val="bullet"/>
      <w:lvlText w:val="–"/>
      <w:lvlJc w:val="left"/>
      <w:pPr>
        <w:ind w:left="774" w:hanging="360"/>
      </w:pPr>
      <w:rPr>
        <w:rFonts w:ascii="Arial" w:hAnsi="Aria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6FD63515"/>
    <w:multiLevelType w:val="hybridMultilevel"/>
    <w:tmpl w:val="28F00AC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3" w15:restartNumberingAfterBreak="0">
    <w:nsid w:val="70454A82"/>
    <w:multiLevelType w:val="hybridMultilevel"/>
    <w:tmpl w:val="3790E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732D36"/>
    <w:multiLevelType w:val="multilevel"/>
    <w:tmpl w:val="ABC89444"/>
    <w:styleLink w:val="Pull-outlists"/>
    <w:lvl w:ilvl="0">
      <w:start w:val="1"/>
      <w:numFmt w:val="bullet"/>
      <w:lvlText w:val=""/>
      <w:lvlJc w:val="left"/>
      <w:pPr>
        <w:ind w:left="284" w:hanging="284"/>
      </w:pPr>
      <w:rPr>
        <w:rFonts w:ascii="Symbol" w:hAnsi="Symbol" w:cs="Times New Roman" w:hint="default"/>
      </w:rPr>
    </w:lvl>
    <w:lvl w:ilvl="1">
      <w:start w:val="1"/>
      <w:numFmt w:val="bullet"/>
      <w:lvlText w:val="–"/>
      <w:lvlJc w:val="left"/>
      <w:pPr>
        <w:ind w:left="567" w:hanging="283"/>
      </w:pPr>
      <w:rPr>
        <w:rFonts w:ascii="Times New Roman" w:hAnsi="Times New Roman" w:cs="Times New Roman" w:hint="default"/>
      </w:rPr>
    </w:lvl>
    <w:lvl w:ilvl="2">
      <w:start w:val="1"/>
      <w:numFmt w:val="decimal"/>
      <w:lvlText w:val="%3."/>
      <w:lvlJc w:val="left"/>
      <w:pPr>
        <w:ind w:left="284" w:hanging="284"/>
      </w:pPr>
      <w:rPr>
        <w:rFonts w:hint="default"/>
      </w:rPr>
    </w:lvl>
    <w:lvl w:ilvl="3">
      <w:start w:val="1"/>
      <w:numFmt w:val="decimal"/>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0B94C37"/>
    <w:multiLevelType w:val="hybridMultilevel"/>
    <w:tmpl w:val="3314023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6" w15:restartNumberingAfterBreak="0">
    <w:nsid w:val="73F72883"/>
    <w:multiLevelType w:val="hybridMultilevel"/>
    <w:tmpl w:val="CF9A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5661215"/>
    <w:multiLevelType w:val="hybridMultilevel"/>
    <w:tmpl w:val="C3A4F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010374"/>
    <w:multiLevelType w:val="hybridMultilevel"/>
    <w:tmpl w:val="1730FD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C3E2787"/>
    <w:multiLevelType w:val="hybridMultilevel"/>
    <w:tmpl w:val="511C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FB05A6D"/>
    <w:multiLevelType w:val="hybridMultilevel"/>
    <w:tmpl w:val="9FE8F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7761702">
    <w:abstractNumId w:val="10"/>
  </w:num>
  <w:num w:numId="2" w16cid:durableId="1344433312">
    <w:abstractNumId w:val="8"/>
  </w:num>
  <w:num w:numId="3" w16cid:durableId="950087547">
    <w:abstractNumId w:val="7"/>
  </w:num>
  <w:num w:numId="4" w16cid:durableId="2039115995">
    <w:abstractNumId w:val="6"/>
  </w:num>
  <w:num w:numId="5" w16cid:durableId="1712607341">
    <w:abstractNumId w:val="5"/>
  </w:num>
  <w:num w:numId="6" w16cid:durableId="1740592893">
    <w:abstractNumId w:val="9"/>
  </w:num>
  <w:num w:numId="7" w16cid:durableId="1457529708">
    <w:abstractNumId w:val="4"/>
  </w:num>
  <w:num w:numId="8" w16cid:durableId="566962311">
    <w:abstractNumId w:val="3"/>
  </w:num>
  <w:num w:numId="9" w16cid:durableId="1230849289">
    <w:abstractNumId w:val="2"/>
  </w:num>
  <w:num w:numId="10" w16cid:durableId="372585939">
    <w:abstractNumId w:val="47"/>
  </w:num>
  <w:num w:numId="11" w16cid:durableId="711804848">
    <w:abstractNumId w:val="31"/>
  </w:num>
  <w:num w:numId="12" w16cid:durableId="9449701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7990333">
    <w:abstractNumId w:val="1"/>
  </w:num>
  <w:num w:numId="14" w16cid:durableId="1551846005">
    <w:abstractNumId w:val="31"/>
  </w:num>
  <w:num w:numId="15" w16cid:durableId="1815946754">
    <w:abstractNumId w:val="32"/>
  </w:num>
  <w:num w:numId="16" w16cid:durableId="1848791480">
    <w:abstractNumId w:val="21"/>
  </w:num>
  <w:num w:numId="17" w16cid:durableId="1514102916">
    <w:abstractNumId w:val="53"/>
  </w:num>
  <w:num w:numId="18" w16cid:durableId="1240555416">
    <w:abstractNumId w:val="53"/>
  </w:num>
  <w:num w:numId="19" w16cid:durableId="941113518">
    <w:abstractNumId w:val="38"/>
  </w:num>
  <w:num w:numId="20" w16cid:durableId="1425028574">
    <w:abstractNumId w:val="25"/>
  </w:num>
  <w:num w:numId="21" w16cid:durableId="1072581196">
    <w:abstractNumId w:val="61"/>
  </w:num>
  <w:num w:numId="22" w16cid:durableId="1474448902">
    <w:abstractNumId w:val="72"/>
  </w:num>
  <w:num w:numId="23" w16cid:durableId="154146759">
    <w:abstractNumId w:val="23"/>
  </w:num>
  <w:num w:numId="24" w16cid:durableId="1831169626">
    <w:abstractNumId w:val="87"/>
  </w:num>
  <w:num w:numId="25" w16cid:durableId="1143427896">
    <w:abstractNumId w:val="70"/>
  </w:num>
  <w:num w:numId="26" w16cid:durableId="495270193">
    <w:abstractNumId w:val="78"/>
  </w:num>
  <w:num w:numId="27" w16cid:durableId="560530436">
    <w:abstractNumId w:val="30"/>
  </w:num>
  <w:num w:numId="28" w16cid:durableId="838429866">
    <w:abstractNumId w:val="44"/>
  </w:num>
  <w:num w:numId="29" w16cid:durableId="275186698">
    <w:abstractNumId w:val="43"/>
  </w:num>
  <w:num w:numId="30" w16cid:durableId="869995055">
    <w:abstractNumId w:val="29"/>
  </w:num>
  <w:num w:numId="31" w16cid:durableId="1503740093">
    <w:abstractNumId w:val="54"/>
  </w:num>
  <w:num w:numId="32" w16cid:durableId="1781491648">
    <w:abstractNumId w:val="18"/>
  </w:num>
  <w:num w:numId="33" w16cid:durableId="289949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6099854">
    <w:abstractNumId w:val="84"/>
  </w:num>
  <w:num w:numId="35" w16cid:durableId="667251789">
    <w:abstractNumId w:val="22"/>
  </w:num>
  <w:num w:numId="36" w16cid:durableId="433599194">
    <w:abstractNumId w:val="88"/>
  </w:num>
  <w:num w:numId="37" w16cid:durableId="1133521122">
    <w:abstractNumId w:val="42"/>
  </w:num>
  <w:num w:numId="38" w16cid:durableId="486165892">
    <w:abstractNumId w:val="62"/>
  </w:num>
  <w:num w:numId="39" w16cid:durableId="1999072663">
    <w:abstractNumId w:val="73"/>
  </w:num>
  <w:num w:numId="40" w16cid:durableId="2121026375">
    <w:abstractNumId w:val="17"/>
  </w:num>
  <w:num w:numId="41" w16cid:durableId="549070637">
    <w:abstractNumId w:val="60"/>
  </w:num>
  <w:num w:numId="42" w16cid:durableId="2086301074">
    <w:abstractNumId w:val="52"/>
  </w:num>
  <w:num w:numId="43" w16cid:durableId="977345046">
    <w:abstractNumId w:val="66"/>
  </w:num>
  <w:num w:numId="44" w16cid:durableId="1741362336">
    <w:abstractNumId w:val="34"/>
  </w:num>
  <w:num w:numId="45" w16cid:durableId="2053380810">
    <w:abstractNumId w:val="86"/>
  </w:num>
  <w:num w:numId="46" w16cid:durableId="2079400077">
    <w:abstractNumId w:val="83"/>
  </w:num>
  <w:num w:numId="47" w16cid:durableId="1222136618">
    <w:abstractNumId w:val="46"/>
  </w:num>
  <w:num w:numId="48" w16cid:durableId="359668252">
    <w:abstractNumId w:val="74"/>
  </w:num>
  <w:num w:numId="49" w16cid:durableId="2127120516">
    <w:abstractNumId w:val="37"/>
  </w:num>
  <w:num w:numId="50" w16cid:durableId="964313673">
    <w:abstractNumId w:val="84"/>
  </w:num>
  <w:num w:numId="51" w16cid:durableId="1190413708">
    <w:abstractNumId w:val="84"/>
  </w:num>
  <w:num w:numId="52" w16cid:durableId="1002514807">
    <w:abstractNumId w:val="84"/>
  </w:num>
  <w:num w:numId="53" w16cid:durableId="743453494">
    <w:abstractNumId w:val="84"/>
  </w:num>
  <w:num w:numId="54" w16cid:durableId="1987081346">
    <w:abstractNumId w:val="84"/>
  </w:num>
  <w:num w:numId="55" w16cid:durableId="762721013">
    <w:abstractNumId w:val="47"/>
  </w:num>
  <w:num w:numId="56" w16cid:durableId="454061672">
    <w:abstractNumId w:val="47"/>
  </w:num>
  <w:num w:numId="57" w16cid:durableId="1656446510">
    <w:abstractNumId w:val="47"/>
  </w:num>
  <w:num w:numId="58" w16cid:durableId="499082520">
    <w:abstractNumId w:val="47"/>
  </w:num>
  <w:num w:numId="59" w16cid:durableId="157885887">
    <w:abstractNumId w:val="39"/>
  </w:num>
  <w:num w:numId="60" w16cid:durableId="551843830">
    <w:abstractNumId w:val="47"/>
  </w:num>
  <w:num w:numId="61" w16cid:durableId="1382903327">
    <w:abstractNumId w:val="81"/>
  </w:num>
  <w:num w:numId="62" w16cid:durableId="1635528165">
    <w:abstractNumId w:val="47"/>
  </w:num>
  <w:num w:numId="63" w16cid:durableId="1416168516">
    <w:abstractNumId w:val="47"/>
  </w:num>
  <w:num w:numId="64" w16cid:durableId="35587084">
    <w:abstractNumId w:val="84"/>
  </w:num>
  <w:num w:numId="65" w16cid:durableId="1594163448">
    <w:abstractNumId w:val="84"/>
  </w:num>
  <w:num w:numId="66" w16cid:durableId="539627894">
    <w:abstractNumId w:val="89"/>
  </w:num>
  <w:num w:numId="67" w16cid:durableId="1116171916">
    <w:abstractNumId w:val="56"/>
  </w:num>
  <w:num w:numId="68" w16cid:durableId="2066760207">
    <w:abstractNumId w:val="16"/>
  </w:num>
  <w:num w:numId="69" w16cid:durableId="975914141">
    <w:abstractNumId w:val="20"/>
  </w:num>
  <w:num w:numId="70" w16cid:durableId="1273316571">
    <w:abstractNumId w:val="65"/>
  </w:num>
  <w:num w:numId="71" w16cid:durableId="1056245172">
    <w:abstractNumId w:val="90"/>
  </w:num>
  <w:num w:numId="72" w16cid:durableId="1815297740">
    <w:abstractNumId w:val="55"/>
  </w:num>
  <w:num w:numId="73" w16cid:durableId="1725325464">
    <w:abstractNumId w:val="71"/>
  </w:num>
  <w:num w:numId="74" w16cid:durableId="1715809607">
    <w:abstractNumId w:val="50"/>
  </w:num>
  <w:num w:numId="75" w16cid:durableId="1424063889">
    <w:abstractNumId w:val="11"/>
  </w:num>
  <w:num w:numId="76" w16cid:durableId="877737716">
    <w:abstractNumId w:val="68"/>
  </w:num>
  <w:num w:numId="77" w16cid:durableId="372926157">
    <w:abstractNumId w:val="26"/>
  </w:num>
  <w:num w:numId="78" w16cid:durableId="1091779115">
    <w:abstractNumId w:val="57"/>
  </w:num>
  <w:num w:numId="79" w16cid:durableId="83042124">
    <w:abstractNumId w:val="76"/>
  </w:num>
  <w:num w:numId="80" w16cid:durableId="1612273776">
    <w:abstractNumId w:val="19"/>
  </w:num>
  <w:num w:numId="81" w16cid:durableId="1452480041">
    <w:abstractNumId w:val="14"/>
  </w:num>
  <w:num w:numId="82" w16cid:durableId="1816801238">
    <w:abstractNumId w:val="75"/>
  </w:num>
  <w:num w:numId="83" w16cid:durableId="364916091">
    <w:abstractNumId w:val="24"/>
  </w:num>
  <w:num w:numId="84" w16cid:durableId="1446969824">
    <w:abstractNumId w:val="36"/>
  </w:num>
  <w:num w:numId="85" w16cid:durableId="1851333240">
    <w:abstractNumId w:val="35"/>
  </w:num>
  <w:num w:numId="86" w16cid:durableId="578758744">
    <w:abstractNumId w:val="69"/>
  </w:num>
  <w:num w:numId="87" w16cid:durableId="1109277984">
    <w:abstractNumId w:val="51"/>
  </w:num>
  <w:num w:numId="88" w16cid:durableId="1476331528">
    <w:abstractNumId w:val="45"/>
  </w:num>
  <w:num w:numId="89" w16cid:durableId="1506943304">
    <w:abstractNumId w:val="85"/>
  </w:num>
  <w:num w:numId="90" w16cid:durableId="1875121231">
    <w:abstractNumId w:val="64"/>
  </w:num>
  <w:num w:numId="91" w16cid:durableId="1473332680">
    <w:abstractNumId w:val="58"/>
  </w:num>
  <w:num w:numId="92" w16cid:durableId="340594718">
    <w:abstractNumId w:val="13"/>
  </w:num>
  <w:num w:numId="93" w16cid:durableId="640229917">
    <w:abstractNumId w:val="80"/>
  </w:num>
  <w:num w:numId="94" w16cid:durableId="1302806546">
    <w:abstractNumId w:val="40"/>
  </w:num>
  <w:num w:numId="95" w16cid:durableId="2137985467">
    <w:abstractNumId w:val="82"/>
  </w:num>
  <w:num w:numId="96" w16cid:durableId="985863868">
    <w:abstractNumId w:val="77"/>
  </w:num>
  <w:num w:numId="97" w16cid:durableId="1690327340">
    <w:abstractNumId w:val="49"/>
  </w:num>
  <w:num w:numId="98" w16cid:durableId="1136485096">
    <w:abstractNumId w:val="33"/>
  </w:num>
  <w:num w:numId="99" w16cid:durableId="1258438011">
    <w:abstractNumId w:val="59"/>
  </w:num>
  <w:num w:numId="100" w16cid:durableId="128283500">
    <w:abstractNumId w:val="0"/>
  </w:num>
  <w:num w:numId="101" w16cid:durableId="1065878254">
    <w:abstractNumId w:val="12"/>
  </w:num>
  <w:num w:numId="102" w16cid:durableId="164168646">
    <w:abstractNumId w:val="79"/>
  </w:num>
  <w:num w:numId="103" w16cid:durableId="123546439">
    <w:abstractNumId w:val="41"/>
  </w:num>
  <w:num w:numId="104" w16cid:durableId="1464229305">
    <w:abstractNumId w:val="63"/>
  </w:num>
  <w:num w:numId="105" w16cid:durableId="376206316">
    <w:abstractNumId w:val="80"/>
  </w:num>
  <w:num w:numId="106" w16cid:durableId="1556820659">
    <w:abstractNumId w:val="27"/>
  </w:num>
  <w:num w:numId="107" w16cid:durableId="1447121076">
    <w:abstractNumId w:val="15"/>
  </w:num>
  <w:num w:numId="108" w16cid:durableId="1382293363">
    <w:abstractNumId w:val="28"/>
  </w:num>
  <w:num w:numId="109" w16cid:durableId="697389017">
    <w:abstractNumId w:val="48"/>
  </w:num>
  <w:num w:numId="110" w16cid:durableId="694579883">
    <w:abstractNumId w:val="6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D3F"/>
    <w:rsid w:val="0000005D"/>
    <w:rsid w:val="00000072"/>
    <w:rsid w:val="000001FE"/>
    <w:rsid w:val="00000282"/>
    <w:rsid w:val="000002B1"/>
    <w:rsid w:val="000002E1"/>
    <w:rsid w:val="000002F2"/>
    <w:rsid w:val="00000370"/>
    <w:rsid w:val="000003B1"/>
    <w:rsid w:val="000003C6"/>
    <w:rsid w:val="00000402"/>
    <w:rsid w:val="000004A6"/>
    <w:rsid w:val="00000513"/>
    <w:rsid w:val="00000563"/>
    <w:rsid w:val="00000608"/>
    <w:rsid w:val="000006D2"/>
    <w:rsid w:val="00000734"/>
    <w:rsid w:val="000007B7"/>
    <w:rsid w:val="000007F7"/>
    <w:rsid w:val="0000097B"/>
    <w:rsid w:val="000009D9"/>
    <w:rsid w:val="00000BF7"/>
    <w:rsid w:val="00000CAC"/>
    <w:rsid w:val="00000D2F"/>
    <w:rsid w:val="00000E14"/>
    <w:rsid w:val="00000F62"/>
    <w:rsid w:val="00000F9B"/>
    <w:rsid w:val="0000105B"/>
    <w:rsid w:val="00001233"/>
    <w:rsid w:val="0000128A"/>
    <w:rsid w:val="000012B2"/>
    <w:rsid w:val="000013AF"/>
    <w:rsid w:val="00001468"/>
    <w:rsid w:val="0000149F"/>
    <w:rsid w:val="00001517"/>
    <w:rsid w:val="00001519"/>
    <w:rsid w:val="00001762"/>
    <w:rsid w:val="00001994"/>
    <w:rsid w:val="000019AE"/>
    <w:rsid w:val="00001BB7"/>
    <w:rsid w:val="00001BD2"/>
    <w:rsid w:val="00001C0E"/>
    <w:rsid w:val="00001C3B"/>
    <w:rsid w:val="00001C72"/>
    <w:rsid w:val="00001D36"/>
    <w:rsid w:val="00001DD9"/>
    <w:rsid w:val="00001DE3"/>
    <w:rsid w:val="00001E43"/>
    <w:rsid w:val="00001F10"/>
    <w:rsid w:val="0000203B"/>
    <w:rsid w:val="0000208F"/>
    <w:rsid w:val="0000213F"/>
    <w:rsid w:val="00002145"/>
    <w:rsid w:val="00002153"/>
    <w:rsid w:val="00002244"/>
    <w:rsid w:val="0000227B"/>
    <w:rsid w:val="00002300"/>
    <w:rsid w:val="0000233A"/>
    <w:rsid w:val="00002357"/>
    <w:rsid w:val="00002375"/>
    <w:rsid w:val="00002483"/>
    <w:rsid w:val="0000264D"/>
    <w:rsid w:val="00002689"/>
    <w:rsid w:val="000026B2"/>
    <w:rsid w:val="00002753"/>
    <w:rsid w:val="00002782"/>
    <w:rsid w:val="00002A69"/>
    <w:rsid w:val="00002AC3"/>
    <w:rsid w:val="00002BC8"/>
    <w:rsid w:val="00002BF8"/>
    <w:rsid w:val="00002CE5"/>
    <w:rsid w:val="00002CE7"/>
    <w:rsid w:val="00002D44"/>
    <w:rsid w:val="00002DFA"/>
    <w:rsid w:val="00002E65"/>
    <w:rsid w:val="00002EB0"/>
    <w:rsid w:val="0000308A"/>
    <w:rsid w:val="000030ED"/>
    <w:rsid w:val="00003119"/>
    <w:rsid w:val="00003314"/>
    <w:rsid w:val="0000331E"/>
    <w:rsid w:val="0000352D"/>
    <w:rsid w:val="000035C4"/>
    <w:rsid w:val="00003931"/>
    <w:rsid w:val="000039A4"/>
    <w:rsid w:val="000039EC"/>
    <w:rsid w:val="00003AB7"/>
    <w:rsid w:val="00003B4E"/>
    <w:rsid w:val="00003B6B"/>
    <w:rsid w:val="00003BD9"/>
    <w:rsid w:val="00003C8A"/>
    <w:rsid w:val="00003D7D"/>
    <w:rsid w:val="00003F82"/>
    <w:rsid w:val="00003FB6"/>
    <w:rsid w:val="0000413D"/>
    <w:rsid w:val="00004287"/>
    <w:rsid w:val="000042D9"/>
    <w:rsid w:val="0000439E"/>
    <w:rsid w:val="00004403"/>
    <w:rsid w:val="00004540"/>
    <w:rsid w:val="00004558"/>
    <w:rsid w:val="000045C0"/>
    <w:rsid w:val="00004660"/>
    <w:rsid w:val="000046BD"/>
    <w:rsid w:val="000046FE"/>
    <w:rsid w:val="00004786"/>
    <w:rsid w:val="000047C0"/>
    <w:rsid w:val="0000485E"/>
    <w:rsid w:val="00004884"/>
    <w:rsid w:val="000048CF"/>
    <w:rsid w:val="00004925"/>
    <w:rsid w:val="00004986"/>
    <w:rsid w:val="000049B5"/>
    <w:rsid w:val="00004A88"/>
    <w:rsid w:val="00004AC7"/>
    <w:rsid w:val="00004BFD"/>
    <w:rsid w:val="00004C77"/>
    <w:rsid w:val="00004E55"/>
    <w:rsid w:val="00004F83"/>
    <w:rsid w:val="00004F9B"/>
    <w:rsid w:val="0000511C"/>
    <w:rsid w:val="00005338"/>
    <w:rsid w:val="0000551F"/>
    <w:rsid w:val="00005592"/>
    <w:rsid w:val="000055F0"/>
    <w:rsid w:val="000055F6"/>
    <w:rsid w:val="00005685"/>
    <w:rsid w:val="00005809"/>
    <w:rsid w:val="00005850"/>
    <w:rsid w:val="00005864"/>
    <w:rsid w:val="000058B3"/>
    <w:rsid w:val="000059D7"/>
    <w:rsid w:val="00005B0E"/>
    <w:rsid w:val="00005B7F"/>
    <w:rsid w:val="00005C56"/>
    <w:rsid w:val="00005CC6"/>
    <w:rsid w:val="00005D08"/>
    <w:rsid w:val="00005D2C"/>
    <w:rsid w:val="00005EE0"/>
    <w:rsid w:val="00005F1E"/>
    <w:rsid w:val="0000629B"/>
    <w:rsid w:val="00006356"/>
    <w:rsid w:val="0000657F"/>
    <w:rsid w:val="000066AF"/>
    <w:rsid w:val="00006719"/>
    <w:rsid w:val="00006806"/>
    <w:rsid w:val="000069C9"/>
    <w:rsid w:val="000069DC"/>
    <w:rsid w:val="00006A3D"/>
    <w:rsid w:val="00006B46"/>
    <w:rsid w:val="00006B9E"/>
    <w:rsid w:val="00006C16"/>
    <w:rsid w:val="00006C87"/>
    <w:rsid w:val="00006CF5"/>
    <w:rsid w:val="00006FA0"/>
    <w:rsid w:val="0000716A"/>
    <w:rsid w:val="00007186"/>
    <w:rsid w:val="000071F4"/>
    <w:rsid w:val="00007229"/>
    <w:rsid w:val="00007266"/>
    <w:rsid w:val="000072A0"/>
    <w:rsid w:val="000073FB"/>
    <w:rsid w:val="0000760E"/>
    <w:rsid w:val="00007620"/>
    <w:rsid w:val="00007654"/>
    <w:rsid w:val="0000765B"/>
    <w:rsid w:val="00007862"/>
    <w:rsid w:val="0000789A"/>
    <w:rsid w:val="000078BC"/>
    <w:rsid w:val="00007A2E"/>
    <w:rsid w:val="00007AD1"/>
    <w:rsid w:val="00007ADA"/>
    <w:rsid w:val="00007B27"/>
    <w:rsid w:val="00007B68"/>
    <w:rsid w:val="00007C9C"/>
    <w:rsid w:val="00007E38"/>
    <w:rsid w:val="00007E4A"/>
    <w:rsid w:val="00007FAF"/>
    <w:rsid w:val="00007FD5"/>
    <w:rsid w:val="00007FEF"/>
    <w:rsid w:val="000100A6"/>
    <w:rsid w:val="000100D2"/>
    <w:rsid w:val="0001022D"/>
    <w:rsid w:val="00010426"/>
    <w:rsid w:val="000105D8"/>
    <w:rsid w:val="00010955"/>
    <w:rsid w:val="00010B12"/>
    <w:rsid w:val="00010CD7"/>
    <w:rsid w:val="00010E7E"/>
    <w:rsid w:val="00010E94"/>
    <w:rsid w:val="00010EE4"/>
    <w:rsid w:val="000110B0"/>
    <w:rsid w:val="0001118F"/>
    <w:rsid w:val="000112DB"/>
    <w:rsid w:val="000113DD"/>
    <w:rsid w:val="00011569"/>
    <w:rsid w:val="0001164D"/>
    <w:rsid w:val="0001182D"/>
    <w:rsid w:val="000118D8"/>
    <w:rsid w:val="000119C9"/>
    <w:rsid w:val="00011BFF"/>
    <w:rsid w:val="00011C36"/>
    <w:rsid w:val="00011C98"/>
    <w:rsid w:val="00011E65"/>
    <w:rsid w:val="00011F6B"/>
    <w:rsid w:val="0001214B"/>
    <w:rsid w:val="00012155"/>
    <w:rsid w:val="00012184"/>
    <w:rsid w:val="000121FC"/>
    <w:rsid w:val="00012219"/>
    <w:rsid w:val="00012314"/>
    <w:rsid w:val="0001239F"/>
    <w:rsid w:val="00012586"/>
    <w:rsid w:val="00012594"/>
    <w:rsid w:val="000125DA"/>
    <w:rsid w:val="000125E1"/>
    <w:rsid w:val="0001266A"/>
    <w:rsid w:val="0001266C"/>
    <w:rsid w:val="0001271F"/>
    <w:rsid w:val="00012813"/>
    <w:rsid w:val="00012836"/>
    <w:rsid w:val="0001286E"/>
    <w:rsid w:val="00012942"/>
    <w:rsid w:val="0001296A"/>
    <w:rsid w:val="00012A9C"/>
    <w:rsid w:val="00012B2D"/>
    <w:rsid w:val="00012B51"/>
    <w:rsid w:val="00012E22"/>
    <w:rsid w:val="00012E2D"/>
    <w:rsid w:val="00012EAC"/>
    <w:rsid w:val="00012F1E"/>
    <w:rsid w:val="00012F55"/>
    <w:rsid w:val="00012FC4"/>
    <w:rsid w:val="00012FE6"/>
    <w:rsid w:val="0001308E"/>
    <w:rsid w:val="00013376"/>
    <w:rsid w:val="000133CF"/>
    <w:rsid w:val="00013450"/>
    <w:rsid w:val="000134CB"/>
    <w:rsid w:val="000134F3"/>
    <w:rsid w:val="0001352A"/>
    <w:rsid w:val="000135C5"/>
    <w:rsid w:val="00013670"/>
    <w:rsid w:val="000136B7"/>
    <w:rsid w:val="00013736"/>
    <w:rsid w:val="000137AF"/>
    <w:rsid w:val="000138D5"/>
    <w:rsid w:val="0001398C"/>
    <w:rsid w:val="00013A0A"/>
    <w:rsid w:val="00013B7B"/>
    <w:rsid w:val="00013BF9"/>
    <w:rsid w:val="00013C52"/>
    <w:rsid w:val="00013C93"/>
    <w:rsid w:val="00013CEA"/>
    <w:rsid w:val="00013D6F"/>
    <w:rsid w:val="00013DC8"/>
    <w:rsid w:val="00013E4F"/>
    <w:rsid w:val="00013F27"/>
    <w:rsid w:val="000140D0"/>
    <w:rsid w:val="0001419A"/>
    <w:rsid w:val="0001432C"/>
    <w:rsid w:val="00014337"/>
    <w:rsid w:val="000143E6"/>
    <w:rsid w:val="000143E8"/>
    <w:rsid w:val="00014449"/>
    <w:rsid w:val="0001444E"/>
    <w:rsid w:val="000144E5"/>
    <w:rsid w:val="00014710"/>
    <w:rsid w:val="0001479D"/>
    <w:rsid w:val="000147F4"/>
    <w:rsid w:val="00014902"/>
    <w:rsid w:val="00014939"/>
    <w:rsid w:val="00014B05"/>
    <w:rsid w:val="00014BC0"/>
    <w:rsid w:val="00014BEE"/>
    <w:rsid w:val="00014C2F"/>
    <w:rsid w:val="00014ED5"/>
    <w:rsid w:val="00014F1A"/>
    <w:rsid w:val="00014F92"/>
    <w:rsid w:val="00015041"/>
    <w:rsid w:val="0001507F"/>
    <w:rsid w:val="00015082"/>
    <w:rsid w:val="000150BE"/>
    <w:rsid w:val="00015171"/>
    <w:rsid w:val="00015210"/>
    <w:rsid w:val="00015283"/>
    <w:rsid w:val="0001532B"/>
    <w:rsid w:val="000153E2"/>
    <w:rsid w:val="000154B3"/>
    <w:rsid w:val="000154FD"/>
    <w:rsid w:val="00015588"/>
    <w:rsid w:val="0001558D"/>
    <w:rsid w:val="000155BA"/>
    <w:rsid w:val="000155CA"/>
    <w:rsid w:val="0001562B"/>
    <w:rsid w:val="000156B8"/>
    <w:rsid w:val="00015862"/>
    <w:rsid w:val="00015887"/>
    <w:rsid w:val="00015A22"/>
    <w:rsid w:val="00015C25"/>
    <w:rsid w:val="00015CAE"/>
    <w:rsid w:val="00015FF9"/>
    <w:rsid w:val="0001613A"/>
    <w:rsid w:val="000161AE"/>
    <w:rsid w:val="000161DE"/>
    <w:rsid w:val="0001633E"/>
    <w:rsid w:val="00016386"/>
    <w:rsid w:val="000163C6"/>
    <w:rsid w:val="00016495"/>
    <w:rsid w:val="000165A4"/>
    <w:rsid w:val="000165C2"/>
    <w:rsid w:val="00016665"/>
    <w:rsid w:val="00016714"/>
    <w:rsid w:val="0001684E"/>
    <w:rsid w:val="00016931"/>
    <w:rsid w:val="000169AF"/>
    <w:rsid w:val="000169CA"/>
    <w:rsid w:val="00016B3F"/>
    <w:rsid w:val="00016B62"/>
    <w:rsid w:val="00016B7F"/>
    <w:rsid w:val="00016BA9"/>
    <w:rsid w:val="00016BDE"/>
    <w:rsid w:val="00016C2E"/>
    <w:rsid w:val="00016CBC"/>
    <w:rsid w:val="00016CDA"/>
    <w:rsid w:val="00016F94"/>
    <w:rsid w:val="00016FF3"/>
    <w:rsid w:val="00017117"/>
    <w:rsid w:val="00017182"/>
    <w:rsid w:val="000171B5"/>
    <w:rsid w:val="000171D0"/>
    <w:rsid w:val="00017214"/>
    <w:rsid w:val="0001749B"/>
    <w:rsid w:val="000177C5"/>
    <w:rsid w:val="000178EF"/>
    <w:rsid w:val="0001797B"/>
    <w:rsid w:val="000179F1"/>
    <w:rsid w:val="00017B62"/>
    <w:rsid w:val="00017B79"/>
    <w:rsid w:val="00017D99"/>
    <w:rsid w:val="00017DB6"/>
    <w:rsid w:val="00017FE3"/>
    <w:rsid w:val="00020150"/>
    <w:rsid w:val="000202F5"/>
    <w:rsid w:val="0002034C"/>
    <w:rsid w:val="00020385"/>
    <w:rsid w:val="00020644"/>
    <w:rsid w:val="000206A7"/>
    <w:rsid w:val="000206FB"/>
    <w:rsid w:val="000207BA"/>
    <w:rsid w:val="000207C1"/>
    <w:rsid w:val="000207D9"/>
    <w:rsid w:val="00020875"/>
    <w:rsid w:val="0002092B"/>
    <w:rsid w:val="000209B3"/>
    <w:rsid w:val="00020A68"/>
    <w:rsid w:val="00020A8F"/>
    <w:rsid w:val="00020C0D"/>
    <w:rsid w:val="00020C15"/>
    <w:rsid w:val="00020C5A"/>
    <w:rsid w:val="00020C6B"/>
    <w:rsid w:val="00020D8E"/>
    <w:rsid w:val="0002110D"/>
    <w:rsid w:val="000211AB"/>
    <w:rsid w:val="000212B6"/>
    <w:rsid w:val="000212F2"/>
    <w:rsid w:val="0002139F"/>
    <w:rsid w:val="00021453"/>
    <w:rsid w:val="00021533"/>
    <w:rsid w:val="000215BA"/>
    <w:rsid w:val="0002174C"/>
    <w:rsid w:val="000217E4"/>
    <w:rsid w:val="0002181B"/>
    <w:rsid w:val="00021832"/>
    <w:rsid w:val="00021844"/>
    <w:rsid w:val="0002191E"/>
    <w:rsid w:val="00021932"/>
    <w:rsid w:val="0002196E"/>
    <w:rsid w:val="00021A97"/>
    <w:rsid w:val="00021B51"/>
    <w:rsid w:val="00021BBA"/>
    <w:rsid w:val="00021C17"/>
    <w:rsid w:val="00021CB3"/>
    <w:rsid w:val="00021DAB"/>
    <w:rsid w:val="00021E0C"/>
    <w:rsid w:val="00021E28"/>
    <w:rsid w:val="00021F43"/>
    <w:rsid w:val="00021F4F"/>
    <w:rsid w:val="00021FF4"/>
    <w:rsid w:val="000221FC"/>
    <w:rsid w:val="0002247B"/>
    <w:rsid w:val="000224D2"/>
    <w:rsid w:val="00022602"/>
    <w:rsid w:val="00022665"/>
    <w:rsid w:val="00022678"/>
    <w:rsid w:val="00022714"/>
    <w:rsid w:val="0002271F"/>
    <w:rsid w:val="00022821"/>
    <w:rsid w:val="000228AC"/>
    <w:rsid w:val="00022A4B"/>
    <w:rsid w:val="00022A64"/>
    <w:rsid w:val="00022B50"/>
    <w:rsid w:val="00022D2D"/>
    <w:rsid w:val="00022D6B"/>
    <w:rsid w:val="00022D9E"/>
    <w:rsid w:val="00022E7B"/>
    <w:rsid w:val="0002301A"/>
    <w:rsid w:val="00023042"/>
    <w:rsid w:val="0002307B"/>
    <w:rsid w:val="00023099"/>
    <w:rsid w:val="000231AF"/>
    <w:rsid w:val="000232C6"/>
    <w:rsid w:val="00023314"/>
    <w:rsid w:val="00023386"/>
    <w:rsid w:val="000233CF"/>
    <w:rsid w:val="000233D2"/>
    <w:rsid w:val="000233DD"/>
    <w:rsid w:val="00023571"/>
    <w:rsid w:val="000235C2"/>
    <w:rsid w:val="000236F2"/>
    <w:rsid w:val="00023A36"/>
    <w:rsid w:val="00023A96"/>
    <w:rsid w:val="00023AD0"/>
    <w:rsid w:val="00023CE2"/>
    <w:rsid w:val="00023D0D"/>
    <w:rsid w:val="00023D3A"/>
    <w:rsid w:val="00023D7B"/>
    <w:rsid w:val="00023DF8"/>
    <w:rsid w:val="00023E28"/>
    <w:rsid w:val="00023E34"/>
    <w:rsid w:val="00023E37"/>
    <w:rsid w:val="00023E38"/>
    <w:rsid w:val="00023E3C"/>
    <w:rsid w:val="00023E3D"/>
    <w:rsid w:val="00023EA0"/>
    <w:rsid w:val="00023F87"/>
    <w:rsid w:val="00023FCD"/>
    <w:rsid w:val="0002415A"/>
    <w:rsid w:val="0002416A"/>
    <w:rsid w:val="0002418D"/>
    <w:rsid w:val="000241EC"/>
    <w:rsid w:val="00024238"/>
    <w:rsid w:val="00024275"/>
    <w:rsid w:val="0002431D"/>
    <w:rsid w:val="000243C1"/>
    <w:rsid w:val="00024464"/>
    <w:rsid w:val="000244B2"/>
    <w:rsid w:val="000247DA"/>
    <w:rsid w:val="00024843"/>
    <w:rsid w:val="00024936"/>
    <w:rsid w:val="000249CC"/>
    <w:rsid w:val="00024F2C"/>
    <w:rsid w:val="00024F86"/>
    <w:rsid w:val="00024FD9"/>
    <w:rsid w:val="000250E2"/>
    <w:rsid w:val="00025138"/>
    <w:rsid w:val="000252B5"/>
    <w:rsid w:val="000255BB"/>
    <w:rsid w:val="0002570E"/>
    <w:rsid w:val="00025735"/>
    <w:rsid w:val="00025950"/>
    <w:rsid w:val="0002597B"/>
    <w:rsid w:val="00025993"/>
    <w:rsid w:val="00025A02"/>
    <w:rsid w:val="00025B86"/>
    <w:rsid w:val="00025C4B"/>
    <w:rsid w:val="00025C6C"/>
    <w:rsid w:val="00025C7D"/>
    <w:rsid w:val="00025D67"/>
    <w:rsid w:val="00025D89"/>
    <w:rsid w:val="00025E95"/>
    <w:rsid w:val="00025EBF"/>
    <w:rsid w:val="00025FD3"/>
    <w:rsid w:val="0002605B"/>
    <w:rsid w:val="00026141"/>
    <w:rsid w:val="000261F1"/>
    <w:rsid w:val="00026239"/>
    <w:rsid w:val="0002638E"/>
    <w:rsid w:val="000263E8"/>
    <w:rsid w:val="000263FF"/>
    <w:rsid w:val="000264B2"/>
    <w:rsid w:val="00026506"/>
    <w:rsid w:val="000268E6"/>
    <w:rsid w:val="00026902"/>
    <w:rsid w:val="00026A8F"/>
    <w:rsid w:val="00026D63"/>
    <w:rsid w:val="00026EC7"/>
    <w:rsid w:val="00026FA7"/>
    <w:rsid w:val="00026FDF"/>
    <w:rsid w:val="00026FF2"/>
    <w:rsid w:val="0002704A"/>
    <w:rsid w:val="0002707F"/>
    <w:rsid w:val="00027272"/>
    <w:rsid w:val="00027314"/>
    <w:rsid w:val="000273BD"/>
    <w:rsid w:val="000273E4"/>
    <w:rsid w:val="00027445"/>
    <w:rsid w:val="0002748B"/>
    <w:rsid w:val="0002765A"/>
    <w:rsid w:val="0002779F"/>
    <w:rsid w:val="0002786A"/>
    <w:rsid w:val="000278FF"/>
    <w:rsid w:val="00027AFC"/>
    <w:rsid w:val="00027DE8"/>
    <w:rsid w:val="00027E00"/>
    <w:rsid w:val="00027E82"/>
    <w:rsid w:val="00027EBC"/>
    <w:rsid w:val="00027F0A"/>
    <w:rsid w:val="000300D3"/>
    <w:rsid w:val="00030455"/>
    <w:rsid w:val="0003067E"/>
    <w:rsid w:val="0003081C"/>
    <w:rsid w:val="00030858"/>
    <w:rsid w:val="0003097F"/>
    <w:rsid w:val="000309B7"/>
    <w:rsid w:val="00030AC3"/>
    <w:rsid w:val="00030B24"/>
    <w:rsid w:val="00030B66"/>
    <w:rsid w:val="00030D66"/>
    <w:rsid w:val="00030EA1"/>
    <w:rsid w:val="00030FE0"/>
    <w:rsid w:val="0003100D"/>
    <w:rsid w:val="00031105"/>
    <w:rsid w:val="00031192"/>
    <w:rsid w:val="00031562"/>
    <w:rsid w:val="0003184D"/>
    <w:rsid w:val="00031971"/>
    <w:rsid w:val="000319BE"/>
    <w:rsid w:val="000319D1"/>
    <w:rsid w:val="00031A58"/>
    <w:rsid w:val="00031AAD"/>
    <w:rsid w:val="00031BDA"/>
    <w:rsid w:val="00031D38"/>
    <w:rsid w:val="00031DBC"/>
    <w:rsid w:val="00031DF1"/>
    <w:rsid w:val="00031F84"/>
    <w:rsid w:val="00032107"/>
    <w:rsid w:val="0003222D"/>
    <w:rsid w:val="00032372"/>
    <w:rsid w:val="00032582"/>
    <w:rsid w:val="00032629"/>
    <w:rsid w:val="00032699"/>
    <w:rsid w:val="000326BE"/>
    <w:rsid w:val="00032780"/>
    <w:rsid w:val="000327EC"/>
    <w:rsid w:val="00032880"/>
    <w:rsid w:val="00032906"/>
    <w:rsid w:val="0003294F"/>
    <w:rsid w:val="000329BE"/>
    <w:rsid w:val="00032A37"/>
    <w:rsid w:val="00032B20"/>
    <w:rsid w:val="00032B5E"/>
    <w:rsid w:val="00032C72"/>
    <w:rsid w:val="00032FA0"/>
    <w:rsid w:val="000330A3"/>
    <w:rsid w:val="000330D5"/>
    <w:rsid w:val="00033139"/>
    <w:rsid w:val="000331B5"/>
    <w:rsid w:val="000331F0"/>
    <w:rsid w:val="0003326C"/>
    <w:rsid w:val="00033295"/>
    <w:rsid w:val="000333D6"/>
    <w:rsid w:val="0003375A"/>
    <w:rsid w:val="0003376D"/>
    <w:rsid w:val="00033781"/>
    <w:rsid w:val="000338EA"/>
    <w:rsid w:val="00033AEC"/>
    <w:rsid w:val="00033AF1"/>
    <w:rsid w:val="00033C29"/>
    <w:rsid w:val="00033C32"/>
    <w:rsid w:val="00033CAE"/>
    <w:rsid w:val="00033CB9"/>
    <w:rsid w:val="00033D16"/>
    <w:rsid w:val="00033E29"/>
    <w:rsid w:val="00033F33"/>
    <w:rsid w:val="00033F5F"/>
    <w:rsid w:val="00033F84"/>
    <w:rsid w:val="00033FBE"/>
    <w:rsid w:val="00033FD1"/>
    <w:rsid w:val="00033FD3"/>
    <w:rsid w:val="000340A0"/>
    <w:rsid w:val="00034104"/>
    <w:rsid w:val="0003430C"/>
    <w:rsid w:val="000343A8"/>
    <w:rsid w:val="0003445F"/>
    <w:rsid w:val="000344BE"/>
    <w:rsid w:val="000344CA"/>
    <w:rsid w:val="00034577"/>
    <w:rsid w:val="000345A0"/>
    <w:rsid w:val="00034672"/>
    <w:rsid w:val="00034765"/>
    <w:rsid w:val="00034872"/>
    <w:rsid w:val="00034981"/>
    <w:rsid w:val="00034B1E"/>
    <w:rsid w:val="00034B52"/>
    <w:rsid w:val="00034B5C"/>
    <w:rsid w:val="00034B78"/>
    <w:rsid w:val="00034BAD"/>
    <w:rsid w:val="00034BE4"/>
    <w:rsid w:val="00034C7C"/>
    <w:rsid w:val="00034E33"/>
    <w:rsid w:val="00034EDE"/>
    <w:rsid w:val="00034FC2"/>
    <w:rsid w:val="00034FEC"/>
    <w:rsid w:val="0003507D"/>
    <w:rsid w:val="000351CB"/>
    <w:rsid w:val="000351E8"/>
    <w:rsid w:val="000352B8"/>
    <w:rsid w:val="000353ED"/>
    <w:rsid w:val="00035430"/>
    <w:rsid w:val="00035525"/>
    <w:rsid w:val="00035545"/>
    <w:rsid w:val="00035614"/>
    <w:rsid w:val="000356C2"/>
    <w:rsid w:val="0003573B"/>
    <w:rsid w:val="000357E5"/>
    <w:rsid w:val="0003582D"/>
    <w:rsid w:val="00035936"/>
    <w:rsid w:val="00035995"/>
    <w:rsid w:val="00035A22"/>
    <w:rsid w:val="00035C22"/>
    <w:rsid w:val="00035CFF"/>
    <w:rsid w:val="00035D50"/>
    <w:rsid w:val="00035E00"/>
    <w:rsid w:val="00035FBA"/>
    <w:rsid w:val="00036012"/>
    <w:rsid w:val="000360E4"/>
    <w:rsid w:val="0003629E"/>
    <w:rsid w:val="00036330"/>
    <w:rsid w:val="00036368"/>
    <w:rsid w:val="0003642D"/>
    <w:rsid w:val="000366E7"/>
    <w:rsid w:val="000367AD"/>
    <w:rsid w:val="00036A28"/>
    <w:rsid w:val="00036B13"/>
    <w:rsid w:val="00036B75"/>
    <w:rsid w:val="00036BAE"/>
    <w:rsid w:val="00036CE2"/>
    <w:rsid w:val="00036CF2"/>
    <w:rsid w:val="00036EEF"/>
    <w:rsid w:val="000370F7"/>
    <w:rsid w:val="00037125"/>
    <w:rsid w:val="0003718A"/>
    <w:rsid w:val="00037254"/>
    <w:rsid w:val="0003735A"/>
    <w:rsid w:val="000373E2"/>
    <w:rsid w:val="00037507"/>
    <w:rsid w:val="000375AB"/>
    <w:rsid w:val="0003761E"/>
    <w:rsid w:val="000376C5"/>
    <w:rsid w:val="000377BE"/>
    <w:rsid w:val="00037875"/>
    <w:rsid w:val="000378A5"/>
    <w:rsid w:val="000378BD"/>
    <w:rsid w:val="00037BB7"/>
    <w:rsid w:val="00037C33"/>
    <w:rsid w:val="00037D38"/>
    <w:rsid w:val="00037F5D"/>
    <w:rsid w:val="00040056"/>
    <w:rsid w:val="00040151"/>
    <w:rsid w:val="00040186"/>
    <w:rsid w:val="00040197"/>
    <w:rsid w:val="000402F8"/>
    <w:rsid w:val="000403E5"/>
    <w:rsid w:val="0004057D"/>
    <w:rsid w:val="00040776"/>
    <w:rsid w:val="000407E3"/>
    <w:rsid w:val="000407E7"/>
    <w:rsid w:val="00040A14"/>
    <w:rsid w:val="00040A29"/>
    <w:rsid w:val="00040A38"/>
    <w:rsid w:val="00040A7E"/>
    <w:rsid w:val="00040AD7"/>
    <w:rsid w:val="00040BCA"/>
    <w:rsid w:val="00040BD8"/>
    <w:rsid w:val="00040D13"/>
    <w:rsid w:val="00040D2D"/>
    <w:rsid w:val="00040DA9"/>
    <w:rsid w:val="00040E30"/>
    <w:rsid w:val="00040E44"/>
    <w:rsid w:val="00040EFF"/>
    <w:rsid w:val="00041004"/>
    <w:rsid w:val="00041018"/>
    <w:rsid w:val="0004103A"/>
    <w:rsid w:val="00041178"/>
    <w:rsid w:val="00041236"/>
    <w:rsid w:val="000412A4"/>
    <w:rsid w:val="0004135B"/>
    <w:rsid w:val="00041389"/>
    <w:rsid w:val="000413D5"/>
    <w:rsid w:val="000413EE"/>
    <w:rsid w:val="000413F9"/>
    <w:rsid w:val="00041447"/>
    <w:rsid w:val="000414B5"/>
    <w:rsid w:val="000414D8"/>
    <w:rsid w:val="00041640"/>
    <w:rsid w:val="000416B9"/>
    <w:rsid w:val="0004178C"/>
    <w:rsid w:val="000419C4"/>
    <w:rsid w:val="00041A39"/>
    <w:rsid w:val="00041C02"/>
    <w:rsid w:val="00041DD2"/>
    <w:rsid w:val="00041DFE"/>
    <w:rsid w:val="00041F0E"/>
    <w:rsid w:val="00041F63"/>
    <w:rsid w:val="0004202D"/>
    <w:rsid w:val="00042078"/>
    <w:rsid w:val="0004234D"/>
    <w:rsid w:val="000424C3"/>
    <w:rsid w:val="00042592"/>
    <w:rsid w:val="000426B0"/>
    <w:rsid w:val="00042717"/>
    <w:rsid w:val="0004272B"/>
    <w:rsid w:val="00042734"/>
    <w:rsid w:val="0004274B"/>
    <w:rsid w:val="000427DA"/>
    <w:rsid w:val="0004289F"/>
    <w:rsid w:val="00042958"/>
    <w:rsid w:val="000429AC"/>
    <w:rsid w:val="000429B4"/>
    <w:rsid w:val="00042AFC"/>
    <w:rsid w:val="00042C8D"/>
    <w:rsid w:val="00042C99"/>
    <w:rsid w:val="00042E11"/>
    <w:rsid w:val="00042E33"/>
    <w:rsid w:val="00042E87"/>
    <w:rsid w:val="00042F19"/>
    <w:rsid w:val="00042F69"/>
    <w:rsid w:val="00042FCD"/>
    <w:rsid w:val="00043054"/>
    <w:rsid w:val="000430F6"/>
    <w:rsid w:val="00043214"/>
    <w:rsid w:val="000432CB"/>
    <w:rsid w:val="00043372"/>
    <w:rsid w:val="00043406"/>
    <w:rsid w:val="00043445"/>
    <w:rsid w:val="000434D6"/>
    <w:rsid w:val="000435B9"/>
    <w:rsid w:val="00043697"/>
    <w:rsid w:val="00043701"/>
    <w:rsid w:val="000437F4"/>
    <w:rsid w:val="00043A16"/>
    <w:rsid w:val="00043A53"/>
    <w:rsid w:val="00043B9F"/>
    <w:rsid w:val="00043BB9"/>
    <w:rsid w:val="00043D15"/>
    <w:rsid w:val="00043D57"/>
    <w:rsid w:val="00043D5B"/>
    <w:rsid w:val="00043E49"/>
    <w:rsid w:val="00044026"/>
    <w:rsid w:val="00044103"/>
    <w:rsid w:val="0004411F"/>
    <w:rsid w:val="000442A8"/>
    <w:rsid w:val="000443D2"/>
    <w:rsid w:val="000444DC"/>
    <w:rsid w:val="000445CE"/>
    <w:rsid w:val="000446F7"/>
    <w:rsid w:val="00044802"/>
    <w:rsid w:val="00044826"/>
    <w:rsid w:val="0004495E"/>
    <w:rsid w:val="00044998"/>
    <w:rsid w:val="000449B5"/>
    <w:rsid w:val="00044B03"/>
    <w:rsid w:val="00044B69"/>
    <w:rsid w:val="00044BFB"/>
    <w:rsid w:val="00044C98"/>
    <w:rsid w:val="00044EA9"/>
    <w:rsid w:val="00044ECE"/>
    <w:rsid w:val="00044EF8"/>
    <w:rsid w:val="00044F40"/>
    <w:rsid w:val="00044F55"/>
    <w:rsid w:val="0004516E"/>
    <w:rsid w:val="00045228"/>
    <w:rsid w:val="000452CD"/>
    <w:rsid w:val="00045309"/>
    <w:rsid w:val="00045460"/>
    <w:rsid w:val="00045568"/>
    <w:rsid w:val="00045654"/>
    <w:rsid w:val="000456A8"/>
    <w:rsid w:val="000456DA"/>
    <w:rsid w:val="000458CA"/>
    <w:rsid w:val="00045960"/>
    <w:rsid w:val="000459DB"/>
    <w:rsid w:val="00045B9E"/>
    <w:rsid w:val="00045CAC"/>
    <w:rsid w:val="00045DD0"/>
    <w:rsid w:val="00046181"/>
    <w:rsid w:val="00046331"/>
    <w:rsid w:val="0004642F"/>
    <w:rsid w:val="00046509"/>
    <w:rsid w:val="000465D7"/>
    <w:rsid w:val="00046695"/>
    <w:rsid w:val="00046818"/>
    <w:rsid w:val="0004685E"/>
    <w:rsid w:val="000468BF"/>
    <w:rsid w:val="00046A26"/>
    <w:rsid w:val="00046C61"/>
    <w:rsid w:val="00046C68"/>
    <w:rsid w:val="00046C78"/>
    <w:rsid w:val="00046D9E"/>
    <w:rsid w:val="00046EF0"/>
    <w:rsid w:val="00046F82"/>
    <w:rsid w:val="000470F0"/>
    <w:rsid w:val="0004712F"/>
    <w:rsid w:val="00047140"/>
    <w:rsid w:val="0004729F"/>
    <w:rsid w:val="00047363"/>
    <w:rsid w:val="00047491"/>
    <w:rsid w:val="00047536"/>
    <w:rsid w:val="000475EE"/>
    <w:rsid w:val="0004762E"/>
    <w:rsid w:val="000477AB"/>
    <w:rsid w:val="000478DB"/>
    <w:rsid w:val="00047986"/>
    <w:rsid w:val="000479A4"/>
    <w:rsid w:val="00047B8D"/>
    <w:rsid w:val="00047B90"/>
    <w:rsid w:val="00047C0B"/>
    <w:rsid w:val="00047C16"/>
    <w:rsid w:val="00047C92"/>
    <w:rsid w:val="00047DAE"/>
    <w:rsid w:val="00047DED"/>
    <w:rsid w:val="00047F8B"/>
    <w:rsid w:val="00050005"/>
    <w:rsid w:val="00050015"/>
    <w:rsid w:val="00050025"/>
    <w:rsid w:val="00050187"/>
    <w:rsid w:val="000502A2"/>
    <w:rsid w:val="000502A6"/>
    <w:rsid w:val="000502AE"/>
    <w:rsid w:val="0005048F"/>
    <w:rsid w:val="00050527"/>
    <w:rsid w:val="00050594"/>
    <w:rsid w:val="0005061D"/>
    <w:rsid w:val="00050739"/>
    <w:rsid w:val="000508D2"/>
    <w:rsid w:val="000509C2"/>
    <w:rsid w:val="00050B96"/>
    <w:rsid w:val="00050BDF"/>
    <w:rsid w:val="00050C11"/>
    <w:rsid w:val="00050C3F"/>
    <w:rsid w:val="00050CF4"/>
    <w:rsid w:val="00050CF9"/>
    <w:rsid w:val="00050D09"/>
    <w:rsid w:val="00050D2F"/>
    <w:rsid w:val="00050E08"/>
    <w:rsid w:val="00050EAB"/>
    <w:rsid w:val="00050EC6"/>
    <w:rsid w:val="00051146"/>
    <w:rsid w:val="000511ED"/>
    <w:rsid w:val="000512BA"/>
    <w:rsid w:val="00051327"/>
    <w:rsid w:val="00051635"/>
    <w:rsid w:val="00051650"/>
    <w:rsid w:val="00051690"/>
    <w:rsid w:val="000516AD"/>
    <w:rsid w:val="0005175D"/>
    <w:rsid w:val="00051855"/>
    <w:rsid w:val="000518F3"/>
    <w:rsid w:val="0005199D"/>
    <w:rsid w:val="000519CB"/>
    <w:rsid w:val="00051B15"/>
    <w:rsid w:val="00051B30"/>
    <w:rsid w:val="00051D11"/>
    <w:rsid w:val="00052122"/>
    <w:rsid w:val="000521F7"/>
    <w:rsid w:val="000522B8"/>
    <w:rsid w:val="000523F0"/>
    <w:rsid w:val="00052714"/>
    <w:rsid w:val="00052730"/>
    <w:rsid w:val="0005287C"/>
    <w:rsid w:val="0005295F"/>
    <w:rsid w:val="000529D9"/>
    <w:rsid w:val="00052A30"/>
    <w:rsid w:val="00052A5D"/>
    <w:rsid w:val="00052A98"/>
    <w:rsid w:val="00052B0C"/>
    <w:rsid w:val="00052B55"/>
    <w:rsid w:val="00052B87"/>
    <w:rsid w:val="00052CDE"/>
    <w:rsid w:val="00052D27"/>
    <w:rsid w:val="00052D3C"/>
    <w:rsid w:val="00052E29"/>
    <w:rsid w:val="00053068"/>
    <w:rsid w:val="0005309D"/>
    <w:rsid w:val="00053184"/>
    <w:rsid w:val="00053200"/>
    <w:rsid w:val="00053254"/>
    <w:rsid w:val="0005330E"/>
    <w:rsid w:val="000534B6"/>
    <w:rsid w:val="0005351A"/>
    <w:rsid w:val="000536B1"/>
    <w:rsid w:val="000536D8"/>
    <w:rsid w:val="00053705"/>
    <w:rsid w:val="00053758"/>
    <w:rsid w:val="000537C2"/>
    <w:rsid w:val="000537CE"/>
    <w:rsid w:val="00053848"/>
    <w:rsid w:val="00053975"/>
    <w:rsid w:val="000539FD"/>
    <w:rsid w:val="00053A53"/>
    <w:rsid w:val="00053A79"/>
    <w:rsid w:val="00053BA8"/>
    <w:rsid w:val="00053BC2"/>
    <w:rsid w:val="00053BE1"/>
    <w:rsid w:val="00053C71"/>
    <w:rsid w:val="00053CBD"/>
    <w:rsid w:val="00053CC1"/>
    <w:rsid w:val="00053CD5"/>
    <w:rsid w:val="00053D77"/>
    <w:rsid w:val="00053D80"/>
    <w:rsid w:val="00053D81"/>
    <w:rsid w:val="00053F56"/>
    <w:rsid w:val="00053FD9"/>
    <w:rsid w:val="0005405E"/>
    <w:rsid w:val="000540E0"/>
    <w:rsid w:val="0005419C"/>
    <w:rsid w:val="000541DB"/>
    <w:rsid w:val="00054235"/>
    <w:rsid w:val="0005425A"/>
    <w:rsid w:val="000542B3"/>
    <w:rsid w:val="0005445F"/>
    <w:rsid w:val="00054745"/>
    <w:rsid w:val="000547AC"/>
    <w:rsid w:val="000548CF"/>
    <w:rsid w:val="000549DE"/>
    <w:rsid w:val="00054B9B"/>
    <w:rsid w:val="00054B9C"/>
    <w:rsid w:val="00054BD5"/>
    <w:rsid w:val="00054C7C"/>
    <w:rsid w:val="00054D26"/>
    <w:rsid w:val="00054DDB"/>
    <w:rsid w:val="00054ED0"/>
    <w:rsid w:val="00054FC5"/>
    <w:rsid w:val="00055052"/>
    <w:rsid w:val="00055053"/>
    <w:rsid w:val="00055167"/>
    <w:rsid w:val="0005527C"/>
    <w:rsid w:val="00055391"/>
    <w:rsid w:val="0005547F"/>
    <w:rsid w:val="0005549F"/>
    <w:rsid w:val="00055572"/>
    <w:rsid w:val="0005562B"/>
    <w:rsid w:val="0005574C"/>
    <w:rsid w:val="00055A36"/>
    <w:rsid w:val="00055B18"/>
    <w:rsid w:val="00055B61"/>
    <w:rsid w:val="00055BDF"/>
    <w:rsid w:val="00055CEE"/>
    <w:rsid w:val="00055CF2"/>
    <w:rsid w:val="00055D08"/>
    <w:rsid w:val="00055E1F"/>
    <w:rsid w:val="00055F86"/>
    <w:rsid w:val="00055FED"/>
    <w:rsid w:val="000561E8"/>
    <w:rsid w:val="000562D7"/>
    <w:rsid w:val="0005648D"/>
    <w:rsid w:val="000564FB"/>
    <w:rsid w:val="0005654F"/>
    <w:rsid w:val="0005659B"/>
    <w:rsid w:val="000565CC"/>
    <w:rsid w:val="00056623"/>
    <w:rsid w:val="000566CD"/>
    <w:rsid w:val="000566E0"/>
    <w:rsid w:val="000566F6"/>
    <w:rsid w:val="00056A04"/>
    <w:rsid w:val="00056ACA"/>
    <w:rsid w:val="00056B41"/>
    <w:rsid w:val="00056BDF"/>
    <w:rsid w:val="00056C37"/>
    <w:rsid w:val="00056D8C"/>
    <w:rsid w:val="00056DA9"/>
    <w:rsid w:val="00056DB2"/>
    <w:rsid w:val="00056E22"/>
    <w:rsid w:val="00056E74"/>
    <w:rsid w:val="00056EAF"/>
    <w:rsid w:val="00056ECE"/>
    <w:rsid w:val="00056F23"/>
    <w:rsid w:val="00056F26"/>
    <w:rsid w:val="00056F6A"/>
    <w:rsid w:val="00056FAE"/>
    <w:rsid w:val="00056FB7"/>
    <w:rsid w:val="0005702E"/>
    <w:rsid w:val="0005707E"/>
    <w:rsid w:val="00057172"/>
    <w:rsid w:val="0005717E"/>
    <w:rsid w:val="000571C6"/>
    <w:rsid w:val="000571D4"/>
    <w:rsid w:val="00057378"/>
    <w:rsid w:val="00057434"/>
    <w:rsid w:val="0005756D"/>
    <w:rsid w:val="00057583"/>
    <w:rsid w:val="000575B5"/>
    <w:rsid w:val="000575B8"/>
    <w:rsid w:val="0005760D"/>
    <w:rsid w:val="00057620"/>
    <w:rsid w:val="000578C7"/>
    <w:rsid w:val="000579A9"/>
    <w:rsid w:val="00057B0A"/>
    <w:rsid w:val="00057B86"/>
    <w:rsid w:val="00057CDB"/>
    <w:rsid w:val="00057CDE"/>
    <w:rsid w:val="00057D37"/>
    <w:rsid w:val="00057E18"/>
    <w:rsid w:val="00057F24"/>
    <w:rsid w:val="00060114"/>
    <w:rsid w:val="000603F7"/>
    <w:rsid w:val="0006045D"/>
    <w:rsid w:val="00060506"/>
    <w:rsid w:val="00060535"/>
    <w:rsid w:val="000605DA"/>
    <w:rsid w:val="000605DC"/>
    <w:rsid w:val="000605E0"/>
    <w:rsid w:val="000608EA"/>
    <w:rsid w:val="00060912"/>
    <w:rsid w:val="000609A7"/>
    <w:rsid w:val="000609BA"/>
    <w:rsid w:val="00060A91"/>
    <w:rsid w:val="00060AFE"/>
    <w:rsid w:val="00060DDC"/>
    <w:rsid w:val="0006102E"/>
    <w:rsid w:val="00061152"/>
    <w:rsid w:val="0006116D"/>
    <w:rsid w:val="000612C8"/>
    <w:rsid w:val="000612DA"/>
    <w:rsid w:val="00061326"/>
    <w:rsid w:val="0006165B"/>
    <w:rsid w:val="0006169C"/>
    <w:rsid w:val="000616F8"/>
    <w:rsid w:val="000617D0"/>
    <w:rsid w:val="0006196C"/>
    <w:rsid w:val="00061A18"/>
    <w:rsid w:val="00061B48"/>
    <w:rsid w:val="00061BD7"/>
    <w:rsid w:val="00061BF9"/>
    <w:rsid w:val="00061C3C"/>
    <w:rsid w:val="00061C81"/>
    <w:rsid w:val="00061CB8"/>
    <w:rsid w:val="00061CF2"/>
    <w:rsid w:val="00061D68"/>
    <w:rsid w:val="00061DEB"/>
    <w:rsid w:val="00061E69"/>
    <w:rsid w:val="00062039"/>
    <w:rsid w:val="00062065"/>
    <w:rsid w:val="000620BA"/>
    <w:rsid w:val="000621CA"/>
    <w:rsid w:val="000621E9"/>
    <w:rsid w:val="00062213"/>
    <w:rsid w:val="00062264"/>
    <w:rsid w:val="000623C5"/>
    <w:rsid w:val="00062487"/>
    <w:rsid w:val="00062517"/>
    <w:rsid w:val="000625FA"/>
    <w:rsid w:val="0006268B"/>
    <w:rsid w:val="000626D7"/>
    <w:rsid w:val="0006276B"/>
    <w:rsid w:val="000627C8"/>
    <w:rsid w:val="00062899"/>
    <w:rsid w:val="0006299D"/>
    <w:rsid w:val="00062A5D"/>
    <w:rsid w:val="00062AE4"/>
    <w:rsid w:val="00062C22"/>
    <w:rsid w:val="00062CED"/>
    <w:rsid w:val="00062CFB"/>
    <w:rsid w:val="00062DEE"/>
    <w:rsid w:val="00062F46"/>
    <w:rsid w:val="0006303A"/>
    <w:rsid w:val="00063056"/>
    <w:rsid w:val="00063078"/>
    <w:rsid w:val="00063081"/>
    <w:rsid w:val="0006318E"/>
    <w:rsid w:val="000632B7"/>
    <w:rsid w:val="000634ED"/>
    <w:rsid w:val="000634FB"/>
    <w:rsid w:val="00063598"/>
    <w:rsid w:val="000636A6"/>
    <w:rsid w:val="000636C1"/>
    <w:rsid w:val="000636D0"/>
    <w:rsid w:val="00063765"/>
    <w:rsid w:val="000638BF"/>
    <w:rsid w:val="00063990"/>
    <w:rsid w:val="00063A79"/>
    <w:rsid w:val="00063A9C"/>
    <w:rsid w:val="00063C47"/>
    <w:rsid w:val="00063DE2"/>
    <w:rsid w:val="00063E31"/>
    <w:rsid w:val="00063EF6"/>
    <w:rsid w:val="00063F86"/>
    <w:rsid w:val="0006402C"/>
    <w:rsid w:val="00064036"/>
    <w:rsid w:val="0006407A"/>
    <w:rsid w:val="0006418B"/>
    <w:rsid w:val="00064288"/>
    <w:rsid w:val="0006445F"/>
    <w:rsid w:val="0006446D"/>
    <w:rsid w:val="000644B4"/>
    <w:rsid w:val="0006456D"/>
    <w:rsid w:val="0006470C"/>
    <w:rsid w:val="00064821"/>
    <w:rsid w:val="0006486E"/>
    <w:rsid w:val="00064896"/>
    <w:rsid w:val="000648AC"/>
    <w:rsid w:val="00064ACA"/>
    <w:rsid w:val="00064AE0"/>
    <w:rsid w:val="00064B7E"/>
    <w:rsid w:val="00064BD5"/>
    <w:rsid w:val="00064E6B"/>
    <w:rsid w:val="00064E88"/>
    <w:rsid w:val="00064F6C"/>
    <w:rsid w:val="00065118"/>
    <w:rsid w:val="0006521C"/>
    <w:rsid w:val="00065459"/>
    <w:rsid w:val="0006556B"/>
    <w:rsid w:val="0006557E"/>
    <w:rsid w:val="000655D0"/>
    <w:rsid w:val="00065603"/>
    <w:rsid w:val="00065626"/>
    <w:rsid w:val="00065629"/>
    <w:rsid w:val="00065696"/>
    <w:rsid w:val="00065706"/>
    <w:rsid w:val="0006577F"/>
    <w:rsid w:val="000657AA"/>
    <w:rsid w:val="000659C3"/>
    <w:rsid w:val="00065A8E"/>
    <w:rsid w:val="00065B84"/>
    <w:rsid w:val="00065D8E"/>
    <w:rsid w:val="00065EF1"/>
    <w:rsid w:val="00065F7F"/>
    <w:rsid w:val="00065F86"/>
    <w:rsid w:val="000661BB"/>
    <w:rsid w:val="00066224"/>
    <w:rsid w:val="000662C0"/>
    <w:rsid w:val="000662D3"/>
    <w:rsid w:val="000664E7"/>
    <w:rsid w:val="00066543"/>
    <w:rsid w:val="00066A88"/>
    <w:rsid w:val="00066A8A"/>
    <w:rsid w:val="00066ABF"/>
    <w:rsid w:val="00066B6D"/>
    <w:rsid w:val="00066BB0"/>
    <w:rsid w:val="00066CBF"/>
    <w:rsid w:val="00066DDD"/>
    <w:rsid w:val="00066F01"/>
    <w:rsid w:val="00066FC2"/>
    <w:rsid w:val="00067060"/>
    <w:rsid w:val="00067079"/>
    <w:rsid w:val="00067107"/>
    <w:rsid w:val="00067281"/>
    <w:rsid w:val="00067289"/>
    <w:rsid w:val="0006728D"/>
    <w:rsid w:val="000672D1"/>
    <w:rsid w:val="000673AD"/>
    <w:rsid w:val="00067423"/>
    <w:rsid w:val="0006760B"/>
    <w:rsid w:val="00067744"/>
    <w:rsid w:val="000678F9"/>
    <w:rsid w:val="00067C83"/>
    <w:rsid w:val="00067D4D"/>
    <w:rsid w:val="00067DD9"/>
    <w:rsid w:val="00067F85"/>
    <w:rsid w:val="00067FE6"/>
    <w:rsid w:val="00067FF9"/>
    <w:rsid w:val="00070037"/>
    <w:rsid w:val="0007003F"/>
    <w:rsid w:val="00070065"/>
    <w:rsid w:val="000700B5"/>
    <w:rsid w:val="00070291"/>
    <w:rsid w:val="00070496"/>
    <w:rsid w:val="0007059D"/>
    <w:rsid w:val="000705C7"/>
    <w:rsid w:val="0007063A"/>
    <w:rsid w:val="0007078D"/>
    <w:rsid w:val="0007084B"/>
    <w:rsid w:val="0007086B"/>
    <w:rsid w:val="000708AF"/>
    <w:rsid w:val="000708FF"/>
    <w:rsid w:val="00070AE7"/>
    <w:rsid w:val="00070B2D"/>
    <w:rsid w:val="00070CE2"/>
    <w:rsid w:val="00070D85"/>
    <w:rsid w:val="00070FB6"/>
    <w:rsid w:val="00071116"/>
    <w:rsid w:val="00071122"/>
    <w:rsid w:val="00071179"/>
    <w:rsid w:val="000711CA"/>
    <w:rsid w:val="000712EA"/>
    <w:rsid w:val="00071358"/>
    <w:rsid w:val="000713C3"/>
    <w:rsid w:val="000713E3"/>
    <w:rsid w:val="0007140C"/>
    <w:rsid w:val="0007142A"/>
    <w:rsid w:val="000714B2"/>
    <w:rsid w:val="000714C6"/>
    <w:rsid w:val="00071695"/>
    <w:rsid w:val="00071752"/>
    <w:rsid w:val="000718F8"/>
    <w:rsid w:val="00071943"/>
    <w:rsid w:val="000719D2"/>
    <w:rsid w:val="00071B28"/>
    <w:rsid w:val="00071BB0"/>
    <w:rsid w:val="00071CB5"/>
    <w:rsid w:val="00071D47"/>
    <w:rsid w:val="00071E12"/>
    <w:rsid w:val="00071E4C"/>
    <w:rsid w:val="00071E98"/>
    <w:rsid w:val="00071F50"/>
    <w:rsid w:val="00071FD4"/>
    <w:rsid w:val="00072017"/>
    <w:rsid w:val="000720E2"/>
    <w:rsid w:val="0007215F"/>
    <w:rsid w:val="0007223D"/>
    <w:rsid w:val="0007228A"/>
    <w:rsid w:val="00072427"/>
    <w:rsid w:val="00072466"/>
    <w:rsid w:val="0007267D"/>
    <w:rsid w:val="00072711"/>
    <w:rsid w:val="000727BD"/>
    <w:rsid w:val="000728C8"/>
    <w:rsid w:val="00072943"/>
    <w:rsid w:val="0007294F"/>
    <w:rsid w:val="00072A72"/>
    <w:rsid w:val="00072B3C"/>
    <w:rsid w:val="00072B54"/>
    <w:rsid w:val="00072BDF"/>
    <w:rsid w:val="00072BF8"/>
    <w:rsid w:val="00072C54"/>
    <w:rsid w:val="00072D76"/>
    <w:rsid w:val="00072DDF"/>
    <w:rsid w:val="00072F3B"/>
    <w:rsid w:val="00072F80"/>
    <w:rsid w:val="0007305B"/>
    <w:rsid w:val="00073177"/>
    <w:rsid w:val="000731CE"/>
    <w:rsid w:val="00073257"/>
    <w:rsid w:val="000732E9"/>
    <w:rsid w:val="00073306"/>
    <w:rsid w:val="00073337"/>
    <w:rsid w:val="000733E9"/>
    <w:rsid w:val="000735B8"/>
    <w:rsid w:val="00073650"/>
    <w:rsid w:val="0007375C"/>
    <w:rsid w:val="000737D4"/>
    <w:rsid w:val="0007380D"/>
    <w:rsid w:val="0007386F"/>
    <w:rsid w:val="00073A79"/>
    <w:rsid w:val="00073BA6"/>
    <w:rsid w:val="00073C44"/>
    <w:rsid w:val="00073C84"/>
    <w:rsid w:val="00073DAC"/>
    <w:rsid w:val="00073E20"/>
    <w:rsid w:val="00073EA7"/>
    <w:rsid w:val="00073F38"/>
    <w:rsid w:val="00074142"/>
    <w:rsid w:val="000741C1"/>
    <w:rsid w:val="000743E4"/>
    <w:rsid w:val="00074439"/>
    <w:rsid w:val="0007448F"/>
    <w:rsid w:val="00074501"/>
    <w:rsid w:val="0007459B"/>
    <w:rsid w:val="000745F0"/>
    <w:rsid w:val="0007461D"/>
    <w:rsid w:val="00074655"/>
    <w:rsid w:val="0007465A"/>
    <w:rsid w:val="000746F0"/>
    <w:rsid w:val="000747C7"/>
    <w:rsid w:val="00074908"/>
    <w:rsid w:val="000749FE"/>
    <w:rsid w:val="00074A16"/>
    <w:rsid w:val="00074AEE"/>
    <w:rsid w:val="00074BD1"/>
    <w:rsid w:val="00074C9D"/>
    <w:rsid w:val="00074CA5"/>
    <w:rsid w:val="00074CE5"/>
    <w:rsid w:val="00074D48"/>
    <w:rsid w:val="00074D76"/>
    <w:rsid w:val="00074E35"/>
    <w:rsid w:val="00074E7F"/>
    <w:rsid w:val="00074F43"/>
    <w:rsid w:val="00074F8C"/>
    <w:rsid w:val="000750CA"/>
    <w:rsid w:val="0007517E"/>
    <w:rsid w:val="00075385"/>
    <w:rsid w:val="0007547F"/>
    <w:rsid w:val="0007552F"/>
    <w:rsid w:val="00075605"/>
    <w:rsid w:val="000756DF"/>
    <w:rsid w:val="000756FD"/>
    <w:rsid w:val="0007572C"/>
    <w:rsid w:val="00075782"/>
    <w:rsid w:val="00075793"/>
    <w:rsid w:val="000757D9"/>
    <w:rsid w:val="00075808"/>
    <w:rsid w:val="00075829"/>
    <w:rsid w:val="0007582A"/>
    <w:rsid w:val="0007582B"/>
    <w:rsid w:val="0007589F"/>
    <w:rsid w:val="00075902"/>
    <w:rsid w:val="0007599E"/>
    <w:rsid w:val="000759D0"/>
    <w:rsid w:val="00075A0D"/>
    <w:rsid w:val="00075AC4"/>
    <w:rsid w:val="00075AD3"/>
    <w:rsid w:val="00075B3D"/>
    <w:rsid w:val="00075CC6"/>
    <w:rsid w:val="00075DAD"/>
    <w:rsid w:val="00075E76"/>
    <w:rsid w:val="00075F60"/>
    <w:rsid w:val="00075F7E"/>
    <w:rsid w:val="00075F84"/>
    <w:rsid w:val="0007608D"/>
    <w:rsid w:val="0007622F"/>
    <w:rsid w:val="00076323"/>
    <w:rsid w:val="0007639D"/>
    <w:rsid w:val="000763CB"/>
    <w:rsid w:val="000763D4"/>
    <w:rsid w:val="000763FA"/>
    <w:rsid w:val="00076552"/>
    <w:rsid w:val="000765A9"/>
    <w:rsid w:val="00076677"/>
    <w:rsid w:val="00076686"/>
    <w:rsid w:val="0007680A"/>
    <w:rsid w:val="0007688B"/>
    <w:rsid w:val="00076894"/>
    <w:rsid w:val="000768CA"/>
    <w:rsid w:val="000768CC"/>
    <w:rsid w:val="000768EA"/>
    <w:rsid w:val="000769D4"/>
    <w:rsid w:val="00076BBF"/>
    <w:rsid w:val="00076C84"/>
    <w:rsid w:val="00076DD4"/>
    <w:rsid w:val="00076DDD"/>
    <w:rsid w:val="00076E39"/>
    <w:rsid w:val="00076F75"/>
    <w:rsid w:val="00076FF7"/>
    <w:rsid w:val="000770E3"/>
    <w:rsid w:val="00077148"/>
    <w:rsid w:val="0007715A"/>
    <w:rsid w:val="0007718E"/>
    <w:rsid w:val="00077282"/>
    <w:rsid w:val="000772B0"/>
    <w:rsid w:val="000773CD"/>
    <w:rsid w:val="000775BD"/>
    <w:rsid w:val="000775DD"/>
    <w:rsid w:val="000777EB"/>
    <w:rsid w:val="000778F0"/>
    <w:rsid w:val="0007793A"/>
    <w:rsid w:val="000779D1"/>
    <w:rsid w:val="00077A6B"/>
    <w:rsid w:val="00077AAF"/>
    <w:rsid w:val="00077EB1"/>
    <w:rsid w:val="00077F50"/>
    <w:rsid w:val="00077F85"/>
    <w:rsid w:val="00080057"/>
    <w:rsid w:val="000800FB"/>
    <w:rsid w:val="00080222"/>
    <w:rsid w:val="00080280"/>
    <w:rsid w:val="0008029C"/>
    <w:rsid w:val="000802CF"/>
    <w:rsid w:val="000802FD"/>
    <w:rsid w:val="000803D2"/>
    <w:rsid w:val="000804E6"/>
    <w:rsid w:val="00080508"/>
    <w:rsid w:val="000805D1"/>
    <w:rsid w:val="0008061B"/>
    <w:rsid w:val="0008065F"/>
    <w:rsid w:val="00080693"/>
    <w:rsid w:val="000806A8"/>
    <w:rsid w:val="00080740"/>
    <w:rsid w:val="00080780"/>
    <w:rsid w:val="000807B6"/>
    <w:rsid w:val="00080892"/>
    <w:rsid w:val="000808DF"/>
    <w:rsid w:val="00080AE3"/>
    <w:rsid w:val="00080BC7"/>
    <w:rsid w:val="00080BD9"/>
    <w:rsid w:val="00080DAA"/>
    <w:rsid w:val="00080E19"/>
    <w:rsid w:val="00080E96"/>
    <w:rsid w:val="000810CF"/>
    <w:rsid w:val="00081112"/>
    <w:rsid w:val="0008119B"/>
    <w:rsid w:val="0008123A"/>
    <w:rsid w:val="000814E6"/>
    <w:rsid w:val="000814FF"/>
    <w:rsid w:val="00081598"/>
    <w:rsid w:val="000815FF"/>
    <w:rsid w:val="00081638"/>
    <w:rsid w:val="00081707"/>
    <w:rsid w:val="000817DA"/>
    <w:rsid w:val="000817E1"/>
    <w:rsid w:val="00081820"/>
    <w:rsid w:val="000818AF"/>
    <w:rsid w:val="000818D9"/>
    <w:rsid w:val="000819C3"/>
    <w:rsid w:val="000819FE"/>
    <w:rsid w:val="00081B0D"/>
    <w:rsid w:val="00081B2B"/>
    <w:rsid w:val="00081DBA"/>
    <w:rsid w:val="00081F05"/>
    <w:rsid w:val="00081FC5"/>
    <w:rsid w:val="00082144"/>
    <w:rsid w:val="000822C3"/>
    <w:rsid w:val="00082426"/>
    <w:rsid w:val="00082454"/>
    <w:rsid w:val="00082538"/>
    <w:rsid w:val="0008254C"/>
    <w:rsid w:val="000825C0"/>
    <w:rsid w:val="00082627"/>
    <w:rsid w:val="000826D4"/>
    <w:rsid w:val="00082AE4"/>
    <w:rsid w:val="00082CC6"/>
    <w:rsid w:val="00082D18"/>
    <w:rsid w:val="00082D62"/>
    <w:rsid w:val="00082D65"/>
    <w:rsid w:val="00082E5F"/>
    <w:rsid w:val="00082E70"/>
    <w:rsid w:val="00083143"/>
    <w:rsid w:val="0008317E"/>
    <w:rsid w:val="0008328E"/>
    <w:rsid w:val="000832D8"/>
    <w:rsid w:val="00083314"/>
    <w:rsid w:val="00083475"/>
    <w:rsid w:val="00083652"/>
    <w:rsid w:val="00083671"/>
    <w:rsid w:val="000837A5"/>
    <w:rsid w:val="000837BA"/>
    <w:rsid w:val="00083AE4"/>
    <w:rsid w:val="00083B17"/>
    <w:rsid w:val="00083B4F"/>
    <w:rsid w:val="00083DB8"/>
    <w:rsid w:val="00084120"/>
    <w:rsid w:val="00084284"/>
    <w:rsid w:val="000842DC"/>
    <w:rsid w:val="000843E9"/>
    <w:rsid w:val="00084415"/>
    <w:rsid w:val="00084539"/>
    <w:rsid w:val="00084625"/>
    <w:rsid w:val="0008487A"/>
    <w:rsid w:val="000848A8"/>
    <w:rsid w:val="00084935"/>
    <w:rsid w:val="00084A6B"/>
    <w:rsid w:val="00084A93"/>
    <w:rsid w:val="00084B08"/>
    <w:rsid w:val="00084DE3"/>
    <w:rsid w:val="00084E27"/>
    <w:rsid w:val="00084E6F"/>
    <w:rsid w:val="00084E7C"/>
    <w:rsid w:val="00084EAC"/>
    <w:rsid w:val="00085018"/>
    <w:rsid w:val="0008505F"/>
    <w:rsid w:val="00085136"/>
    <w:rsid w:val="00085147"/>
    <w:rsid w:val="000851B3"/>
    <w:rsid w:val="0008535E"/>
    <w:rsid w:val="0008538F"/>
    <w:rsid w:val="000853D8"/>
    <w:rsid w:val="00085455"/>
    <w:rsid w:val="0008545C"/>
    <w:rsid w:val="0008547C"/>
    <w:rsid w:val="000855A6"/>
    <w:rsid w:val="000856E9"/>
    <w:rsid w:val="00085775"/>
    <w:rsid w:val="000857B0"/>
    <w:rsid w:val="00085840"/>
    <w:rsid w:val="000859DC"/>
    <w:rsid w:val="00085A89"/>
    <w:rsid w:val="00085B67"/>
    <w:rsid w:val="00085BD3"/>
    <w:rsid w:val="00085BE2"/>
    <w:rsid w:val="00085C3A"/>
    <w:rsid w:val="00085C3F"/>
    <w:rsid w:val="00085C80"/>
    <w:rsid w:val="00085D19"/>
    <w:rsid w:val="00085D72"/>
    <w:rsid w:val="00085F2A"/>
    <w:rsid w:val="00085F39"/>
    <w:rsid w:val="0008604E"/>
    <w:rsid w:val="00086072"/>
    <w:rsid w:val="000860AF"/>
    <w:rsid w:val="000860FF"/>
    <w:rsid w:val="00086149"/>
    <w:rsid w:val="0008617A"/>
    <w:rsid w:val="000861B5"/>
    <w:rsid w:val="000861C4"/>
    <w:rsid w:val="000861C9"/>
    <w:rsid w:val="000861E4"/>
    <w:rsid w:val="00086226"/>
    <w:rsid w:val="000862E2"/>
    <w:rsid w:val="00086325"/>
    <w:rsid w:val="0008652B"/>
    <w:rsid w:val="00086542"/>
    <w:rsid w:val="0008660F"/>
    <w:rsid w:val="000867E2"/>
    <w:rsid w:val="000868AC"/>
    <w:rsid w:val="000868EB"/>
    <w:rsid w:val="00086A08"/>
    <w:rsid w:val="00086A0C"/>
    <w:rsid w:val="00086A32"/>
    <w:rsid w:val="00086B73"/>
    <w:rsid w:val="00086B78"/>
    <w:rsid w:val="00086BBE"/>
    <w:rsid w:val="00086CDA"/>
    <w:rsid w:val="00086D02"/>
    <w:rsid w:val="00086D99"/>
    <w:rsid w:val="00086E4B"/>
    <w:rsid w:val="00087082"/>
    <w:rsid w:val="00087299"/>
    <w:rsid w:val="000872FA"/>
    <w:rsid w:val="00087321"/>
    <w:rsid w:val="00087360"/>
    <w:rsid w:val="000874AA"/>
    <w:rsid w:val="00087717"/>
    <w:rsid w:val="00087812"/>
    <w:rsid w:val="000878C6"/>
    <w:rsid w:val="000878CF"/>
    <w:rsid w:val="000878D3"/>
    <w:rsid w:val="000879DD"/>
    <w:rsid w:val="000879F1"/>
    <w:rsid w:val="00087A30"/>
    <w:rsid w:val="00087A69"/>
    <w:rsid w:val="00087B59"/>
    <w:rsid w:val="00087C2D"/>
    <w:rsid w:val="00087C9A"/>
    <w:rsid w:val="00087D74"/>
    <w:rsid w:val="00087DD8"/>
    <w:rsid w:val="00087E58"/>
    <w:rsid w:val="00087F19"/>
    <w:rsid w:val="00087FD9"/>
    <w:rsid w:val="00090007"/>
    <w:rsid w:val="0009014E"/>
    <w:rsid w:val="00090194"/>
    <w:rsid w:val="0009028E"/>
    <w:rsid w:val="0009042E"/>
    <w:rsid w:val="00090466"/>
    <w:rsid w:val="000904FF"/>
    <w:rsid w:val="000906F7"/>
    <w:rsid w:val="00090742"/>
    <w:rsid w:val="00090769"/>
    <w:rsid w:val="00090785"/>
    <w:rsid w:val="00090947"/>
    <w:rsid w:val="00090957"/>
    <w:rsid w:val="00090AA3"/>
    <w:rsid w:val="00090B94"/>
    <w:rsid w:val="00090C52"/>
    <w:rsid w:val="00090C82"/>
    <w:rsid w:val="00090D3D"/>
    <w:rsid w:val="00090D50"/>
    <w:rsid w:val="00090D59"/>
    <w:rsid w:val="00090DFF"/>
    <w:rsid w:val="00090EC5"/>
    <w:rsid w:val="00090F51"/>
    <w:rsid w:val="00090FD9"/>
    <w:rsid w:val="000910E5"/>
    <w:rsid w:val="000910FE"/>
    <w:rsid w:val="00091152"/>
    <w:rsid w:val="0009122B"/>
    <w:rsid w:val="0009143A"/>
    <w:rsid w:val="000914D2"/>
    <w:rsid w:val="000914FE"/>
    <w:rsid w:val="000915F3"/>
    <w:rsid w:val="00091715"/>
    <w:rsid w:val="0009173B"/>
    <w:rsid w:val="000917AC"/>
    <w:rsid w:val="00091992"/>
    <w:rsid w:val="000919EB"/>
    <w:rsid w:val="000919FE"/>
    <w:rsid w:val="00091A24"/>
    <w:rsid w:val="00091A3E"/>
    <w:rsid w:val="00091A7F"/>
    <w:rsid w:val="00091B1E"/>
    <w:rsid w:val="00091BF5"/>
    <w:rsid w:val="00091ED0"/>
    <w:rsid w:val="00091F8D"/>
    <w:rsid w:val="00091FA0"/>
    <w:rsid w:val="00092271"/>
    <w:rsid w:val="000922A8"/>
    <w:rsid w:val="00092307"/>
    <w:rsid w:val="00092381"/>
    <w:rsid w:val="00092392"/>
    <w:rsid w:val="0009239C"/>
    <w:rsid w:val="000924A1"/>
    <w:rsid w:val="000924A3"/>
    <w:rsid w:val="000925B6"/>
    <w:rsid w:val="00092654"/>
    <w:rsid w:val="0009288A"/>
    <w:rsid w:val="000928AA"/>
    <w:rsid w:val="000928D7"/>
    <w:rsid w:val="00092AD0"/>
    <w:rsid w:val="00092B84"/>
    <w:rsid w:val="00092BE3"/>
    <w:rsid w:val="00092FF2"/>
    <w:rsid w:val="00093094"/>
    <w:rsid w:val="000931D8"/>
    <w:rsid w:val="0009320E"/>
    <w:rsid w:val="00093274"/>
    <w:rsid w:val="0009339F"/>
    <w:rsid w:val="00093497"/>
    <w:rsid w:val="0009372C"/>
    <w:rsid w:val="0009373A"/>
    <w:rsid w:val="000937AC"/>
    <w:rsid w:val="00093A04"/>
    <w:rsid w:val="00093AEE"/>
    <w:rsid w:val="00093B4C"/>
    <w:rsid w:val="00093BE7"/>
    <w:rsid w:val="00093BF9"/>
    <w:rsid w:val="00093C46"/>
    <w:rsid w:val="00093C92"/>
    <w:rsid w:val="00093DAE"/>
    <w:rsid w:val="00093E90"/>
    <w:rsid w:val="00093E99"/>
    <w:rsid w:val="00093F49"/>
    <w:rsid w:val="00093F66"/>
    <w:rsid w:val="00094057"/>
    <w:rsid w:val="000940ED"/>
    <w:rsid w:val="000941C1"/>
    <w:rsid w:val="000941ED"/>
    <w:rsid w:val="0009426B"/>
    <w:rsid w:val="00094352"/>
    <w:rsid w:val="00094353"/>
    <w:rsid w:val="000943DE"/>
    <w:rsid w:val="00094556"/>
    <w:rsid w:val="00094616"/>
    <w:rsid w:val="0009467A"/>
    <w:rsid w:val="00094697"/>
    <w:rsid w:val="000946A9"/>
    <w:rsid w:val="000947E4"/>
    <w:rsid w:val="000948BE"/>
    <w:rsid w:val="00094C36"/>
    <w:rsid w:val="00094EB2"/>
    <w:rsid w:val="00094EE2"/>
    <w:rsid w:val="00094F47"/>
    <w:rsid w:val="00095058"/>
    <w:rsid w:val="000950AB"/>
    <w:rsid w:val="00095207"/>
    <w:rsid w:val="00095209"/>
    <w:rsid w:val="0009528C"/>
    <w:rsid w:val="00095296"/>
    <w:rsid w:val="000952AA"/>
    <w:rsid w:val="00095403"/>
    <w:rsid w:val="0009541D"/>
    <w:rsid w:val="00095451"/>
    <w:rsid w:val="00095475"/>
    <w:rsid w:val="00095595"/>
    <w:rsid w:val="000956A4"/>
    <w:rsid w:val="0009573E"/>
    <w:rsid w:val="00095855"/>
    <w:rsid w:val="0009591F"/>
    <w:rsid w:val="000959AB"/>
    <w:rsid w:val="00095AAC"/>
    <w:rsid w:val="00095BD8"/>
    <w:rsid w:val="00095C8A"/>
    <w:rsid w:val="00095CBE"/>
    <w:rsid w:val="00095D32"/>
    <w:rsid w:val="00095E96"/>
    <w:rsid w:val="00095F9C"/>
    <w:rsid w:val="00095FF2"/>
    <w:rsid w:val="00096092"/>
    <w:rsid w:val="000960AD"/>
    <w:rsid w:val="000961CC"/>
    <w:rsid w:val="00096239"/>
    <w:rsid w:val="00096441"/>
    <w:rsid w:val="0009659C"/>
    <w:rsid w:val="00096A56"/>
    <w:rsid w:val="00096C5B"/>
    <w:rsid w:val="00096D6D"/>
    <w:rsid w:val="00096E2E"/>
    <w:rsid w:val="00096E38"/>
    <w:rsid w:val="00096FF0"/>
    <w:rsid w:val="00097052"/>
    <w:rsid w:val="0009723D"/>
    <w:rsid w:val="000972B6"/>
    <w:rsid w:val="000973F3"/>
    <w:rsid w:val="00097526"/>
    <w:rsid w:val="000976D9"/>
    <w:rsid w:val="000978E1"/>
    <w:rsid w:val="000979E7"/>
    <w:rsid w:val="00097B2D"/>
    <w:rsid w:val="00097B32"/>
    <w:rsid w:val="00097B36"/>
    <w:rsid w:val="00097BDE"/>
    <w:rsid w:val="00097C5B"/>
    <w:rsid w:val="00097C93"/>
    <w:rsid w:val="00097D0D"/>
    <w:rsid w:val="00097DCD"/>
    <w:rsid w:val="00097EA1"/>
    <w:rsid w:val="00097EF7"/>
    <w:rsid w:val="00097F21"/>
    <w:rsid w:val="00097F88"/>
    <w:rsid w:val="000A00C1"/>
    <w:rsid w:val="000A0181"/>
    <w:rsid w:val="000A023E"/>
    <w:rsid w:val="000A02ED"/>
    <w:rsid w:val="000A043E"/>
    <w:rsid w:val="000A0491"/>
    <w:rsid w:val="000A04E1"/>
    <w:rsid w:val="000A05CA"/>
    <w:rsid w:val="000A0A09"/>
    <w:rsid w:val="000A0A62"/>
    <w:rsid w:val="000A0AA8"/>
    <w:rsid w:val="000A0AE4"/>
    <w:rsid w:val="000A0BB3"/>
    <w:rsid w:val="000A0CFE"/>
    <w:rsid w:val="000A0DF4"/>
    <w:rsid w:val="000A0E3C"/>
    <w:rsid w:val="000A0E55"/>
    <w:rsid w:val="000A0EE0"/>
    <w:rsid w:val="000A103C"/>
    <w:rsid w:val="000A104B"/>
    <w:rsid w:val="000A1210"/>
    <w:rsid w:val="000A1238"/>
    <w:rsid w:val="000A124E"/>
    <w:rsid w:val="000A1292"/>
    <w:rsid w:val="000A1314"/>
    <w:rsid w:val="000A13CB"/>
    <w:rsid w:val="000A15EC"/>
    <w:rsid w:val="000A16D7"/>
    <w:rsid w:val="000A16E4"/>
    <w:rsid w:val="000A17AA"/>
    <w:rsid w:val="000A17DC"/>
    <w:rsid w:val="000A18F2"/>
    <w:rsid w:val="000A19D9"/>
    <w:rsid w:val="000A1A3A"/>
    <w:rsid w:val="000A1B73"/>
    <w:rsid w:val="000A1C82"/>
    <w:rsid w:val="000A1C8D"/>
    <w:rsid w:val="000A1C93"/>
    <w:rsid w:val="000A1DD5"/>
    <w:rsid w:val="000A1DEC"/>
    <w:rsid w:val="000A1E23"/>
    <w:rsid w:val="000A1E5F"/>
    <w:rsid w:val="000A1EA6"/>
    <w:rsid w:val="000A1EFD"/>
    <w:rsid w:val="000A20CC"/>
    <w:rsid w:val="000A20DB"/>
    <w:rsid w:val="000A219E"/>
    <w:rsid w:val="000A2214"/>
    <w:rsid w:val="000A22CB"/>
    <w:rsid w:val="000A250F"/>
    <w:rsid w:val="000A25BB"/>
    <w:rsid w:val="000A2779"/>
    <w:rsid w:val="000A2826"/>
    <w:rsid w:val="000A2836"/>
    <w:rsid w:val="000A298F"/>
    <w:rsid w:val="000A29F2"/>
    <w:rsid w:val="000A2A11"/>
    <w:rsid w:val="000A2A84"/>
    <w:rsid w:val="000A2AE5"/>
    <w:rsid w:val="000A2AF6"/>
    <w:rsid w:val="000A2B0F"/>
    <w:rsid w:val="000A2B5F"/>
    <w:rsid w:val="000A2EA9"/>
    <w:rsid w:val="000A2F61"/>
    <w:rsid w:val="000A2FCD"/>
    <w:rsid w:val="000A32F7"/>
    <w:rsid w:val="000A3382"/>
    <w:rsid w:val="000A3415"/>
    <w:rsid w:val="000A3442"/>
    <w:rsid w:val="000A3476"/>
    <w:rsid w:val="000A34B8"/>
    <w:rsid w:val="000A34ED"/>
    <w:rsid w:val="000A35FE"/>
    <w:rsid w:val="000A3641"/>
    <w:rsid w:val="000A3755"/>
    <w:rsid w:val="000A37D0"/>
    <w:rsid w:val="000A3826"/>
    <w:rsid w:val="000A38E4"/>
    <w:rsid w:val="000A3954"/>
    <w:rsid w:val="000A3969"/>
    <w:rsid w:val="000A3995"/>
    <w:rsid w:val="000A3A0D"/>
    <w:rsid w:val="000A3B1D"/>
    <w:rsid w:val="000A3B87"/>
    <w:rsid w:val="000A3C2F"/>
    <w:rsid w:val="000A3CBE"/>
    <w:rsid w:val="000A3E27"/>
    <w:rsid w:val="000A3E7A"/>
    <w:rsid w:val="000A3F1B"/>
    <w:rsid w:val="000A3F33"/>
    <w:rsid w:val="000A410A"/>
    <w:rsid w:val="000A4220"/>
    <w:rsid w:val="000A43F9"/>
    <w:rsid w:val="000A4550"/>
    <w:rsid w:val="000A4601"/>
    <w:rsid w:val="000A4682"/>
    <w:rsid w:val="000A494E"/>
    <w:rsid w:val="000A497D"/>
    <w:rsid w:val="000A497E"/>
    <w:rsid w:val="000A4A94"/>
    <w:rsid w:val="000A4B30"/>
    <w:rsid w:val="000A4B51"/>
    <w:rsid w:val="000A4BCB"/>
    <w:rsid w:val="000A4D44"/>
    <w:rsid w:val="000A4DCB"/>
    <w:rsid w:val="000A4DEC"/>
    <w:rsid w:val="000A4E68"/>
    <w:rsid w:val="000A5022"/>
    <w:rsid w:val="000A50ED"/>
    <w:rsid w:val="000A5110"/>
    <w:rsid w:val="000A5124"/>
    <w:rsid w:val="000A5135"/>
    <w:rsid w:val="000A5173"/>
    <w:rsid w:val="000A51B5"/>
    <w:rsid w:val="000A52B9"/>
    <w:rsid w:val="000A5480"/>
    <w:rsid w:val="000A563C"/>
    <w:rsid w:val="000A5679"/>
    <w:rsid w:val="000A57C7"/>
    <w:rsid w:val="000A57DD"/>
    <w:rsid w:val="000A5B22"/>
    <w:rsid w:val="000A5B3D"/>
    <w:rsid w:val="000A5B87"/>
    <w:rsid w:val="000A5BBE"/>
    <w:rsid w:val="000A5CA9"/>
    <w:rsid w:val="000A5E37"/>
    <w:rsid w:val="000A5F3E"/>
    <w:rsid w:val="000A5F65"/>
    <w:rsid w:val="000A5FD0"/>
    <w:rsid w:val="000A602A"/>
    <w:rsid w:val="000A60C1"/>
    <w:rsid w:val="000A62A4"/>
    <w:rsid w:val="000A6391"/>
    <w:rsid w:val="000A645F"/>
    <w:rsid w:val="000A64D6"/>
    <w:rsid w:val="000A650E"/>
    <w:rsid w:val="000A65C4"/>
    <w:rsid w:val="000A65DE"/>
    <w:rsid w:val="000A6670"/>
    <w:rsid w:val="000A6673"/>
    <w:rsid w:val="000A6769"/>
    <w:rsid w:val="000A676E"/>
    <w:rsid w:val="000A678A"/>
    <w:rsid w:val="000A67A3"/>
    <w:rsid w:val="000A68FE"/>
    <w:rsid w:val="000A6953"/>
    <w:rsid w:val="000A69F9"/>
    <w:rsid w:val="000A6A0D"/>
    <w:rsid w:val="000A6C25"/>
    <w:rsid w:val="000A6F36"/>
    <w:rsid w:val="000A6F7E"/>
    <w:rsid w:val="000A6FCB"/>
    <w:rsid w:val="000A700A"/>
    <w:rsid w:val="000A7172"/>
    <w:rsid w:val="000A7174"/>
    <w:rsid w:val="000A71BC"/>
    <w:rsid w:val="000A71F8"/>
    <w:rsid w:val="000A7205"/>
    <w:rsid w:val="000A725A"/>
    <w:rsid w:val="000A7290"/>
    <w:rsid w:val="000A72B5"/>
    <w:rsid w:val="000A733C"/>
    <w:rsid w:val="000A73D9"/>
    <w:rsid w:val="000A759D"/>
    <w:rsid w:val="000A75FA"/>
    <w:rsid w:val="000A7761"/>
    <w:rsid w:val="000A77D0"/>
    <w:rsid w:val="000A77E2"/>
    <w:rsid w:val="000A77E5"/>
    <w:rsid w:val="000A7800"/>
    <w:rsid w:val="000A7852"/>
    <w:rsid w:val="000A7945"/>
    <w:rsid w:val="000A795E"/>
    <w:rsid w:val="000A79E2"/>
    <w:rsid w:val="000A7AAF"/>
    <w:rsid w:val="000A7C0C"/>
    <w:rsid w:val="000A7C2B"/>
    <w:rsid w:val="000A7CBD"/>
    <w:rsid w:val="000A7DD3"/>
    <w:rsid w:val="000A7F40"/>
    <w:rsid w:val="000A7FB7"/>
    <w:rsid w:val="000A7FD9"/>
    <w:rsid w:val="000B0009"/>
    <w:rsid w:val="000B0082"/>
    <w:rsid w:val="000B00AF"/>
    <w:rsid w:val="000B00BC"/>
    <w:rsid w:val="000B00D4"/>
    <w:rsid w:val="000B0137"/>
    <w:rsid w:val="000B019E"/>
    <w:rsid w:val="000B0316"/>
    <w:rsid w:val="000B0375"/>
    <w:rsid w:val="000B0380"/>
    <w:rsid w:val="000B03D2"/>
    <w:rsid w:val="000B03F4"/>
    <w:rsid w:val="000B04DA"/>
    <w:rsid w:val="000B054A"/>
    <w:rsid w:val="000B05B9"/>
    <w:rsid w:val="000B0648"/>
    <w:rsid w:val="000B0675"/>
    <w:rsid w:val="000B078E"/>
    <w:rsid w:val="000B078F"/>
    <w:rsid w:val="000B0870"/>
    <w:rsid w:val="000B09D0"/>
    <w:rsid w:val="000B0A36"/>
    <w:rsid w:val="000B0BB1"/>
    <w:rsid w:val="000B0C32"/>
    <w:rsid w:val="000B0CDC"/>
    <w:rsid w:val="000B0D09"/>
    <w:rsid w:val="000B0DA3"/>
    <w:rsid w:val="000B0DD6"/>
    <w:rsid w:val="000B0EB6"/>
    <w:rsid w:val="000B0EB9"/>
    <w:rsid w:val="000B0EBF"/>
    <w:rsid w:val="000B0EC0"/>
    <w:rsid w:val="000B0F8B"/>
    <w:rsid w:val="000B0F92"/>
    <w:rsid w:val="000B10BD"/>
    <w:rsid w:val="000B11BF"/>
    <w:rsid w:val="000B11EF"/>
    <w:rsid w:val="000B1244"/>
    <w:rsid w:val="000B1540"/>
    <w:rsid w:val="000B161B"/>
    <w:rsid w:val="000B1722"/>
    <w:rsid w:val="000B17E8"/>
    <w:rsid w:val="000B19FB"/>
    <w:rsid w:val="000B1A2C"/>
    <w:rsid w:val="000B1AB2"/>
    <w:rsid w:val="000B1B8C"/>
    <w:rsid w:val="000B1BCE"/>
    <w:rsid w:val="000B1C16"/>
    <w:rsid w:val="000B1C65"/>
    <w:rsid w:val="000B1D50"/>
    <w:rsid w:val="000B1DD6"/>
    <w:rsid w:val="000B1DF7"/>
    <w:rsid w:val="000B1EB5"/>
    <w:rsid w:val="000B1EB6"/>
    <w:rsid w:val="000B1EEE"/>
    <w:rsid w:val="000B1F12"/>
    <w:rsid w:val="000B1F92"/>
    <w:rsid w:val="000B201C"/>
    <w:rsid w:val="000B211A"/>
    <w:rsid w:val="000B213B"/>
    <w:rsid w:val="000B22A2"/>
    <w:rsid w:val="000B2441"/>
    <w:rsid w:val="000B2493"/>
    <w:rsid w:val="000B261F"/>
    <w:rsid w:val="000B2672"/>
    <w:rsid w:val="000B2729"/>
    <w:rsid w:val="000B2875"/>
    <w:rsid w:val="000B28FF"/>
    <w:rsid w:val="000B291B"/>
    <w:rsid w:val="000B2925"/>
    <w:rsid w:val="000B2958"/>
    <w:rsid w:val="000B29A2"/>
    <w:rsid w:val="000B29E0"/>
    <w:rsid w:val="000B2A42"/>
    <w:rsid w:val="000B2B05"/>
    <w:rsid w:val="000B2D04"/>
    <w:rsid w:val="000B2EAC"/>
    <w:rsid w:val="000B2F8D"/>
    <w:rsid w:val="000B2FB6"/>
    <w:rsid w:val="000B317E"/>
    <w:rsid w:val="000B31AF"/>
    <w:rsid w:val="000B31D5"/>
    <w:rsid w:val="000B3225"/>
    <w:rsid w:val="000B335D"/>
    <w:rsid w:val="000B33D7"/>
    <w:rsid w:val="000B34DF"/>
    <w:rsid w:val="000B3575"/>
    <w:rsid w:val="000B3597"/>
    <w:rsid w:val="000B36BA"/>
    <w:rsid w:val="000B386F"/>
    <w:rsid w:val="000B38F5"/>
    <w:rsid w:val="000B397F"/>
    <w:rsid w:val="000B3A37"/>
    <w:rsid w:val="000B3BA4"/>
    <w:rsid w:val="000B3BF2"/>
    <w:rsid w:val="000B3C1C"/>
    <w:rsid w:val="000B3CBF"/>
    <w:rsid w:val="000B3D55"/>
    <w:rsid w:val="000B3DF7"/>
    <w:rsid w:val="000B3EBD"/>
    <w:rsid w:val="000B42EF"/>
    <w:rsid w:val="000B42F0"/>
    <w:rsid w:val="000B4587"/>
    <w:rsid w:val="000B4617"/>
    <w:rsid w:val="000B4632"/>
    <w:rsid w:val="000B472C"/>
    <w:rsid w:val="000B484A"/>
    <w:rsid w:val="000B4915"/>
    <w:rsid w:val="000B4950"/>
    <w:rsid w:val="000B499B"/>
    <w:rsid w:val="000B49E1"/>
    <w:rsid w:val="000B4A0C"/>
    <w:rsid w:val="000B4A1A"/>
    <w:rsid w:val="000B4B85"/>
    <w:rsid w:val="000B4B99"/>
    <w:rsid w:val="000B4BCF"/>
    <w:rsid w:val="000B4BE4"/>
    <w:rsid w:val="000B4C07"/>
    <w:rsid w:val="000B4C24"/>
    <w:rsid w:val="000B4C93"/>
    <w:rsid w:val="000B4D59"/>
    <w:rsid w:val="000B4E16"/>
    <w:rsid w:val="000B5167"/>
    <w:rsid w:val="000B5238"/>
    <w:rsid w:val="000B532B"/>
    <w:rsid w:val="000B5528"/>
    <w:rsid w:val="000B5673"/>
    <w:rsid w:val="000B5675"/>
    <w:rsid w:val="000B5719"/>
    <w:rsid w:val="000B5728"/>
    <w:rsid w:val="000B5804"/>
    <w:rsid w:val="000B5905"/>
    <w:rsid w:val="000B5C06"/>
    <w:rsid w:val="000B5CE5"/>
    <w:rsid w:val="000B5D64"/>
    <w:rsid w:val="000B5DAB"/>
    <w:rsid w:val="000B5F29"/>
    <w:rsid w:val="000B5FFC"/>
    <w:rsid w:val="000B605A"/>
    <w:rsid w:val="000B60A2"/>
    <w:rsid w:val="000B60FB"/>
    <w:rsid w:val="000B6296"/>
    <w:rsid w:val="000B62B7"/>
    <w:rsid w:val="000B62BE"/>
    <w:rsid w:val="000B62C8"/>
    <w:rsid w:val="000B63AF"/>
    <w:rsid w:val="000B6415"/>
    <w:rsid w:val="000B6561"/>
    <w:rsid w:val="000B6584"/>
    <w:rsid w:val="000B672B"/>
    <w:rsid w:val="000B6762"/>
    <w:rsid w:val="000B6A07"/>
    <w:rsid w:val="000B6A15"/>
    <w:rsid w:val="000B6B21"/>
    <w:rsid w:val="000B6B75"/>
    <w:rsid w:val="000B6D8F"/>
    <w:rsid w:val="000B6DDE"/>
    <w:rsid w:val="000B6E7B"/>
    <w:rsid w:val="000B701D"/>
    <w:rsid w:val="000B701E"/>
    <w:rsid w:val="000B703B"/>
    <w:rsid w:val="000B7135"/>
    <w:rsid w:val="000B7469"/>
    <w:rsid w:val="000B74DE"/>
    <w:rsid w:val="000B7518"/>
    <w:rsid w:val="000B75A6"/>
    <w:rsid w:val="000B763B"/>
    <w:rsid w:val="000B766D"/>
    <w:rsid w:val="000B7817"/>
    <w:rsid w:val="000B78DB"/>
    <w:rsid w:val="000B7975"/>
    <w:rsid w:val="000B7A7D"/>
    <w:rsid w:val="000B7DE0"/>
    <w:rsid w:val="000B7E2E"/>
    <w:rsid w:val="000B7F94"/>
    <w:rsid w:val="000B7FB5"/>
    <w:rsid w:val="000C0045"/>
    <w:rsid w:val="000C0048"/>
    <w:rsid w:val="000C012F"/>
    <w:rsid w:val="000C0485"/>
    <w:rsid w:val="000C057F"/>
    <w:rsid w:val="000C05A6"/>
    <w:rsid w:val="000C05BC"/>
    <w:rsid w:val="000C05BE"/>
    <w:rsid w:val="000C0635"/>
    <w:rsid w:val="000C0662"/>
    <w:rsid w:val="000C0663"/>
    <w:rsid w:val="000C073E"/>
    <w:rsid w:val="000C0763"/>
    <w:rsid w:val="000C077E"/>
    <w:rsid w:val="000C07ED"/>
    <w:rsid w:val="000C08AF"/>
    <w:rsid w:val="000C08CE"/>
    <w:rsid w:val="000C08D3"/>
    <w:rsid w:val="000C0987"/>
    <w:rsid w:val="000C09A6"/>
    <w:rsid w:val="000C09C6"/>
    <w:rsid w:val="000C0AB8"/>
    <w:rsid w:val="000C0B0A"/>
    <w:rsid w:val="000C0B5C"/>
    <w:rsid w:val="000C0B9A"/>
    <w:rsid w:val="000C0BE7"/>
    <w:rsid w:val="000C0D5C"/>
    <w:rsid w:val="000C0DA7"/>
    <w:rsid w:val="000C0E15"/>
    <w:rsid w:val="000C0E5F"/>
    <w:rsid w:val="000C0E61"/>
    <w:rsid w:val="000C0F4A"/>
    <w:rsid w:val="000C0FC8"/>
    <w:rsid w:val="000C1070"/>
    <w:rsid w:val="000C133C"/>
    <w:rsid w:val="000C1363"/>
    <w:rsid w:val="000C136B"/>
    <w:rsid w:val="000C13E1"/>
    <w:rsid w:val="000C141B"/>
    <w:rsid w:val="000C14BB"/>
    <w:rsid w:val="000C1623"/>
    <w:rsid w:val="000C1691"/>
    <w:rsid w:val="000C1771"/>
    <w:rsid w:val="000C17C5"/>
    <w:rsid w:val="000C194D"/>
    <w:rsid w:val="000C1988"/>
    <w:rsid w:val="000C19A7"/>
    <w:rsid w:val="000C19B7"/>
    <w:rsid w:val="000C1ABF"/>
    <w:rsid w:val="000C1AD9"/>
    <w:rsid w:val="000C1BD2"/>
    <w:rsid w:val="000C1C5A"/>
    <w:rsid w:val="000C1FEF"/>
    <w:rsid w:val="000C20C6"/>
    <w:rsid w:val="000C228C"/>
    <w:rsid w:val="000C22B6"/>
    <w:rsid w:val="000C2382"/>
    <w:rsid w:val="000C2481"/>
    <w:rsid w:val="000C24AC"/>
    <w:rsid w:val="000C24F5"/>
    <w:rsid w:val="000C26A6"/>
    <w:rsid w:val="000C26C2"/>
    <w:rsid w:val="000C26D0"/>
    <w:rsid w:val="000C2734"/>
    <w:rsid w:val="000C2793"/>
    <w:rsid w:val="000C2835"/>
    <w:rsid w:val="000C2875"/>
    <w:rsid w:val="000C2940"/>
    <w:rsid w:val="000C2AA4"/>
    <w:rsid w:val="000C2AEC"/>
    <w:rsid w:val="000C2AF1"/>
    <w:rsid w:val="000C2B89"/>
    <w:rsid w:val="000C2B9B"/>
    <w:rsid w:val="000C2BCF"/>
    <w:rsid w:val="000C2D20"/>
    <w:rsid w:val="000C2D42"/>
    <w:rsid w:val="000C2ECE"/>
    <w:rsid w:val="000C2FE2"/>
    <w:rsid w:val="000C3001"/>
    <w:rsid w:val="000C3051"/>
    <w:rsid w:val="000C308D"/>
    <w:rsid w:val="000C33B4"/>
    <w:rsid w:val="000C34A7"/>
    <w:rsid w:val="000C3680"/>
    <w:rsid w:val="000C374F"/>
    <w:rsid w:val="000C37FD"/>
    <w:rsid w:val="000C395A"/>
    <w:rsid w:val="000C3B47"/>
    <w:rsid w:val="000C3CAD"/>
    <w:rsid w:val="000C3CB6"/>
    <w:rsid w:val="000C3D8B"/>
    <w:rsid w:val="000C3F4B"/>
    <w:rsid w:val="000C3F54"/>
    <w:rsid w:val="000C3FD7"/>
    <w:rsid w:val="000C4098"/>
    <w:rsid w:val="000C4107"/>
    <w:rsid w:val="000C414F"/>
    <w:rsid w:val="000C4180"/>
    <w:rsid w:val="000C41DD"/>
    <w:rsid w:val="000C41F2"/>
    <w:rsid w:val="000C423D"/>
    <w:rsid w:val="000C4321"/>
    <w:rsid w:val="000C4373"/>
    <w:rsid w:val="000C43E9"/>
    <w:rsid w:val="000C43FE"/>
    <w:rsid w:val="000C4433"/>
    <w:rsid w:val="000C4568"/>
    <w:rsid w:val="000C4606"/>
    <w:rsid w:val="000C49E0"/>
    <w:rsid w:val="000C4A61"/>
    <w:rsid w:val="000C4A6F"/>
    <w:rsid w:val="000C4B1C"/>
    <w:rsid w:val="000C4BF3"/>
    <w:rsid w:val="000C4BF5"/>
    <w:rsid w:val="000C4C9C"/>
    <w:rsid w:val="000C4CC1"/>
    <w:rsid w:val="000C4DE4"/>
    <w:rsid w:val="000C4DED"/>
    <w:rsid w:val="000C4F97"/>
    <w:rsid w:val="000C4FDB"/>
    <w:rsid w:val="000C5043"/>
    <w:rsid w:val="000C5098"/>
    <w:rsid w:val="000C5273"/>
    <w:rsid w:val="000C52B7"/>
    <w:rsid w:val="000C52F9"/>
    <w:rsid w:val="000C5425"/>
    <w:rsid w:val="000C5516"/>
    <w:rsid w:val="000C5566"/>
    <w:rsid w:val="000C5627"/>
    <w:rsid w:val="000C565D"/>
    <w:rsid w:val="000C577E"/>
    <w:rsid w:val="000C5805"/>
    <w:rsid w:val="000C589A"/>
    <w:rsid w:val="000C59F0"/>
    <w:rsid w:val="000C5A27"/>
    <w:rsid w:val="000C5A7F"/>
    <w:rsid w:val="000C5B75"/>
    <w:rsid w:val="000C5DE0"/>
    <w:rsid w:val="000C5E88"/>
    <w:rsid w:val="000C5EBA"/>
    <w:rsid w:val="000C5ECC"/>
    <w:rsid w:val="000C5F01"/>
    <w:rsid w:val="000C5F13"/>
    <w:rsid w:val="000C5F78"/>
    <w:rsid w:val="000C5F94"/>
    <w:rsid w:val="000C6028"/>
    <w:rsid w:val="000C606E"/>
    <w:rsid w:val="000C624D"/>
    <w:rsid w:val="000C62C8"/>
    <w:rsid w:val="000C6448"/>
    <w:rsid w:val="000C660D"/>
    <w:rsid w:val="000C665C"/>
    <w:rsid w:val="000C66F4"/>
    <w:rsid w:val="000C69BF"/>
    <w:rsid w:val="000C6AF5"/>
    <w:rsid w:val="000C6D93"/>
    <w:rsid w:val="000C6EFD"/>
    <w:rsid w:val="000C704B"/>
    <w:rsid w:val="000C7062"/>
    <w:rsid w:val="000C70CE"/>
    <w:rsid w:val="000C733B"/>
    <w:rsid w:val="000C738B"/>
    <w:rsid w:val="000C741E"/>
    <w:rsid w:val="000C74C4"/>
    <w:rsid w:val="000C74FC"/>
    <w:rsid w:val="000C7572"/>
    <w:rsid w:val="000C758F"/>
    <w:rsid w:val="000C7AE4"/>
    <w:rsid w:val="000C7C36"/>
    <w:rsid w:val="000C7D48"/>
    <w:rsid w:val="000C7DC0"/>
    <w:rsid w:val="000C7F3E"/>
    <w:rsid w:val="000D016B"/>
    <w:rsid w:val="000D045B"/>
    <w:rsid w:val="000D047D"/>
    <w:rsid w:val="000D04EE"/>
    <w:rsid w:val="000D075E"/>
    <w:rsid w:val="000D079E"/>
    <w:rsid w:val="000D0869"/>
    <w:rsid w:val="000D088F"/>
    <w:rsid w:val="000D08C5"/>
    <w:rsid w:val="000D092B"/>
    <w:rsid w:val="000D0A72"/>
    <w:rsid w:val="000D0B84"/>
    <w:rsid w:val="000D0BA4"/>
    <w:rsid w:val="000D0E43"/>
    <w:rsid w:val="000D0E7A"/>
    <w:rsid w:val="000D0E94"/>
    <w:rsid w:val="000D0FA1"/>
    <w:rsid w:val="000D1069"/>
    <w:rsid w:val="000D1221"/>
    <w:rsid w:val="000D123E"/>
    <w:rsid w:val="000D1279"/>
    <w:rsid w:val="000D12AB"/>
    <w:rsid w:val="000D130C"/>
    <w:rsid w:val="000D130F"/>
    <w:rsid w:val="000D13F4"/>
    <w:rsid w:val="000D1429"/>
    <w:rsid w:val="000D145C"/>
    <w:rsid w:val="000D1505"/>
    <w:rsid w:val="000D15C4"/>
    <w:rsid w:val="000D15E1"/>
    <w:rsid w:val="000D1694"/>
    <w:rsid w:val="000D17E3"/>
    <w:rsid w:val="000D193E"/>
    <w:rsid w:val="000D19C9"/>
    <w:rsid w:val="000D1A4F"/>
    <w:rsid w:val="000D1B6E"/>
    <w:rsid w:val="000D1B77"/>
    <w:rsid w:val="000D1B9D"/>
    <w:rsid w:val="000D1BD1"/>
    <w:rsid w:val="000D1C0D"/>
    <w:rsid w:val="000D1F2E"/>
    <w:rsid w:val="000D1F8D"/>
    <w:rsid w:val="000D1FEB"/>
    <w:rsid w:val="000D202A"/>
    <w:rsid w:val="000D202E"/>
    <w:rsid w:val="000D2132"/>
    <w:rsid w:val="000D24FB"/>
    <w:rsid w:val="000D2559"/>
    <w:rsid w:val="000D2597"/>
    <w:rsid w:val="000D25D3"/>
    <w:rsid w:val="000D25D9"/>
    <w:rsid w:val="000D265A"/>
    <w:rsid w:val="000D279A"/>
    <w:rsid w:val="000D2974"/>
    <w:rsid w:val="000D29B8"/>
    <w:rsid w:val="000D2A35"/>
    <w:rsid w:val="000D2A61"/>
    <w:rsid w:val="000D2A6A"/>
    <w:rsid w:val="000D2B0A"/>
    <w:rsid w:val="000D2B62"/>
    <w:rsid w:val="000D2C0A"/>
    <w:rsid w:val="000D2D12"/>
    <w:rsid w:val="000D2DCD"/>
    <w:rsid w:val="000D2DF6"/>
    <w:rsid w:val="000D2F75"/>
    <w:rsid w:val="000D2FE6"/>
    <w:rsid w:val="000D30D2"/>
    <w:rsid w:val="000D30DF"/>
    <w:rsid w:val="000D3248"/>
    <w:rsid w:val="000D324E"/>
    <w:rsid w:val="000D3352"/>
    <w:rsid w:val="000D3431"/>
    <w:rsid w:val="000D3478"/>
    <w:rsid w:val="000D35C8"/>
    <w:rsid w:val="000D366D"/>
    <w:rsid w:val="000D3C80"/>
    <w:rsid w:val="000D3CE3"/>
    <w:rsid w:val="000D3E22"/>
    <w:rsid w:val="000D4116"/>
    <w:rsid w:val="000D4241"/>
    <w:rsid w:val="000D4244"/>
    <w:rsid w:val="000D44BA"/>
    <w:rsid w:val="000D44CD"/>
    <w:rsid w:val="000D4547"/>
    <w:rsid w:val="000D47EF"/>
    <w:rsid w:val="000D4B33"/>
    <w:rsid w:val="000D4C3A"/>
    <w:rsid w:val="000D4CC1"/>
    <w:rsid w:val="000D4D04"/>
    <w:rsid w:val="000D4D37"/>
    <w:rsid w:val="000D4D8D"/>
    <w:rsid w:val="000D4DA7"/>
    <w:rsid w:val="000D4E59"/>
    <w:rsid w:val="000D4E9B"/>
    <w:rsid w:val="000D4EEB"/>
    <w:rsid w:val="000D4FD6"/>
    <w:rsid w:val="000D5169"/>
    <w:rsid w:val="000D516F"/>
    <w:rsid w:val="000D5197"/>
    <w:rsid w:val="000D544A"/>
    <w:rsid w:val="000D551D"/>
    <w:rsid w:val="000D5529"/>
    <w:rsid w:val="000D55FF"/>
    <w:rsid w:val="000D5674"/>
    <w:rsid w:val="000D567D"/>
    <w:rsid w:val="000D57F0"/>
    <w:rsid w:val="000D582A"/>
    <w:rsid w:val="000D583B"/>
    <w:rsid w:val="000D5891"/>
    <w:rsid w:val="000D58D6"/>
    <w:rsid w:val="000D58FA"/>
    <w:rsid w:val="000D596C"/>
    <w:rsid w:val="000D59F4"/>
    <w:rsid w:val="000D5A3E"/>
    <w:rsid w:val="000D5A8A"/>
    <w:rsid w:val="000D5B44"/>
    <w:rsid w:val="000D5BF1"/>
    <w:rsid w:val="000D5C0A"/>
    <w:rsid w:val="000D5C79"/>
    <w:rsid w:val="000D5D3B"/>
    <w:rsid w:val="000D5D92"/>
    <w:rsid w:val="000D5DDB"/>
    <w:rsid w:val="000D5F44"/>
    <w:rsid w:val="000D5F49"/>
    <w:rsid w:val="000D5F6E"/>
    <w:rsid w:val="000D60CA"/>
    <w:rsid w:val="000D6173"/>
    <w:rsid w:val="000D6218"/>
    <w:rsid w:val="000D62CD"/>
    <w:rsid w:val="000D6397"/>
    <w:rsid w:val="000D658E"/>
    <w:rsid w:val="000D6643"/>
    <w:rsid w:val="000D6650"/>
    <w:rsid w:val="000D6667"/>
    <w:rsid w:val="000D66D2"/>
    <w:rsid w:val="000D6772"/>
    <w:rsid w:val="000D67CC"/>
    <w:rsid w:val="000D67D2"/>
    <w:rsid w:val="000D6872"/>
    <w:rsid w:val="000D687F"/>
    <w:rsid w:val="000D6923"/>
    <w:rsid w:val="000D693A"/>
    <w:rsid w:val="000D6952"/>
    <w:rsid w:val="000D69A6"/>
    <w:rsid w:val="000D69B5"/>
    <w:rsid w:val="000D69DF"/>
    <w:rsid w:val="000D6B0B"/>
    <w:rsid w:val="000D6B20"/>
    <w:rsid w:val="000D6CEA"/>
    <w:rsid w:val="000D6DFB"/>
    <w:rsid w:val="000D6E24"/>
    <w:rsid w:val="000D6E31"/>
    <w:rsid w:val="000D6E4F"/>
    <w:rsid w:val="000D6EC3"/>
    <w:rsid w:val="000D6F11"/>
    <w:rsid w:val="000D6F38"/>
    <w:rsid w:val="000D6F4D"/>
    <w:rsid w:val="000D6FA5"/>
    <w:rsid w:val="000D6FA9"/>
    <w:rsid w:val="000D7258"/>
    <w:rsid w:val="000D74FD"/>
    <w:rsid w:val="000D7504"/>
    <w:rsid w:val="000D7604"/>
    <w:rsid w:val="000D76E1"/>
    <w:rsid w:val="000D773F"/>
    <w:rsid w:val="000D77DC"/>
    <w:rsid w:val="000D7828"/>
    <w:rsid w:val="000D782E"/>
    <w:rsid w:val="000D782F"/>
    <w:rsid w:val="000D7832"/>
    <w:rsid w:val="000D7866"/>
    <w:rsid w:val="000D78BD"/>
    <w:rsid w:val="000D7942"/>
    <w:rsid w:val="000D799E"/>
    <w:rsid w:val="000D7A6C"/>
    <w:rsid w:val="000D7AB5"/>
    <w:rsid w:val="000D7AEF"/>
    <w:rsid w:val="000D7B64"/>
    <w:rsid w:val="000D7C06"/>
    <w:rsid w:val="000D7D18"/>
    <w:rsid w:val="000D7E2F"/>
    <w:rsid w:val="000D7F01"/>
    <w:rsid w:val="000D7F1D"/>
    <w:rsid w:val="000D7FEF"/>
    <w:rsid w:val="000D7FF9"/>
    <w:rsid w:val="000E0084"/>
    <w:rsid w:val="000E00A4"/>
    <w:rsid w:val="000E030F"/>
    <w:rsid w:val="000E0556"/>
    <w:rsid w:val="000E057E"/>
    <w:rsid w:val="000E0590"/>
    <w:rsid w:val="000E0649"/>
    <w:rsid w:val="000E069E"/>
    <w:rsid w:val="000E073F"/>
    <w:rsid w:val="000E078E"/>
    <w:rsid w:val="000E07FB"/>
    <w:rsid w:val="000E0868"/>
    <w:rsid w:val="000E08AF"/>
    <w:rsid w:val="000E0946"/>
    <w:rsid w:val="000E094A"/>
    <w:rsid w:val="000E0A2C"/>
    <w:rsid w:val="000E0AB3"/>
    <w:rsid w:val="000E0BCE"/>
    <w:rsid w:val="000E0D4F"/>
    <w:rsid w:val="000E0FBC"/>
    <w:rsid w:val="000E10A6"/>
    <w:rsid w:val="000E1150"/>
    <w:rsid w:val="000E117E"/>
    <w:rsid w:val="000E118C"/>
    <w:rsid w:val="000E11AA"/>
    <w:rsid w:val="000E11E9"/>
    <w:rsid w:val="000E1368"/>
    <w:rsid w:val="000E144B"/>
    <w:rsid w:val="000E145D"/>
    <w:rsid w:val="000E14C3"/>
    <w:rsid w:val="000E1551"/>
    <w:rsid w:val="000E170B"/>
    <w:rsid w:val="000E1731"/>
    <w:rsid w:val="000E1752"/>
    <w:rsid w:val="000E179D"/>
    <w:rsid w:val="000E1803"/>
    <w:rsid w:val="000E1833"/>
    <w:rsid w:val="000E191D"/>
    <w:rsid w:val="000E197B"/>
    <w:rsid w:val="000E19EF"/>
    <w:rsid w:val="000E1A9D"/>
    <w:rsid w:val="000E1AEB"/>
    <w:rsid w:val="000E1B46"/>
    <w:rsid w:val="000E1B79"/>
    <w:rsid w:val="000E1BFF"/>
    <w:rsid w:val="000E1D22"/>
    <w:rsid w:val="000E1E20"/>
    <w:rsid w:val="000E1E70"/>
    <w:rsid w:val="000E1EC9"/>
    <w:rsid w:val="000E1ECA"/>
    <w:rsid w:val="000E1F99"/>
    <w:rsid w:val="000E1FF7"/>
    <w:rsid w:val="000E203F"/>
    <w:rsid w:val="000E207A"/>
    <w:rsid w:val="000E20BA"/>
    <w:rsid w:val="000E20C2"/>
    <w:rsid w:val="000E228C"/>
    <w:rsid w:val="000E2324"/>
    <w:rsid w:val="000E237D"/>
    <w:rsid w:val="000E2501"/>
    <w:rsid w:val="000E2629"/>
    <w:rsid w:val="000E26A5"/>
    <w:rsid w:val="000E27F0"/>
    <w:rsid w:val="000E2921"/>
    <w:rsid w:val="000E292A"/>
    <w:rsid w:val="000E2A23"/>
    <w:rsid w:val="000E2B5E"/>
    <w:rsid w:val="000E2BA0"/>
    <w:rsid w:val="000E2BCB"/>
    <w:rsid w:val="000E2BE8"/>
    <w:rsid w:val="000E2E57"/>
    <w:rsid w:val="000E2F16"/>
    <w:rsid w:val="000E2FD9"/>
    <w:rsid w:val="000E308B"/>
    <w:rsid w:val="000E30F3"/>
    <w:rsid w:val="000E3283"/>
    <w:rsid w:val="000E32FC"/>
    <w:rsid w:val="000E34B0"/>
    <w:rsid w:val="000E3687"/>
    <w:rsid w:val="000E3698"/>
    <w:rsid w:val="000E36CC"/>
    <w:rsid w:val="000E374F"/>
    <w:rsid w:val="000E375C"/>
    <w:rsid w:val="000E3874"/>
    <w:rsid w:val="000E39FE"/>
    <w:rsid w:val="000E3C6A"/>
    <w:rsid w:val="000E3CB9"/>
    <w:rsid w:val="000E3D37"/>
    <w:rsid w:val="000E3DF5"/>
    <w:rsid w:val="000E3F44"/>
    <w:rsid w:val="000E3FCD"/>
    <w:rsid w:val="000E4025"/>
    <w:rsid w:val="000E40DB"/>
    <w:rsid w:val="000E40E6"/>
    <w:rsid w:val="000E413B"/>
    <w:rsid w:val="000E417B"/>
    <w:rsid w:val="000E417E"/>
    <w:rsid w:val="000E42FE"/>
    <w:rsid w:val="000E438D"/>
    <w:rsid w:val="000E4402"/>
    <w:rsid w:val="000E4564"/>
    <w:rsid w:val="000E465E"/>
    <w:rsid w:val="000E47FF"/>
    <w:rsid w:val="000E4803"/>
    <w:rsid w:val="000E4852"/>
    <w:rsid w:val="000E48FD"/>
    <w:rsid w:val="000E4918"/>
    <w:rsid w:val="000E4950"/>
    <w:rsid w:val="000E4AEB"/>
    <w:rsid w:val="000E4BC7"/>
    <w:rsid w:val="000E4C8C"/>
    <w:rsid w:val="000E4D69"/>
    <w:rsid w:val="000E4D9C"/>
    <w:rsid w:val="000E4DF5"/>
    <w:rsid w:val="000E4FA5"/>
    <w:rsid w:val="000E5091"/>
    <w:rsid w:val="000E522E"/>
    <w:rsid w:val="000E52C8"/>
    <w:rsid w:val="000E5326"/>
    <w:rsid w:val="000E5448"/>
    <w:rsid w:val="000E547E"/>
    <w:rsid w:val="000E5484"/>
    <w:rsid w:val="000E54A8"/>
    <w:rsid w:val="000E54CE"/>
    <w:rsid w:val="000E54D9"/>
    <w:rsid w:val="000E54DA"/>
    <w:rsid w:val="000E55C3"/>
    <w:rsid w:val="000E55C7"/>
    <w:rsid w:val="000E5715"/>
    <w:rsid w:val="000E57EE"/>
    <w:rsid w:val="000E5869"/>
    <w:rsid w:val="000E5B41"/>
    <w:rsid w:val="000E5BA0"/>
    <w:rsid w:val="000E5BA4"/>
    <w:rsid w:val="000E5C04"/>
    <w:rsid w:val="000E5C27"/>
    <w:rsid w:val="000E5CEF"/>
    <w:rsid w:val="000E5D50"/>
    <w:rsid w:val="000E5D6D"/>
    <w:rsid w:val="000E5D7C"/>
    <w:rsid w:val="000E6028"/>
    <w:rsid w:val="000E6059"/>
    <w:rsid w:val="000E6074"/>
    <w:rsid w:val="000E6092"/>
    <w:rsid w:val="000E60B0"/>
    <w:rsid w:val="000E6117"/>
    <w:rsid w:val="000E6358"/>
    <w:rsid w:val="000E645D"/>
    <w:rsid w:val="000E6482"/>
    <w:rsid w:val="000E64A6"/>
    <w:rsid w:val="000E661E"/>
    <w:rsid w:val="000E6668"/>
    <w:rsid w:val="000E66C2"/>
    <w:rsid w:val="000E6708"/>
    <w:rsid w:val="000E6740"/>
    <w:rsid w:val="000E6744"/>
    <w:rsid w:val="000E678B"/>
    <w:rsid w:val="000E68E7"/>
    <w:rsid w:val="000E6915"/>
    <w:rsid w:val="000E6994"/>
    <w:rsid w:val="000E6AB1"/>
    <w:rsid w:val="000E6BFF"/>
    <w:rsid w:val="000E6C66"/>
    <w:rsid w:val="000E6CEB"/>
    <w:rsid w:val="000E6D83"/>
    <w:rsid w:val="000E6E48"/>
    <w:rsid w:val="000E6F9D"/>
    <w:rsid w:val="000E7031"/>
    <w:rsid w:val="000E7159"/>
    <w:rsid w:val="000E7167"/>
    <w:rsid w:val="000E71BA"/>
    <w:rsid w:val="000E7228"/>
    <w:rsid w:val="000E73F7"/>
    <w:rsid w:val="000E7574"/>
    <w:rsid w:val="000E75A1"/>
    <w:rsid w:val="000E762F"/>
    <w:rsid w:val="000E76DB"/>
    <w:rsid w:val="000E7701"/>
    <w:rsid w:val="000E773C"/>
    <w:rsid w:val="000E778A"/>
    <w:rsid w:val="000E77C1"/>
    <w:rsid w:val="000E7814"/>
    <w:rsid w:val="000E781F"/>
    <w:rsid w:val="000E7822"/>
    <w:rsid w:val="000E7878"/>
    <w:rsid w:val="000E7884"/>
    <w:rsid w:val="000E7947"/>
    <w:rsid w:val="000E79B2"/>
    <w:rsid w:val="000E79CA"/>
    <w:rsid w:val="000E79F2"/>
    <w:rsid w:val="000E7A3D"/>
    <w:rsid w:val="000E7B11"/>
    <w:rsid w:val="000E7B66"/>
    <w:rsid w:val="000E7B69"/>
    <w:rsid w:val="000E7BC6"/>
    <w:rsid w:val="000E7BE5"/>
    <w:rsid w:val="000E7C92"/>
    <w:rsid w:val="000E7CEA"/>
    <w:rsid w:val="000E7D6D"/>
    <w:rsid w:val="000E7FE5"/>
    <w:rsid w:val="000F0060"/>
    <w:rsid w:val="000F013B"/>
    <w:rsid w:val="000F0158"/>
    <w:rsid w:val="000F01FD"/>
    <w:rsid w:val="000F02E3"/>
    <w:rsid w:val="000F033A"/>
    <w:rsid w:val="000F0640"/>
    <w:rsid w:val="000F0D94"/>
    <w:rsid w:val="000F0E51"/>
    <w:rsid w:val="000F0FBE"/>
    <w:rsid w:val="000F0FED"/>
    <w:rsid w:val="000F1076"/>
    <w:rsid w:val="000F1150"/>
    <w:rsid w:val="000F11A2"/>
    <w:rsid w:val="000F11C7"/>
    <w:rsid w:val="000F132D"/>
    <w:rsid w:val="000F1459"/>
    <w:rsid w:val="000F14A5"/>
    <w:rsid w:val="000F154C"/>
    <w:rsid w:val="000F1579"/>
    <w:rsid w:val="000F1664"/>
    <w:rsid w:val="000F1692"/>
    <w:rsid w:val="000F16BC"/>
    <w:rsid w:val="000F1702"/>
    <w:rsid w:val="000F172F"/>
    <w:rsid w:val="000F17A2"/>
    <w:rsid w:val="000F1AB8"/>
    <w:rsid w:val="000F1BFA"/>
    <w:rsid w:val="000F1CC5"/>
    <w:rsid w:val="000F1D1D"/>
    <w:rsid w:val="000F1D41"/>
    <w:rsid w:val="000F1E22"/>
    <w:rsid w:val="000F1E4D"/>
    <w:rsid w:val="000F1E7F"/>
    <w:rsid w:val="000F1FB2"/>
    <w:rsid w:val="000F1FB6"/>
    <w:rsid w:val="000F2026"/>
    <w:rsid w:val="000F2040"/>
    <w:rsid w:val="000F2093"/>
    <w:rsid w:val="000F20FE"/>
    <w:rsid w:val="000F2178"/>
    <w:rsid w:val="000F22CA"/>
    <w:rsid w:val="000F22E1"/>
    <w:rsid w:val="000F2391"/>
    <w:rsid w:val="000F242F"/>
    <w:rsid w:val="000F251D"/>
    <w:rsid w:val="000F265D"/>
    <w:rsid w:val="000F26D8"/>
    <w:rsid w:val="000F279C"/>
    <w:rsid w:val="000F2A90"/>
    <w:rsid w:val="000F2AAD"/>
    <w:rsid w:val="000F2BDF"/>
    <w:rsid w:val="000F2C9E"/>
    <w:rsid w:val="000F2CA6"/>
    <w:rsid w:val="000F2CA8"/>
    <w:rsid w:val="000F2D57"/>
    <w:rsid w:val="000F2E2D"/>
    <w:rsid w:val="000F2ECF"/>
    <w:rsid w:val="000F2EFE"/>
    <w:rsid w:val="000F2FA8"/>
    <w:rsid w:val="000F3005"/>
    <w:rsid w:val="000F30C6"/>
    <w:rsid w:val="000F31C2"/>
    <w:rsid w:val="000F3421"/>
    <w:rsid w:val="000F34A5"/>
    <w:rsid w:val="000F364B"/>
    <w:rsid w:val="000F36F3"/>
    <w:rsid w:val="000F3A05"/>
    <w:rsid w:val="000F3A5D"/>
    <w:rsid w:val="000F3AAB"/>
    <w:rsid w:val="000F3AAF"/>
    <w:rsid w:val="000F3B14"/>
    <w:rsid w:val="000F3BDE"/>
    <w:rsid w:val="000F3CD9"/>
    <w:rsid w:val="000F3DC4"/>
    <w:rsid w:val="000F3E82"/>
    <w:rsid w:val="000F3ECE"/>
    <w:rsid w:val="000F411B"/>
    <w:rsid w:val="000F419E"/>
    <w:rsid w:val="000F41AC"/>
    <w:rsid w:val="000F41CB"/>
    <w:rsid w:val="000F4237"/>
    <w:rsid w:val="000F4239"/>
    <w:rsid w:val="000F43AF"/>
    <w:rsid w:val="000F44F6"/>
    <w:rsid w:val="000F464A"/>
    <w:rsid w:val="000F464F"/>
    <w:rsid w:val="000F47AC"/>
    <w:rsid w:val="000F4848"/>
    <w:rsid w:val="000F4963"/>
    <w:rsid w:val="000F49E1"/>
    <w:rsid w:val="000F4A2E"/>
    <w:rsid w:val="000F4A41"/>
    <w:rsid w:val="000F4AD6"/>
    <w:rsid w:val="000F4AE4"/>
    <w:rsid w:val="000F4AF6"/>
    <w:rsid w:val="000F4B18"/>
    <w:rsid w:val="000F4B75"/>
    <w:rsid w:val="000F4C7E"/>
    <w:rsid w:val="000F4DE1"/>
    <w:rsid w:val="000F4E39"/>
    <w:rsid w:val="000F4E65"/>
    <w:rsid w:val="000F4F1E"/>
    <w:rsid w:val="000F5046"/>
    <w:rsid w:val="000F5078"/>
    <w:rsid w:val="000F51B6"/>
    <w:rsid w:val="000F5262"/>
    <w:rsid w:val="000F5281"/>
    <w:rsid w:val="000F54A2"/>
    <w:rsid w:val="000F5678"/>
    <w:rsid w:val="000F56A9"/>
    <w:rsid w:val="000F571B"/>
    <w:rsid w:val="000F575F"/>
    <w:rsid w:val="000F5834"/>
    <w:rsid w:val="000F5858"/>
    <w:rsid w:val="000F58CF"/>
    <w:rsid w:val="000F593E"/>
    <w:rsid w:val="000F59B3"/>
    <w:rsid w:val="000F59F9"/>
    <w:rsid w:val="000F5B99"/>
    <w:rsid w:val="000F5C03"/>
    <w:rsid w:val="000F5C10"/>
    <w:rsid w:val="000F5C2A"/>
    <w:rsid w:val="000F5DC3"/>
    <w:rsid w:val="000F5E36"/>
    <w:rsid w:val="000F5EBB"/>
    <w:rsid w:val="000F60CE"/>
    <w:rsid w:val="000F60E7"/>
    <w:rsid w:val="000F61EA"/>
    <w:rsid w:val="000F621A"/>
    <w:rsid w:val="000F6264"/>
    <w:rsid w:val="000F6469"/>
    <w:rsid w:val="000F658A"/>
    <w:rsid w:val="000F6592"/>
    <w:rsid w:val="000F6952"/>
    <w:rsid w:val="000F6B99"/>
    <w:rsid w:val="000F6C96"/>
    <w:rsid w:val="000F6D2F"/>
    <w:rsid w:val="000F6D36"/>
    <w:rsid w:val="000F6D61"/>
    <w:rsid w:val="000F6D80"/>
    <w:rsid w:val="000F6F1A"/>
    <w:rsid w:val="000F7054"/>
    <w:rsid w:val="000F709D"/>
    <w:rsid w:val="000F70CD"/>
    <w:rsid w:val="000F70F0"/>
    <w:rsid w:val="000F714D"/>
    <w:rsid w:val="000F71C8"/>
    <w:rsid w:val="000F71CF"/>
    <w:rsid w:val="000F7200"/>
    <w:rsid w:val="000F7277"/>
    <w:rsid w:val="000F7303"/>
    <w:rsid w:val="000F7328"/>
    <w:rsid w:val="000F7342"/>
    <w:rsid w:val="000F73C2"/>
    <w:rsid w:val="000F73E5"/>
    <w:rsid w:val="000F740D"/>
    <w:rsid w:val="000F75F4"/>
    <w:rsid w:val="000F7639"/>
    <w:rsid w:val="000F77DB"/>
    <w:rsid w:val="000F7AB4"/>
    <w:rsid w:val="000F7B69"/>
    <w:rsid w:val="000F7B87"/>
    <w:rsid w:val="000F7BD0"/>
    <w:rsid w:val="000F7C5A"/>
    <w:rsid w:val="000F7C8D"/>
    <w:rsid w:val="000F7DCC"/>
    <w:rsid w:val="00100024"/>
    <w:rsid w:val="001000B0"/>
    <w:rsid w:val="001000CA"/>
    <w:rsid w:val="001000EB"/>
    <w:rsid w:val="0010027E"/>
    <w:rsid w:val="00100363"/>
    <w:rsid w:val="001003A5"/>
    <w:rsid w:val="001003D8"/>
    <w:rsid w:val="0010046E"/>
    <w:rsid w:val="00100539"/>
    <w:rsid w:val="00100592"/>
    <w:rsid w:val="001005A2"/>
    <w:rsid w:val="001005B5"/>
    <w:rsid w:val="00100667"/>
    <w:rsid w:val="001006CB"/>
    <w:rsid w:val="0010072D"/>
    <w:rsid w:val="0010073B"/>
    <w:rsid w:val="00100981"/>
    <w:rsid w:val="001009BD"/>
    <w:rsid w:val="00100A06"/>
    <w:rsid w:val="00100B15"/>
    <w:rsid w:val="00100B28"/>
    <w:rsid w:val="00100B35"/>
    <w:rsid w:val="00100B84"/>
    <w:rsid w:val="00100D3C"/>
    <w:rsid w:val="00100D80"/>
    <w:rsid w:val="00100E46"/>
    <w:rsid w:val="00101019"/>
    <w:rsid w:val="00101259"/>
    <w:rsid w:val="00101293"/>
    <w:rsid w:val="001013C4"/>
    <w:rsid w:val="0010143F"/>
    <w:rsid w:val="00101526"/>
    <w:rsid w:val="0010153A"/>
    <w:rsid w:val="00101558"/>
    <w:rsid w:val="0010158C"/>
    <w:rsid w:val="00101657"/>
    <w:rsid w:val="00101660"/>
    <w:rsid w:val="00101672"/>
    <w:rsid w:val="001018A2"/>
    <w:rsid w:val="001018DD"/>
    <w:rsid w:val="00101A58"/>
    <w:rsid w:val="00101A5E"/>
    <w:rsid w:val="00101ACD"/>
    <w:rsid w:val="00101BAC"/>
    <w:rsid w:val="00101C0D"/>
    <w:rsid w:val="00101CDA"/>
    <w:rsid w:val="00101D51"/>
    <w:rsid w:val="00101DC4"/>
    <w:rsid w:val="00101DE6"/>
    <w:rsid w:val="00101F77"/>
    <w:rsid w:val="00101FB1"/>
    <w:rsid w:val="001020E6"/>
    <w:rsid w:val="001020F4"/>
    <w:rsid w:val="001021AB"/>
    <w:rsid w:val="001021C1"/>
    <w:rsid w:val="001023AA"/>
    <w:rsid w:val="0010251C"/>
    <w:rsid w:val="00102651"/>
    <w:rsid w:val="00102675"/>
    <w:rsid w:val="001026D2"/>
    <w:rsid w:val="001026ED"/>
    <w:rsid w:val="00102768"/>
    <w:rsid w:val="001027A7"/>
    <w:rsid w:val="0010285E"/>
    <w:rsid w:val="001028BB"/>
    <w:rsid w:val="00102BD8"/>
    <w:rsid w:val="00102CC7"/>
    <w:rsid w:val="00102DE0"/>
    <w:rsid w:val="00102DE7"/>
    <w:rsid w:val="00102F06"/>
    <w:rsid w:val="00102FC6"/>
    <w:rsid w:val="001030FB"/>
    <w:rsid w:val="0010315A"/>
    <w:rsid w:val="00103163"/>
    <w:rsid w:val="001032E5"/>
    <w:rsid w:val="00103306"/>
    <w:rsid w:val="00103457"/>
    <w:rsid w:val="00103489"/>
    <w:rsid w:val="001036CA"/>
    <w:rsid w:val="00103961"/>
    <w:rsid w:val="00103A2E"/>
    <w:rsid w:val="00103A69"/>
    <w:rsid w:val="00103BE6"/>
    <w:rsid w:val="00103DDE"/>
    <w:rsid w:val="00103ED5"/>
    <w:rsid w:val="00103EE1"/>
    <w:rsid w:val="00103F33"/>
    <w:rsid w:val="00103F8A"/>
    <w:rsid w:val="00103FB0"/>
    <w:rsid w:val="0010422D"/>
    <w:rsid w:val="00104292"/>
    <w:rsid w:val="00104338"/>
    <w:rsid w:val="00104349"/>
    <w:rsid w:val="0010459E"/>
    <w:rsid w:val="00104802"/>
    <w:rsid w:val="00104927"/>
    <w:rsid w:val="001049B2"/>
    <w:rsid w:val="00104A7E"/>
    <w:rsid w:val="00104ACE"/>
    <w:rsid w:val="00104AD0"/>
    <w:rsid w:val="00104C42"/>
    <w:rsid w:val="00104D9F"/>
    <w:rsid w:val="00105151"/>
    <w:rsid w:val="00105273"/>
    <w:rsid w:val="001052C5"/>
    <w:rsid w:val="00105306"/>
    <w:rsid w:val="00105433"/>
    <w:rsid w:val="001054DC"/>
    <w:rsid w:val="001055A0"/>
    <w:rsid w:val="0010566F"/>
    <w:rsid w:val="001056CF"/>
    <w:rsid w:val="00105759"/>
    <w:rsid w:val="001057EB"/>
    <w:rsid w:val="00105A99"/>
    <w:rsid w:val="00105AB9"/>
    <w:rsid w:val="00105ACF"/>
    <w:rsid w:val="00105B50"/>
    <w:rsid w:val="00105B5E"/>
    <w:rsid w:val="00105D07"/>
    <w:rsid w:val="00105F63"/>
    <w:rsid w:val="00105FDB"/>
    <w:rsid w:val="00106068"/>
    <w:rsid w:val="001061CB"/>
    <w:rsid w:val="00106307"/>
    <w:rsid w:val="00106324"/>
    <w:rsid w:val="0010636D"/>
    <w:rsid w:val="00106608"/>
    <w:rsid w:val="00106645"/>
    <w:rsid w:val="00106649"/>
    <w:rsid w:val="001066EC"/>
    <w:rsid w:val="0010674B"/>
    <w:rsid w:val="00106769"/>
    <w:rsid w:val="0010678F"/>
    <w:rsid w:val="001067AA"/>
    <w:rsid w:val="0010683F"/>
    <w:rsid w:val="00106848"/>
    <w:rsid w:val="00106899"/>
    <w:rsid w:val="001068E4"/>
    <w:rsid w:val="00106B37"/>
    <w:rsid w:val="00106C2B"/>
    <w:rsid w:val="00106CF8"/>
    <w:rsid w:val="00106E6E"/>
    <w:rsid w:val="00106E8E"/>
    <w:rsid w:val="00106E96"/>
    <w:rsid w:val="00106F13"/>
    <w:rsid w:val="00106FC6"/>
    <w:rsid w:val="00107016"/>
    <w:rsid w:val="001070A1"/>
    <w:rsid w:val="001070B9"/>
    <w:rsid w:val="001070DE"/>
    <w:rsid w:val="00107652"/>
    <w:rsid w:val="00107773"/>
    <w:rsid w:val="00107847"/>
    <w:rsid w:val="00107862"/>
    <w:rsid w:val="001079B2"/>
    <w:rsid w:val="00107A0D"/>
    <w:rsid w:val="00107C49"/>
    <w:rsid w:val="00107D5D"/>
    <w:rsid w:val="00107E2D"/>
    <w:rsid w:val="00107F49"/>
    <w:rsid w:val="00110013"/>
    <w:rsid w:val="001100D1"/>
    <w:rsid w:val="0011023E"/>
    <w:rsid w:val="001102FB"/>
    <w:rsid w:val="0011032D"/>
    <w:rsid w:val="00110449"/>
    <w:rsid w:val="0011044F"/>
    <w:rsid w:val="0011076A"/>
    <w:rsid w:val="0011085C"/>
    <w:rsid w:val="001108D3"/>
    <w:rsid w:val="00110A6A"/>
    <w:rsid w:val="00110C42"/>
    <w:rsid w:val="00110C48"/>
    <w:rsid w:val="00110D65"/>
    <w:rsid w:val="00110D7D"/>
    <w:rsid w:val="00110D81"/>
    <w:rsid w:val="00110D86"/>
    <w:rsid w:val="00110DE8"/>
    <w:rsid w:val="00110E1B"/>
    <w:rsid w:val="00110EC4"/>
    <w:rsid w:val="00110EDE"/>
    <w:rsid w:val="00110F1F"/>
    <w:rsid w:val="00110FCF"/>
    <w:rsid w:val="00110FFC"/>
    <w:rsid w:val="00111007"/>
    <w:rsid w:val="0011103B"/>
    <w:rsid w:val="001110FB"/>
    <w:rsid w:val="00111109"/>
    <w:rsid w:val="00111147"/>
    <w:rsid w:val="00111183"/>
    <w:rsid w:val="0011123C"/>
    <w:rsid w:val="0011132B"/>
    <w:rsid w:val="00111367"/>
    <w:rsid w:val="00111383"/>
    <w:rsid w:val="00111411"/>
    <w:rsid w:val="00111430"/>
    <w:rsid w:val="00111581"/>
    <w:rsid w:val="0011159C"/>
    <w:rsid w:val="0011166D"/>
    <w:rsid w:val="001116EE"/>
    <w:rsid w:val="00111774"/>
    <w:rsid w:val="0011177E"/>
    <w:rsid w:val="001117A4"/>
    <w:rsid w:val="001117DA"/>
    <w:rsid w:val="0011192A"/>
    <w:rsid w:val="00111AF1"/>
    <w:rsid w:val="00111B15"/>
    <w:rsid w:val="00111B34"/>
    <w:rsid w:val="00111CF7"/>
    <w:rsid w:val="00111D3B"/>
    <w:rsid w:val="00111D52"/>
    <w:rsid w:val="00111DEA"/>
    <w:rsid w:val="00111E4C"/>
    <w:rsid w:val="00112118"/>
    <w:rsid w:val="001121ED"/>
    <w:rsid w:val="0011225F"/>
    <w:rsid w:val="001123A4"/>
    <w:rsid w:val="00112446"/>
    <w:rsid w:val="00112575"/>
    <w:rsid w:val="001126D5"/>
    <w:rsid w:val="0011276A"/>
    <w:rsid w:val="00112788"/>
    <w:rsid w:val="001127BC"/>
    <w:rsid w:val="001127E2"/>
    <w:rsid w:val="00112820"/>
    <w:rsid w:val="001129FC"/>
    <w:rsid w:val="00112A10"/>
    <w:rsid w:val="00112A26"/>
    <w:rsid w:val="00112A4E"/>
    <w:rsid w:val="00112A6B"/>
    <w:rsid w:val="00112B3B"/>
    <w:rsid w:val="00112CAC"/>
    <w:rsid w:val="00112DFA"/>
    <w:rsid w:val="00112E39"/>
    <w:rsid w:val="00112F41"/>
    <w:rsid w:val="00112FFC"/>
    <w:rsid w:val="00113090"/>
    <w:rsid w:val="001130B1"/>
    <w:rsid w:val="001130C7"/>
    <w:rsid w:val="00113141"/>
    <w:rsid w:val="001131D0"/>
    <w:rsid w:val="001133B2"/>
    <w:rsid w:val="00113538"/>
    <w:rsid w:val="0011359B"/>
    <w:rsid w:val="001135C6"/>
    <w:rsid w:val="001135C7"/>
    <w:rsid w:val="0011364A"/>
    <w:rsid w:val="0011364F"/>
    <w:rsid w:val="001136BA"/>
    <w:rsid w:val="0011372A"/>
    <w:rsid w:val="00113740"/>
    <w:rsid w:val="001137AC"/>
    <w:rsid w:val="001137EC"/>
    <w:rsid w:val="00113842"/>
    <w:rsid w:val="001139EE"/>
    <w:rsid w:val="00113BB2"/>
    <w:rsid w:val="00113C27"/>
    <w:rsid w:val="00113CA2"/>
    <w:rsid w:val="00113F1C"/>
    <w:rsid w:val="0011404C"/>
    <w:rsid w:val="0011408F"/>
    <w:rsid w:val="0011409D"/>
    <w:rsid w:val="001141B8"/>
    <w:rsid w:val="00114259"/>
    <w:rsid w:val="00114402"/>
    <w:rsid w:val="001144D2"/>
    <w:rsid w:val="001144E3"/>
    <w:rsid w:val="00114528"/>
    <w:rsid w:val="0011464B"/>
    <w:rsid w:val="00114659"/>
    <w:rsid w:val="0011469C"/>
    <w:rsid w:val="001146AC"/>
    <w:rsid w:val="00114749"/>
    <w:rsid w:val="001148D2"/>
    <w:rsid w:val="00114A55"/>
    <w:rsid w:val="00114B25"/>
    <w:rsid w:val="00114BBB"/>
    <w:rsid w:val="00114C54"/>
    <w:rsid w:val="00114D6B"/>
    <w:rsid w:val="0011503D"/>
    <w:rsid w:val="001150F1"/>
    <w:rsid w:val="001151D1"/>
    <w:rsid w:val="00115249"/>
    <w:rsid w:val="001152C1"/>
    <w:rsid w:val="001152F4"/>
    <w:rsid w:val="0011552A"/>
    <w:rsid w:val="0011555A"/>
    <w:rsid w:val="00115593"/>
    <w:rsid w:val="0011567D"/>
    <w:rsid w:val="00115735"/>
    <w:rsid w:val="0011580D"/>
    <w:rsid w:val="0011596E"/>
    <w:rsid w:val="001159FC"/>
    <w:rsid w:val="00115A8A"/>
    <w:rsid w:val="00115C33"/>
    <w:rsid w:val="00115DD1"/>
    <w:rsid w:val="00115E21"/>
    <w:rsid w:val="00115EAE"/>
    <w:rsid w:val="00115F21"/>
    <w:rsid w:val="00115FB3"/>
    <w:rsid w:val="00116008"/>
    <w:rsid w:val="001160A2"/>
    <w:rsid w:val="001162ED"/>
    <w:rsid w:val="0011653B"/>
    <w:rsid w:val="00116745"/>
    <w:rsid w:val="00116785"/>
    <w:rsid w:val="00116799"/>
    <w:rsid w:val="001167C5"/>
    <w:rsid w:val="001167C6"/>
    <w:rsid w:val="001167ED"/>
    <w:rsid w:val="00116841"/>
    <w:rsid w:val="001168D3"/>
    <w:rsid w:val="00116927"/>
    <w:rsid w:val="00116AE2"/>
    <w:rsid w:val="00116AEA"/>
    <w:rsid w:val="00116C69"/>
    <w:rsid w:val="00116DC1"/>
    <w:rsid w:val="00116E77"/>
    <w:rsid w:val="00116E8C"/>
    <w:rsid w:val="00116EF0"/>
    <w:rsid w:val="00116FB7"/>
    <w:rsid w:val="00117021"/>
    <w:rsid w:val="001171D9"/>
    <w:rsid w:val="001172BB"/>
    <w:rsid w:val="001173B2"/>
    <w:rsid w:val="001174D4"/>
    <w:rsid w:val="0011760B"/>
    <w:rsid w:val="001178E0"/>
    <w:rsid w:val="00117A22"/>
    <w:rsid w:val="00117B3E"/>
    <w:rsid w:val="00117BDF"/>
    <w:rsid w:val="00117C5E"/>
    <w:rsid w:val="00117C68"/>
    <w:rsid w:val="00117C6B"/>
    <w:rsid w:val="00117E5E"/>
    <w:rsid w:val="00117E68"/>
    <w:rsid w:val="00117E70"/>
    <w:rsid w:val="00117F6C"/>
    <w:rsid w:val="001201B2"/>
    <w:rsid w:val="001202CB"/>
    <w:rsid w:val="0012044F"/>
    <w:rsid w:val="001204BE"/>
    <w:rsid w:val="0012052B"/>
    <w:rsid w:val="0012052C"/>
    <w:rsid w:val="0012060F"/>
    <w:rsid w:val="00120634"/>
    <w:rsid w:val="00120739"/>
    <w:rsid w:val="00120787"/>
    <w:rsid w:val="001207B5"/>
    <w:rsid w:val="00120821"/>
    <w:rsid w:val="0012086F"/>
    <w:rsid w:val="001209BE"/>
    <w:rsid w:val="001209F8"/>
    <w:rsid w:val="00120B31"/>
    <w:rsid w:val="00120B3C"/>
    <w:rsid w:val="00120C09"/>
    <w:rsid w:val="00120E1D"/>
    <w:rsid w:val="00120FB5"/>
    <w:rsid w:val="00120FD4"/>
    <w:rsid w:val="00121257"/>
    <w:rsid w:val="0012138F"/>
    <w:rsid w:val="001214A2"/>
    <w:rsid w:val="001214FF"/>
    <w:rsid w:val="001215EC"/>
    <w:rsid w:val="00121747"/>
    <w:rsid w:val="00121758"/>
    <w:rsid w:val="001217F5"/>
    <w:rsid w:val="00121AF1"/>
    <w:rsid w:val="00121B12"/>
    <w:rsid w:val="00121B69"/>
    <w:rsid w:val="00121BC0"/>
    <w:rsid w:val="00121CD0"/>
    <w:rsid w:val="00121D1C"/>
    <w:rsid w:val="00121D2A"/>
    <w:rsid w:val="00121ED0"/>
    <w:rsid w:val="00121EFF"/>
    <w:rsid w:val="0012202A"/>
    <w:rsid w:val="00122127"/>
    <w:rsid w:val="001223CB"/>
    <w:rsid w:val="0012249E"/>
    <w:rsid w:val="001224A7"/>
    <w:rsid w:val="001226B7"/>
    <w:rsid w:val="00122858"/>
    <w:rsid w:val="0012285D"/>
    <w:rsid w:val="00122877"/>
    <w:rsid w:val="001228E5"/>
    <w:rsid w:val="00122901"/>
    <w:rsid w:val="00122A7B"/>
    <w:rsid w:val="00122B4D"/>
    <w:rsid w:val="00122C4F"/>
    <w:rsid w:val="00122CA1"/>
    <w:rsid w:val="00122CE8"/>
    <w:rsid w:val="00122DA3"/>
    <w:rsid w:val="00122F85"/>
    <w:rsid w:val="001230AC"/>
    <w:rsid w:val="0012321F"/>
    <w:rsid w:val="0012328C"/>
    <w:rsid w:val="0012332A"/>
    <w:rsid w:val="00123332"/>
    <w:rsid w:val="00123373"/>
    <w:rsid w:val="001233E9"/>
    <w:rsid w:val="00123448"/>
    <w:rsid w:val="0012353B"/>
    <w:rsid w:val="00123653"/>
    <w:rsid w:val="0012367D"/>
    <w:rsid w:val="0012373F"/>
    <w:rsid w:val="001237A1"/>
    <w:rsid w:val="001237F9"/>
    <w:rsid w:val="00123A17"/>
    <w:rsid w:val="00123A1A"/>
    <w:rsid w:val="00123A1D"/>
    <w:rsid w:val="00123C20"/>
    <w:rsid w:val="00123C75"/>
    <w:rsid w:val="00123CDD"/>
    <w:rsid w:val="00123D60"/>
    <w:rsid w:val="00123E9B"/>
    <w:rsid w:val="00123F51"/>
    <w:rsid w:val="00123F6D"/>
    <w:rsid w:val="00123FC2"/>
    <w:rsid w:val="001242ED"/>
    <w:rsid w:val="001243D8"/>
    <w:rsid w:val="001243F6"/>
    <w:rsid w:val="0012449B"/>
    <w:rsid w:val="0012451D"/>
    <w:rsid w:val="00124601"/>
    <w:rsid w:val="001246B5"/>
    <w:rsid w:val="00124727"/>
    <w:rsid w:val="00124990"/>
    <w:rsid w:val="00124B5A"/>
    <w:rsid w:val="00124B8B"/>
    <w:rsid w:val="00124E3C"/>
    <w:rsid w:val="00124F61"/>
    <w:rsid w:val="00124F79"/>
    <w:rsid w:val="00124FAF"/>
    <w:rsid w:val="00124FC4"/>
    <w:rsid w:val="00125125"/>
    <w:rsid w:val="0012546B"/>
    <w:rsid w:val="00125577"/>
    <w:rsid w:val="0012569E"/>
    <w:rsid w:val="00125777"/>
    <w:rsid w:val="00125793"/>
    <w:rsid w:val="00125829"/>
    <w:rsid w:val="0012587D"/>
    <w:rsid w:val="001258DD"/>
    <w:rsid w:val="00125921"/>
    <w:rsid w:val="00125957"/>
    <w:rsid w:val="0012597A"/>
    <w:rsid w:val="001259EA"/>
    <w:rsid w:val="00125ADB"/>
    <w:rsid w:val="00125B89"/>
    <w:rsid w:val="00125BD7"/>
    <w:rsid w:val="00125BF7"/>
    <w:rsid w:val="00125C2B"/>
    <w:rsid w:val="00125CDC"/>
    <w:rsid w:val="00125D7F"/>
    <w:rsid w:val="00125E77"/>
    <w:rsid w:val="00125F76"/>
    <w:rsid w:val="00126015"/>
    <w:rsid w:val="001260AD"/>
    <w:rsid w:val="0012619C"/>
    <w:rsid w:val="001262EA"/>
    <w:rsid w:val="00126300"/>
    <w:rsid w:val="0012632B"/>
    <w:rsid w:val="00126406"/>
    <w:rsid w:val="001264FD"/>
    <w:rsid w:val="001265F6"/>
    <w:rsid w:val="0012661D"/>
    <w:rsid w:val="00126666"/>
    <w:rsid w:val="00126693"/>
    <w:rsid w:val="001266F7"/>
    <w:rsid w:val="00126735"/>
    <w:rsid w:val="001268D8"/>
    <w:rsid w:val="00126B1D"/>
    <w:rsid w:val="00126B52"/>
    <w:rsid w:val="00126D12"/>
    <w:rsid w:val="00126D2B"/>
    <w:rsid w:val="00126D59"/>
    <w:rsid w:val="00126E9D"/>
    <w:rsid w:val="00126EDC"/>
    <w:rsid w:val="00126EDD"/>
    <w:rsid w:val="00127039"/>
    <w:rsid w:val="0012705B"/>
    <w:rsid w:val="0012718D"/>
    <w:rsid w:val="00127199"/>
    <w:rsid w:val="001271A2"/>
    <w:rsid w:val="001271FE"/>
    <w:rsid w:val="00127312"/>
    <w:rsid w:val="001273A1"/>
    <w:rsid w:val="00127540"/>
    <w:rsid w:val="0012755B"/>
    <w:rsid w:val="00127699"/>
    <w:rsid w:val="001276AF"/>
    <w:rsid w:val="001277B3"/>
    <w:rsid w:val="0012787D"/>
    <w:rsid w:val="001279C6"/>
    <w:rsid w:val="001279D0"/>
    <w:rsid w:val="00127BC5"/>
    <w:rsid w:val="00127D18"/>
    <w:rsid w:val="001301A8"/>
    <w:rsid w:val="001301E5"/>
    <w:rsid w:val="001301FA"/>
    <w:rsid w:val="00130228"/>
    <w:rsid w:val="0013027D"/>
    <w:rsid w:val="0013031A"/>
    <w:rsid w:val="001303DE"/>
    <w:rsid w:val="00130592"/>
    <w:rsid w:val="001306E4"/>
    <w:rsid w:val="0013073F"/>
    <w:rsid w:val="001307AD"/>
    <w:rsid w:val="001307D8"/>
    <w:rsid w:val="001307E5"/>
    <w:rsid w:val="0013082F"/>
    <w:rsid w:val="001308E0"/>
    <w:rsid w:val="00130955"/>
    <w:rsid w:val="001309B5"/>
    <w:rsid w:val="00130B15"/>
    <w:rsid w:val="00130B83"/>
    <w:rsid w:val="00130BFB"/>
    <w:rsid w:val="00130CF8"/>
    <w:rsid w:val="00130D15"/>
    <w:rsid w:val="00130E08"/>
    <w:rsid w:val="00130EB3"/>
    <w:rsid w:val="00131020"/>
    <w:rsid w:val="00131047"/>
    <w:rsid w:val="0013105D"/>
    <w:rsid w:val="001312FF"/>
    <w:rsid w:val="00131306"/>
    <w:rsid w:val="0013146D"/>
    <w:rsid w:val="00131552"/>
    <w:rsid w:val="00131573"/>
    <w:rsid w:val="001315D1"/>
    <w:rsid w:val="00131656"/>
    <w:rsid w:val="001316F0"/>
    <w:rsid w:val="0013186A"/>
    <w:rsid w:val="00131927"/>
    <w:rsid w:val="0013194F"/>
    <w:rsid w:val="00131ACC"/>
    <w:rsid w:val="00131B2B"/>
    <w:rsid w:val="00131B51"/>
    <w:rsid w:val="00131B52"/>
    <w:rsid w:val="00131BC3"/>
    <w:rsid w:val="00131C73"/>
    <w:rsid w:val="00131D6A"/>
    <w:rsid w:val="00131EDF"/>
    <w:rsid w:val="00131F7E"/>
    <w:rsid w:val="00132026"/>
    <w:rsid w:val="001320CD"/>
    <w:rsid w:val="00132157"/>
    <w:rsid w:val="00132161"/>
    <w:rsid w:val="00132162"/>
    <w:rsid w:val="0013223C"/>
    <w:rsid w:val="00132273"/>
    <w:rsid w:val="0013228D"/>
    <w:rsid w:val="0013229B"/>
    <w:rsid w:val="00132331"/>
    <w:rsid w:val="00132342"/>
    <w:rsid w:val="0013237D"/>
    <w:rsid w:val="00132392"/>
    <w:rsid w:val="001324BF"/>
    <w:rsid w:val="00132517"/>
    <w:rsid w:val="00132570"/>
    <w:rsid w:val="00132578"/>
    <w:rsid w:val="001325F7"/>
    <w:rsid w:val="00132678"/>
    <w:rsid w:val="001326D1"/>
    <w:rsid w:val="001327C8"/>
    <w:rsid w:val="001328A3"/>
    <w:rsid w:val="001328BB"/>
    <w:rsid w:val="00132A0D"/>
    <w:rsid w:val="00132BDA"/>
    <w:rsid w:val="00132DB8"/>
    <w:rsid w:val="00132DCE"/>
    <w:rsid w:val="00132DE1"/>
    <w:rsid w:val="00132E8B"/>
    <w:rsid w:val="00132E96"/>
    <w:rsid w:val="00132F9C"/>
    <w:rsid w:val="00132FE2"/>
    <w:rsid w:val="00132FEA"/>
    <w:rsid w:val="00132FEE"/>
    <w:rsid w:val="00133015"/>
    <w:rsid w:val="00133038"/>
    <w:rsid w:val="00133057"/>
    <w:rsid w:val="001331C8"/>
    <w:rsid w:val="00133273"/>
    <w:rsid w:val="00133294"/>
    <w:rsid w:val="001332F6"/>
    <w:rsid w:val="00133371"/>
    <w:rsid w:val="00133507"/>
    <w:rsid w:val="0013352D"/>
    <w:rsid w:val="00133554"/>
    <w:rsid w:val="001335C3"/>
    <w:rsid w:val="00133603"/>
    <w:rsid w:val="0013367C"/>
    <w:rsid w:val="0013369C"/>
    <w:rsid w:val="001337D2"/>
    <w:rsid w:val="0013384E"/>
    <w:rsid w:val="001338A7"/>
    <w:rsid w:val="001338E0"/>
    <w:rsid w:val="0013399E"/>
    <w:rsid w:val="00133A2E"/>
    <w:rsid w:val="00133B3D"/>
    <w:rsid w:val="00133B5C"/>
    <w:rsid w:val="00133D96"/>
    <w:rsid w:val="00133E87"/>
    <w:rsid w:val="00133F51"/>
    <w:rsid w:val="00133F74"/>
    <w:rsid w:val="00133F88"/>
    <w:rsid w:val="00133FD0"/>
    <w:rsid w:val="001340E4"/>
    <w:rsid w:val="00134301"/>
    <w:rsid w:val="0013433B"/>
    <w:rsid w:val="00134374"/>
    <w:rsid w:val="001345C9"/>
    <w:rsid w:val="00134666"/>
    <w:rsid w:val="001346DD"/>
    <w:rsid w:val="001347DC"/>
    <w:rsid w:val="0013480C"/>
    <w:rsid w:val="00134975"/>
    <w:rsid w:val="0013497B"/>
    <w:rsid w:val="0013498A"/>
    <w:rsid w:val="001349E7"/>
    <w:rsid w:val="00134A80"/>
    <w:rsid w:val="00134B38"/>
    <w:rsid w:val="00134B46"/>
    <w:rsid w:val="00134BE7"/>
    <w:rsid w:val="00134C1A"/>
    <w:rsid w:val="00134C39"/>
    <w:rsid w:val="00134CF6"/>
    <w:rsid w:val="00134D15"/>
    <w:rsid w:val="00134E05"/>
    <w:rsid w:val="00134F43"/>
    <w:rsid w:val="001351FA"/>
    <w:rsid w:val="00135208"/>
    <w:rsid w:val="0013522F"/>
    <w:rsid w:val="00135238"/>
    <w:rsid w:val="001352EF"/>
    <w:rsid w:val="00135358"/>
    <w:rsid w:val="00135368"/>
    <w:rsid w:val="0013538E"/>
    <w:rsid w:val="00135395"/>
    <w:rsid w:val="001353A1"/>
    <w:rsid w:val="001353BD"/>
    <w:rsid w:val="001353EA"/>
    <w:rsid w:val="0013543E"/>
    <w:rsid w:val="00135565"/>
    <w:rsid w:val="001356A1"/>
    <w:rsid w:val="00135885"/>
    <w:rsid w:val="001358AE"/>
    <w:rsid w:val="001358F7"/>
    <w:rsid w:val="0013595E"/>
    <w:rsid w:val="001359A5"/>
    <w:rsid w:val="00135A17"/>
    <w:rsid w:val="00135A45"/>
    <w:rsid w:val="00135B10"/>
    <w:rsid w:val="00135C6B"/>
    <w:rsid w:val="00135E3D"/>
    <w:rsid w:val="00135E71"/>
    <w:rsid w:val="00135F5B"/>
    <w:rsid w:val="00135F9F"/>
    <w:rsid w:val="00136304"/>
    <w:rsid w:val="00136481"/>
    <w:rsid w:val="00136486"/>
    <w:rsid w:val="00136489"/>
    <w:rsid w:val="001364DC"/>
    <w:rsid w:val="00136507"/>
    <w:rsid w:val="00136569"/>
    <w:rsid w:val="0013658C"/>
    <w:rsid w:val="001365B0"/>
    <w:rsid w:val="00136658"/>
    <w:rsid w:val="00136860"/>
    <w:rsid w:val="00136903"/>
    <w:rsid w:val="00136940"/>
    <w:rsid w:val="001369B4"/>
    <w:rsid w:val="00136C26"/>
    <w:rsid w:val="00136CA5"/>
    <w:rsid w:val="00136CF4"/>
    <w:rsid w:val="00136DBC"/>
    <w:rsid w:val="00136E82"/>
    <w:rsid w:val="00136E8E"/>
    <w:rsid w:val="00136EBD"/>
    <w:rsid w:val="00136F38"/>
    <w:rsid w:val="00136FBB"/>
    <w:rsid w:val="00137021"/>
    <w:rsid w:val="00137117"/>
    <w:rsid w:val="001371BC"/>
    <w:rsid w:val="00137201"/>
    <w:rsid w:val="00137340"/>
    <w:rsid w:val="001374D9"/>
    <w:rsid w:val="0013751E"/>
    <w:rsid w:val="00137582"/>
    <w:rsid w:val="001375D3"/>
    <w:rsid w:val="00137607"/>
    <w:rsid w:val="001376F2"/>
    <w:rsid w:val="00137857"/>
    <w:rsid w:val="00137913"/>
    <w:rsid w:val="00137989"/>
    <w:rsid w:val="00137D68"/>
    <w:rsid w:val="00137D8D"/>
    <w:rsid w:val="00137DC8"/>
    <w:rsid w:val="00137FE8"/>
    <w:rsid w:val="001401B1"/>
    <w:rsid w:val="00140258"/>
    <w:rsid w:val="00140347"/>
    <w:rsid w:val="001403A8"/>
    <w:rsid w:val="001403B1"/>
    <w:rsid w:val="0014041C"/>
    <w:rsid w:val="0014052D"/>
    <w:rsid w:val="001405CF"/>
    <w:rsid w:val="001407E8"/>
    <w:rsid w:val="0014086A"/>
    <w:rsid w:val="001408CE"/>
    <w:rsid w:val="001409C3"/>
    <w:rsid w:val="001409FC"/>
    <w:rsid w:val="00140CBC"/>
    <w:rsid w:val="00141007"/>
    <w:rsid w:val="001410A8"/>
    <w:rsid w:val="00141138"/>
    <w:rsid w:val="0014115B"/>
    <w:rsid w:val="0014144A"/>
    <w:rsid w:val="0014145E"/>
    <w:rsid w:val="001414B8"/>
    <w:rsid w:val="00141507"/>
    <w:rsid w:val="001416DF"/>
    <w:rsid w:val="00141714"/>
    <w:rsid w:val="0014189A"/>
    <w:rsid w:val="00141A97"/>
    <w:rsid w:val="00141AC0"/>
    <w:rsid w:val="00141B0B"/>
    <w:rsid w:val="00141B34"/>
    <w:rsid w:val="00141BAC"/>
    <w:rsid w:val="00141CA6"/>
    <w:rsid w:val="00141D5E"/>
    <w:rsid w:val="00141DDB"/>
    <w:rsid w:val="00141E66"/>
    <w:rsid w:val="00141EA5"/>
    <w:rsid w:val="00142033"/>
    <w:rsid w:val="00142064"/>
    <w:rsid w:val="0014207B"/>
    <w:rsid w:val="001420A9"/>
    <w:rsid w:val="001420D0"/>
    <w:rsid w:val="00142121"/>
    <w:rsid w:val="00142270"/>
    <w:rsid w:val="00142303"/>
    <w:rsid w:val="00142361"/>
    <w:rsid w:val="001423D9"/>
    <w:rsid w:val="001424E1"/>
    <w:rsid w:val="001425F2"/>
    <w:rsid w:val="00142641"/>
    <w:rsid w:val="00142761"/>
    <w:rsid w:val="001427B3"/>
    <w:rsid w:val="0014281B"/>
    <w:rsid w:val="001428B0"/>
    <w:rsid w:val="001428F5"/>
    <w:rsid w:val="0014294D"/>
    <w:rsid w:val="0014296A"/>
    <w:rsid w:val="00142A5D"/>
    <w:rsid w:val="00142AB6"/>
    <w:rsid w:val="00142AC6"/>
    <w:rsid w:val="00142B93"/>
    <w:rsid w:val="00142B9B"/>
    <w:rsid w:val="00142BB1"/>
    <w:rsid w:val="00142E76"/>
    <w:rsid w:val="00142F02"/>
    <w:rsid w:val="00142F3F"/>
    <w:rsid w:val="00142FFC"/>
    <w:rsid w:val="00142FFE"/>
    <w:rsid w:val="0014303C"/>
    <w:rsid w:val="00143239"/>
    <w:rsid w:val="001432B4"/>
    <w:rsid w:val="0014331F"/>
    <w:rsid w:val="0014343C"/>
    <w:rsid w:val="001434F5"/>
    <w:rsid w:val="0014358A"/>
    <w:rsid w:val="00143651"/>
    <w:rsid w:val="0014374B"/>
    <w:rsid w:val="00143751"/>
    <w:rsid w:val="001437C7"/>
    <w:rsid w:val="001437F4"/>
    <w:rsid w:val="00143967"/>
    <w:rsid w:val="00143D11"/>
    <w:rsid w:val="00143D68"/>
    <w:rsid w:val="00143DF6"/>
    <w:rsid w:val="00143E32"/>
    <w:rsid w:val="00143E45"/>
    <w:rsid w:val="00144091"/>
    <w:rsid w:val="001442EE"/>
    <w:rsid w:val="001442FC"/>
    <w:rsid w:val="0014435F"/>
    <w:rsid w:val="001443DE"/>
    <w:rsid w:val="00144477"/>
    <w:rsid w:val="0014456E"/>
    <w:rsid w:val="0014458A"/>
    <w:rsid w:val="001446C8"/>
    <w:rsid w:val="0014472B"/>
    <w:rsid w:val="001448E0"/>
    <w:rsid w:val="00144A3A"/>
    <w:rsid w:val="00144A55"/>
    <w:rsid w:val="00144A7A"/>
    <w:rsid w:val="00144AF3"/>
    <w:rsid w:val="00144B10"/>
    <w:rsid w:val="00144B20"/>
    <w:rsid w:val="00144CD5"/>
    <w:rsid w:val="00144D4E"/>
    <w:rsid w:val="00144DC2"/>
    <w:rsid w:val="00144E9C"/>
    <w:rsid w:val="00144F63"/>
    <w:rsid w:val="00144FD1"/>
    <w:rsid w:val="001450BA"/>
    <w:rsid w:val="00145198"/>
    <w:rsid w:val="00145238"/>
    <w:rsid w:val="001452CE"/>
    <w:rsid w:val="00145713"/>
    <w:rsid w:val="0014571C"/>
    <w:rsid w:val="001457C7"/>
    <w:rsid w:val="00145904"/>
    <w:rsid w:val="00145963"/>
    <w:rsid w:val="00145A5E"/>
    <w:rsid w:val="00145AE2"/>
    <w:rsid w:val="00145B1B"/>
    <w:rsid w:val="00145C63"/>
    <w:rsid w:val="00145CE9"/>
    <w:rsid w:val="00145CF6"/>
    <w:rsid w:val="00145D5B"/>
    <w:rsid w:val="00145D98"/>
    <w:rsid w:val="00145E0B"/>
    <w:rsid w:val="00145ED8"/>
    <w:rsid w:val="00145F93"/>
    <w:rsid w:val="00145FA6"/>
    <w:rsid w:val="0014614D"/>
    <w:rsid w:val="001462D7"/>
    <w:rsid w:val="001463E0"/>
    <w:rsid w:val="0014668A"/>
    <w:rsid w:val="001466CB"/>
    <w:rsid w:val="00146705"/>
    <w:rsid w:val="00146722"/>
    <w:rsid w:val="0014674D"/>
    <w:rsid w:val="001467CB"/>
    <w:rsid w:val="00146835"/>
    <w:rsid w:val="00146890"/>
    <w:rsid w:val="0014689F"/>
    <w:rsid w:val="001468FE"/>
    <w:rsid w:val="00146BAD"/>
    <w:rsid w:val="00146C31"/>
    <w:rsid w:val="00146D5F"/>
    <w:rsid w:val="00146DE4"/>
    <w:rsid w:val="00146DF6"/>
    <w:rsid w:val="00146E0E"/>
    <w:rsid w:val="00146E1E"/>
    <w:rsid w:val="00146F59"/>
    <w:rsid w:val="00146F6C"/>
    <w:rsid w:val="00146F75"/>
    <w:rsid w:val="00146F88"/>
    <w:rsid w:val="00146FA9"/>
    <w:rsid w:val="00146FF0"/>
    <w:rsid w:val="0014707C"/>
    <w:rsid w:val="001471D5"/>
    <w:rsid w:val="00147288"/>
    <w:rsid w:val="001473FD"/>
    <w:rsid w:val="00147492"/>
    <w:rsid w:val="0014764D"/>
    <w:rsid w:val="00147663"/>
    <w:rsid w:val="001477DB"/>
    <w:rsid w:val="0014789E"/>
    <w:rsid w:val="001478ED"/>
    <w:rsid w:val="00147A37"/>
    <w:rsid w:val="00147A73"/>
    <w:rsid w:val="00147B77"/>
    <w:rsid w:val="00147C8B"/>
    <w:rsid w:val="00147CCA"/>
    <w:rsid w:val="00147DC7"/>
    <w:rsid w:val="00147E03"/>
    <w:rsid w:val="00147E7F"/>
    <w:rsid w:val="00147FF0"/>
    <w:rsid w:val="00150000"/>
    <w:rsid w:val="00150060"/>
    <w:rsid w:val="00150071"/>
    <w:rsid w:val="00150076"/>
    <w:rsid w:val="00150146"/>
    <w:rsid w:val="001501A2"/>
    <w:rsid w:val="00150206"/>
    <w:rsid w:val="0015025F"/>
    <w:rsid w:val="00150262"/>
    <w:rsid w:val="0015028B"/>
    <w:rsid w:val="001502DE"/>
    <w:rsid w:val="00150375"/>
    <w:rsid w:val="00150475"/>
    <w:rsid w:val="00150506"/>
    <w:rsid w:val="001505DB"/>
    <w:rsid w:val="001506DE"/>
    <w:rsid w:val="00150895"/>
    <w:rsid w:val="00150A1B"/>
    <w:rsid w:val="00150A62"/>
    <w:rsid w:val="00150A6A"/>
    <w:rsid w:val="00150E11"/>
    <w:rsid w:val="00150E15"/>
    <w:rsid w:val="00150E44"/>
    <w:rsid w:val="00150E4F"/>
    <w:rsid w:val="00150E9E"/>
    <w:rsid w:val="00150EDD"/>
    <w:rsid w:val="00150EF9"/>
    <w:rsid w:val="00150F82"/>
    <w:rsid w:val="00150F95"/>
    <w:rsid w:val="0015109A"/>
    <w:rsid w:val="0015116C"/>
    <w:rsid w:val="001511E7"/>
    <w:rsid w:val="00151415"/>
    <w:rsid w:val="00151448"/>
    <w:rsid w:val="00151459"/>
    <w:rsid w:val="00151494"/>
    <w:rsid w:val="001514D8"/>
    <w:rsid w:val="001514EE"/>
    <w:rsid w:val="00151705"/>
    <w:rsid w:val="00151763"/>
    <w:rsid w:val="0015180A"/>
    <w:rsid w:val="0015192A"/>
    <w:rsid w:val="00151971"/>
    <w:rsid w:val="0015197A"/>
    <w:rsid w:val="00151988"/>
    <w:rsid w:val="00151A13"/>
    <w:rsid w:val="00151BE5"/>
    <w:rsid w:val="00151C22"/>
    <w:rsid w:val="00151DB8"/>
    <w:rsid w:val="00151E6D"/>
    <w:rsid w:val="00151F01"/>
    <w:rsid w:val="00151F0A"/>
    <w:rsid w:val="00151F34"/>
    <w:rsid w:val="00151F4F"/>
    <w:rsid w:val="00151F88"/>
    <w:rsid w:val="00151F8C"/>
    <w:rsid w:val="00152120"/>
    <w:rsid w:val="00152149"/>
    <w:rsid w:val="001522DD"/>
    <w:rsid w:val="00152341"/>
    <w:rsid w:val="00152397"/>
    <w:rsid w:val="00152443"/>
    <w:rsid w:val="00152452"/>
    <w:rsid w:val="001524B6"/>
    <w:rsid w:val="001525A4"/>
    <w:rsid w:val="001525F2"/>
    <w:rsid w:val="0015267B"/>
    <w:rsid w:val="001527BF"/>
    <w:rsid w:val="001529F6"/>
    <w:rsid w:val="00152A08"/>
    <w:rsid w:val="00152A16"/>
    <w:rsid w:val="00152A4F"/>
    <w:rsid w:val="00152B04"/>
    <w:rsid w:val="00152B1B"/>
    <w:rsid w:val="00152BD4"/>
    <w:rsid w:val="00152C60"/>
    <w:rsid w:val="00152CE3"/>
    <w:rsid w:val="00152E44"/>
    <w:rsid w:val="00152F70"/>
    <w:rsid w:val="00153081"/>
    <w:rsid w:val="0015310E"/>
    <w:rsid w:val="001531AC"/>
    <w:rsid w:val="0015321F"/>
    <w:rsid w:val="001532C3"/>
    <w:rsid w:val="0015336F"/>
    <w:rsid w:val="001533F3"/>
    <w:rsid w:val="001534F4"/>
    <w:rsid w:val="0015351B"/>
    <w:rsid w:val="00153536"/>
    <w:rsid w:val="00153585"/>
    <w:rsid w:val="001535F0"/>
    <w:rsid w:val="001535F9"/>
    <w:rsid w:val="0015392B"/>
    <w:rsid w:val="00153947"/>
    <w:rsid w:val="001539D3"/>
    <w:rsid w:val="00153A19"/>
    <w:rsid w:val="00153A5E"/>
    <w:rsid w:val="00153AC7"/>
    <w:rsid w:val="00153AF0"/>
    <w:rsid w:val="00153BCF"/>
    <w:rsid w:val="00153D00"/>
    <w:rsid w:val="00153DC1"/>
    <w:rsid w:val="00153F1E"/>
    <w:rsid w:val="001540B1"/>
    <w:rsid w:val="001540C1"/>
    <w:rsid w:val="00154105"/>
    <w:rsid w:val="001542F7"/>
    <w:rsid w:val="0015447F"/>
    <w:rsid w:val="0015448E"/>
    <w:rsid w:val="00154506"/>
    <w:rsid w:val="00154687"/>
    <w:rsid w:val="001546B1"/>
    <w:rsid w:val="001548CF"/>
    <w:rsid w:val="0015497A"/>
    <w:rsid w:val="00154A56"/>
    <w:rsid w:val="00154A8B"/>
    <w:rsid w:val="00154B86"/>
    <w:rsid w:val="00154B88"/>
    <w:rsid w:val="00154BDF"/>
    <w:rsid w:val="00154C4D"/>
    <w:rsid w:val="00154CF6"/>
    <w:rsid w:val="00154D04"/>
    <w:rsid w:val="00154D4F"/>
    <w:rsid w:val="00154D5C"/>
    <w:rsid w:val="00154E2A"/>
    <w:rsid w:val="00154FBC"/>
    <w:rsid w:val="00154FD9"/>
    <w:rsid w:val="001550B4"/>
    <w:rsid w:val="001550C5"/>
    <w:rsid w:val="001550D1"/>
    <w:rsid w:val="001550D3"/>
    <w:rsid w:val="00155161"/>
    <w:rsid w:val="0015518F"/>
    <w:rsid w:val="0015527B"/>
    <w:rsid w:val="00155409"/>
    <w:rsid w:val="00155420"/>
    <w:rsid w:val="001554A4"/>
    <w:rsid w:val="0015551D"/>
    <w:rsid w:val="00155536"/>
    <w:rsid w:val="00155589"/>
    <w:rsid w:val="0015562E"/>
    <w:rsid w:val="00155810"/>
    <w:rsid w:val="00155850"/>
    <w:rsid w:val="001558EA"/>
    <w:rsid w:val="00155A56"/>
    <w:rsid w:val="00155A83"/>
    <w:rsid w:val="00155B35"/>
    <w:rsid w:val="00155B79"/>
    <w:rsid w:val="00155C24"/>
    <w:rsid w:val="00155C9D"/>
    <w:rsid w:val="00155DD2"/>
    <w:rsid w:val="00155ED0"/>
    <w:rsid w:val="00155F33"/>
    <w:rsid w:val="00156012"/>
    <w:rsid w:val="00156089"/>
    <w:rsid w:val="0015618C"/>
    <w:rsid w:val="001561D6"/>
    <w:rsid w:val="0015626B"/>
    <w:rsid w:val="00156451"/>
    <w:rsid w:val="001565E9"/>
    <w:rsid w:val="00156646"/>
    <w:rsid w:val="001566BD"/>
    <w:rsid w:val="001566CA"/>
    <w:rsid w:val="0015675B"/>
    <w:rsid w:val="001568FB"/>
    <w:rsid w:val="00156976"/>
    <w:rsid w:val="00156A10"/>
    <w:rsid w:val="00156A25"/>
    <w:rsid w:val="00156D16"/>
    <w:rsid w:val="00156D79"/>
    <w:rsid w:val="00156DA7"/>
    <w:rsid w:val="00156EB2"/>
    <w:rsid w:val="00156F32"/>
    <w:rsid w:val="00156F7B"/>
    <w:rsid w:val="00156F8D"/>
    <w:rsid w:val="0015717E"/>
    <w:rsid w:val="001571A2"/>
    <w:rsid w:val="00157236"/>
    <w:rsid w:val="0015724C"/>
    <w:rsid w:val="00157268"/>
    <w:rsid w:val="0015727C"/>
    <w:rsid w:val="001572E4"/>
    <w:rsid w:val="00157320"/>
    <w:rsid w:val="001573A3"/>
    <w:rsid w:val="00157430"/>
    <w:rsid w:val="00157440"/>
    <w:rsid w:val="00157467"/>
    <w:rsid w:val="00157521"/>
    <w:rsid w:val="00157559"/>
    <w:rsid w:val="001576C2"/>
    <w:rsid w:val="00157743"/>
    <w:rsid w:val="001577B1"/>
    <w:rsid w:val="00157886"/>
    <w:rsid w:val="001578BF"/>
    <w:rsid w:val="00157941"/>
    <w:rsid w:val="00157A24"/>
    <w:rsid w:val="00157AE1"/>
    <w:rsid w:val="00157B6C"/>
    <w:rsid w:val="00157C48"/>
    <w:rsid w:val="00157CE2"/>
    <w:rsid w:val="00157D31"/>
    <w:rsid w:val="00157EFB"/>
    <w:rsid w:val="00157F20"/>
    <w:rsid w:val="00157FB3"/>
    <w:rsid w:val="00157FEA"/>
    <w:rsid w:val="001600CF"/>
    <w:rsid w:val="001600D2"/>
    <w:rsid w:val="001600D5"/>
    <w:rsid w:val="00160137"/>
    <w:rsid w:val="00160155"/>
    <w:rsid w:val="0016025C"/>
    <w:rsid w:val="001602A3"/>
    <w:rsid w:val="001603D1"/>
    <w:rsid w:val="001604C4"/>
    <w:rsid w:val="0016051C"/>
    <w:rsid w:val="0016064A"/>
    <w:rsid w:val="0016065E"/>
    <w:rsid w:val="001607A0"/>
    <w:rsid w:val="001608F7"/>
    <w:rsid w:val="0016095F"/>
    <w:rsid w:val="001609B5"/>
    <w:rsid w:val="001609ED"/>
    <w:rsid w:val="00160B55"/>
    <w:rsid w:val="00160BA6"/>
    <w:rsid w:val="00160C99"/>
    <w:rsid w:val="00160CA4"/>
    <w:rsid w:val="00160CDE"/>
    <w:rsid w:val="00160F48"/>
    <w:rsid w:val="00160F6C"/>
    <w:rsid w:val="001611BC"/>
    <w:rsid w:val="00161244"/>
    <w:rsid w:val="001612B9"/>
    <w:rsid w:val="0016156E"/>
    <w:rsid w:val="00161593"/>
    <w:rsid w:val="001615BF"/>
    <w:rsid w:val="00161742"/>
    <w:rsid w:val="001617FF"/>
    <w:rsid w:val="001618FE"/>
    <w:rsid w:val="001619D9"/>
    <w:rsid w:val="00161A5D"/>
    <w:rsid w:val="00161AB0"/>
    <w:rsid w:val="00161B0D"/>
    <w:rsid w:val="00161BED"/>
    <w:rsid w:val="00161C06"/>
    <w:rsid w:val="00161D27"/>
    <w:rsid w:val="00161FFD"/>
    <w:rsid w:val="00162047"/>
    <w:rsid w:val="001620EF"/>
    <w:rsid w:val="0016225E"/>
    <w:rsid w:val="0016228D"/>
    <w:rsid w:val="00162292"/>
    <w:rsid w:val="00162405"/>
    <w:rsid w:val="00162525"/>
    <w:rsid w:val="0016254B"/>
    <w:rsid w:val="001625E4"/>
    <w:rsid w:val="001626DE"/>
    <w:rsid w:val="0016275A"/>
    <w:rsid w:val="00162ACD"/>
    <w:rsid w:val="00162B1F"/>
    <w:rsid w:val="00162B7E"/>
    <w:rsid w:val="00162C59"/>
    <w:rsid w:val="00162D36"/>
    <w:rsid w:val="00162D5F"/>
    <w:rsid w:val="00162EBB"/>
    <w:rsid w:val="00162ED8"/>
    <w:rsid w:val="00163047"/>
    <w:rsid w:val="001630FC"/>
    <w:rsid w:val="00163253"/>
    <w:rsid w:val="00163322"/>
    <w:rsid w:val="00163409"/>
    <w:rsid w:val="00163417"/>
    <w:rsid w:val="0016346D"/>
    <w:rsid w:val="00163481"/>
    <w:rsid w:val="00163559"/>
    <w:rsid w:val="0016358E"/>
    <w:rsid w:val="00163651"/>
    <w:rsid w:val="001636A0"/>
    <w:rsid w:val="001636A8"/>
    <w:rsid w:val="00163768"/>
    <w:rsid w:val="00163AEB"/>
    <w:rsid w:val="00163B30"/>
    <w:rsid w:val="00163B97"/>
    <w:rsid w:val="00163BAA"/>
    <w:rsid w:val="00163EAB"/>
    <w:rsid w:val="00163EBF"/>
    <w:rsid w:val="00163F5F"/>
    <w:rsid w:val="00164078"/>
    <w:rsid w:val="00164118"/>
    <w:rsid w:val="0016420A"/>
    <w:rsid w:val="0016421F"/>
    <w:rsid w:val="0016428A"/>
    <w:rsid w:val="001643FC"/>
    <w:rsid w:val="0016446D"/>
    <w:rsid w:val="00164487"/>
    <w:rsid w:val="00164652"/>
    <w:rsid w:val="00164697"/>
    <w:rsid w:val="0016479A"/>
    <w:rsid w:val="00164824"/>
    <w:rsid w:val="00164825"/>
    <w:rsid w:val="00164937"/>
    <w:rsid w:val="001649E8"/>
    <w:rsid w:val="00164AE7"/>
    <w:rsid w:val="00164B2A"/>
    <w:rsid w:val="00164BBC"/>
    <w:rsid w:val="00164C7F"/>
    <w:rsid w:val="00164D5F"/>
    <w:rsid w:val="00164D6D"/>
    <w:rsid w:val="00164E94"/>
    <w:rsid w:val="001650A1"/>
    <w:rsid w:val="00165168"/>
    <w:rsid w:val="001651D7"/>
    <w:rsid w:val="00165237"/>
    <w:rsid w:val="0016524E"/>
    <w:rsid w:val="001653CE"/>
    <w:rsid w:val="001653EC"/>
    <w:rsid w:val="00165407"/>
    <w:rsid w:val="0016541E"/>
    <w:rsid w:val="00165431"/>
    <w:rsid w:val="00165539"/>
    <w:rsid w:val="001655C2"/>
    <w:rsid w:val="00165721"/>
    <w:rsid w:val="00165832"/>
    <w:rsid w:val="00165912"/>
    <w:rsid w:val="00165985"/>
    <w:rsid w:val="00165A11"/>
    <w:rsid w:val="00165A42"/>
    <w:rsid w:val="00165AA4"/>
    <w:rsid w:val="00165AD4"/>
    <w:rsid w:val="00165C38"/>
    <w:rsid w:val="00165CBE"/>
    <w:rsid w:val="00165D5E"/>
    <w:rsid w:val="00165E52"/>
    <w:rsid w:val="001660D4"/>
    <w:rsid w:val="001661D0"/>
    <w:rsid w:val="00166203"/>
    <w:rsid w:val="00166220"/>
    <w:rsid w:val="001662FE"/>
    <w:rsid w:val="0016632A"/>
    <w:rsid w:val="0016647B"/>
    <w:rsid w:val="00166593"/>
    <w:rsid w:val="001665C5"/>
    <w:rsid w:val="00166768"/>
    <w:rsid w:val="001668D0"/>
    <w:rsid w:val="001668F8"/>
    <w:rsid w:val="00166BC2"/>
    <w:rsid w:val="00166C12"/>
    <w:rsid w:val="00166C3F"/>
    <w:rsid w:val="00166CD3"/>
    <w:rsid w:val="00166D59"/>
    <w:rsid w:val="00166E21"/>
    <w:rsid w:val="00166E8E"/>
    <w:rsid w:val="00166FFD"/>
    <w:rsid w:val="00167204"/>
    <w:rsid w:val="0016742C"/>
    <w:rsid w:val="00167568"/>
    <w:rsid w:val="00167634"/>
    <w:rsid w:val="001677A1"/>
    <w:rsid w:val="001677D8"/>
    <w:rsid w:val="001677FD"/>
    <w:rsid w:val="00167819"/>
    <w:rsid w:val="0016784E"/>
    <w:rsid w:val="00167861"/>
    <w:rsid w:val="001678A7"/>
    <w:rsid w:val="001678BE"/>
    <w:rsid w:val="001678F1"/>
    <w:rsid w:val="001679D7"/>
    <w:rsid w:val="00167AB2"/>
    <w:rsid w:val="00167B74"/>
    <w:rsid w:val="00167BBB"/>
    <w:rsid w:val="00167D29"/>
    <w:rsid w:val="00167D88"/>
    <w:rsid w:val="00167F42"/>
    <w:rsid w:val="00167F47"/>
    <w:rsid w:val="00167F83"/>
    <w:rsid w:val="00170045"/>
    <w:rsid w:val="0017005D"/>
    <w:rsid w:val="00170294"/>
    <w:rsid w:val="001702DA"/>
    <w:rsid w:val="00170452"/>
    <w:rsid w:val="00170781"/>
    <w:rsid w:val="001707D2"/>
    <w:rsid w:val="0017080D"/>
    <w:rsid w:val="00170829"/>
    <w:rsid w:val="00170890"/>
    <w:rsid w:val="001708C4"/>
    <w:rsid w:val="00170907"/>
    <w:rsid w:val="00170954"/>
    <w:rsid w:val="001709A6"/>
    <w:rsid w:val="00170B34"/>
    <w:rsid w:val="00170B40"/>
    <w:rsid w:val="00170B43"/>
    <w:rsid w:val="00170B46"/>
    <w:rsid w:val="00170B53"/>
    <w:rsid w:val="00170BC7"/>
    <w:rsid w:val="00170BF5"/>
    <w:rsid w:val="00170BF6"/>
    <w:rsid w:val="00170C02"/>
    <w:rsid w:val="00170C52"/>
    <w:rsid w:val="00170D31"/>
    <w:rsid w:val="00170D6F"/>
    <w:rsid w:val="00170E46"/>
    <w:rsid w:val="00170F2F"/>
    <w:rsid w:val="00171058"/>
    <w:rsid w:val="0017108B"/>
    <w:rsid w:val="00171130"/>
    <w:rsid w:val="001711B7"/>
    <w:rsid w:val="001711BA"/>
    <w:rsid w:val="0017124D"/>
    <w:rsid w:val="001712BE"/>
    <w:rsid w:val="0017130A"/>
    <w:rsid w:val="00171355"/>
    <w:rsid w:val="001713D0"/>
    <w:rsid w:val="0017147C"/>
    <w:rsid w:val="001714CC"/>
    <w:rsid w:val="001714E8"/>
    <w:rsid w:val="001715BD"/>
    <w:rsid w:val="001716CB"/>
    <w:rsid w:val="001717E7"/>
    <w:rsid w:val="0017180F"/>
    <w:rsid w:val="001718D6"/>
    <w:rsid w:val="00171A88"/>
    <w:rsid w:val="00171B67"/>
    <w:rsid w:val="00171B84"/>
    <w:rsid w:val="00171BD2"/>
    <w:rsid w:val="00171BE5"/>
    <w:rsid w:val="00171C26"/>
    <w:rsid w:val="00171CA4"/>
    <w:rsid w:val="00171EE1"/>
    <w:rsid w:val="00171F11"/>
    <w:rsid w:val="00172005"/>
    <w:rsid w:val="001720BE"/>
    <w:rsid w:val="00172151"/>
    <w:rsid w:val="0017219C"/>
    <w:rsid w:val="001721A3"/>
    <w:rsid w:val="001721A6"/>
    <w:rsid w:val="001721FD"/>
    <w:rsid w:val="00172260"/>
    <w:rsid w:val="001722A5"/>
    <w:rsid w:val="001724F7"/>
    <w:rsid w:val="001725AD"/>
    <w:rsid w:val="001725E3"/>
    <w:rsid w:val="001726FC"/>
    <w:rsid w:val="0017280D"/>
    <w:rsid w:val="00172816"/>
    <w:rsid w:val="00172BD4"/>
    <w:rsid w:val="00172C61"/>
    <w:rsid w:val="00172CA6"/>
    <w:rsid w:val="00172CC8"/>
    <w:rsid w:val="00172D03"/>
    <w:rsid w:val="00172D6E"/>
    <w:rsid w:val="00172F69"/>
    <w:rsid w:val="0017305F"/>
    <w:rsid w:val="001730D4"/>
    <w:rsid w:val="00173114"/>
    <w:rsid w:val="00173185"/>
    <w:rsid w:val="00173284"/>
    <w:rsid w:val="001732C5"/>
    <w:rsid w:val="00173309"/>
    <w:rsid w:val="00173623"/>
    <w:rsid w:val="0017368B"/>
    <w:rsid w:val="0017368F"/>
    <w:rsid w:val="001736B1"/>
    <w:rsid w:val="00173789"/>
    <w:rsid w:val="00173862"/>
    <w:rsid w:val="001738DD"/>
    <w:rsid w:val="00173BAC"/>
    <w:rsid w:val="00173C07"/>
    <w:rsid w:val="00173C9F"/>
    <w:rsid w:val="00173CB2"/>
    <w:rsid w:val="00173E73"/>
    <w:rsid w:val="001741AC"/>
    <w:rsid w:val="00174253"/>
    <w:rsid w:val="0017427A"/>
    <w:rsid w:val="00174341"/>
    <w:rsid w:val="0017456D"/>
    <w:rsid w:val="001745C9"/>
    <w:rsid w:val="001747B9"/>
    <w:rsid w:val="001748DF"/>
    <w:rsid w:val="00174916"/>
    <w:rsid w:val="00174AA7"/>
    <w:rsid w:val="00174ABC"/>
    <w:rsid w:val="00174BB3"/>
    <w:rsid w:val="00174BF7"/>
    <w:rsid w:val="00174C3B"/>
    <w:rsid w:val="00174C95"/>
    <w:rsid w:val="00174CB7"/>
    <w:rsid w:val="00174E04"/>
    <w:rsid w:val="00175040"/>
    <w:rsid w:val="00175217"/>
    <w:rsid w:val="0017523A"/>
    <w:rsid w:val="00175267"/>
    <w:rsid w:val="00175289"/>
    <w:rsid w:val="0017531A"/>
    <w:rsid w:val="00175431"/>
    <w:rsid w:val="001754E2"/>
    <w:rsid w:val="00175514"/>
    <w:rsid w:val="00175580"/>
    <w:rsid w:val="001755A8"/>
    <w:rsid w:val="00175630"/>
    <w:rsid w:val="001757CF"/>
    <w:rsid w:val="00175844"/>
    <w:rsid w:val="00175888"/>
    <w:rsid w:val="00175901"/>
    <w:rsid w:val="00175916"/>
    <w:rsid w:val="001759DF"/>
    <w:rsid w:val="00175AB5"/>
    <w:rsid w:val="00175B2B"/>
    <w:rsid w:val="00175B2D"/>
    <w:rsid w:val="00175C09"/>
    <w:rsid w:val="00175CD2"/>
    <w:rsid w:val="00175E40"/>
    <w:rsid w:val="00175F7D"/>
    <w:rsid w:val="00175FFD"/>
    <w:rsid w:val="001762A3"/>
    <w:rsid w:val="0017630D"/>
    <w:rsid w:val="001763A6"/>
    <w:rsid w:val="001763E5"/>
    <w:rsid w:val="00176446"/>
    <w:rsid w:val="0017658E"/>
    <w:rsid w:val="001765B5"/>
    <w:rsid w:val="001766E8"/>
    <w:rsid w:val="001769A1"/>
    <w:rsid w:val="00176A24"/>
    <w:rsid w:val="00176A7B"/>
    <w:rsid w:val="00176CD4"/>
    <w:rsid w:val="00176D05"/>
    <w:rsid w:val="00176D22"/>
    <w:rsid w:val="00176D8C"/>
    <w:rsid w:val="00176DAB"/>
    <w:rsid w:val="00176E89"/>
    <w:rsid w:val="00176FDF"/>
    <w:rsid w:val="00176FFB"/>
    <w:rsid w:val="001770A9"/>
    <w:rsid w:val="00177112"/>
    <w:rsid w:val="0017713A"/>
    <w:rsid w:val="001771B8"/>
    <w:rsid w:val="0017720F"/>
    <w:rsid w:val="0017724F"/>
    <w:rsid w:val="00177266"/>
    <w:rsid w:val="0017728C"/>
    <w:rsid w:val="00177345"/>
    <w:rsid w:val="00177355"/>
    <w:rsid w:val="00177466"/>
    <w:rsid w:val="001774AF"/>
    <w:rsid w:val="001774D6"/>
    <w:rsid w:val="00177642"/>
    <w:rsid w:val="00177655"/>
    <w:rsid w:val="00177772"/>
    <w:rsid w:val="00177905"/>
    <w:rsid w:val="001779A8"/>
    <w:rsid w:val="001779DE"/>
    <w:rsid w:val="00177A50"/>
    <w:rsid w:val="00177C1F"/>
    <w:rsid w:val="00177C74"/>
    <w:rsid w:val="00177CDC"/>
    <w:rsid w:val="00177DAE"/>
    <w:rsid w:val="00177E1E"/>
    <w:rsid w:val="00177E29"/>
    <w:rsid w:val="00177EE3"/>
    <w:rsid w:val="00177FBA"/>
    <w:rsid w:val="00177FE0"/>
    <w:rsid w:val="001800F8"/>
    <w:rsid w:val="0018013F"/>
    <w:rsid w:val="001801E0"/>
    <w:rsid w:val="001801E5"/>
    <w:rsid w:val="00180200"/>
    <w:rsid w:val="00180212"/>
    <w:rsid w:val="0018038D"/>
    <w:rsid w:val="00180605"/>
    <w:rsid w:val="001808A1"/>
    <w:rsid w:val="00180995"/>
    <w:rsid w:val="00180BCF"/>
    <w:rsid w:val="00180C14"/>
    <w:rsid w:val="00180CFC"/>
    <w:rsid w:val="00180E79"/>
    <w:rsid w:val="00180F15"/>
    <w:rsid w:val="00181057"/>
    <w:rsid w:val="001810C1"/>
    <w:rsid w:val="00181323"/>
    <w:rsid w:val="00181331"/>
    <w:rsid w:val="001814FF"/>
    <w:rsid w:val="0018154B"/>
    <w:rsid w:val="00181915"/>
    <w:rsid w:val="00181926"/>
    <w:rsid w:val="001819D4"/>
    <w:rsid w:val="001819E6"/>
    <w:rsid w:val="00181C1C"/>
    <w:rsid w:val="00181CFC"/>
    <w:rsid w:val="00181D58"/>
    <w:rsid w:val="00181E0B"/>
    <w:rsid w:val="001821BE"/>
    <w:rsid w:val="001823A0"/>
    <w:rsid w:val="0018248A"/>
    <w:rsid w:val="0018260B"/>
    <w:rsid w:val="00182690"/>
    <w:rsid w:val="001827C9"/>
    <w:rsid w:val="0018282E"/>
    <w:rsid w:val="001828CF"/>
    <w:rsid w:val="001828E7"/>
    <w:rsid w:val="00182918"/>
    <w:rsid w:val="00182994"/>
    <w:rsid w:val="00182A08"/>
    <w:rsid w:val="00182A35"/>
    <w:rsid w:val="00182C78"/>
    <w:rsid w:val="00182CF4"/>
    <w:rsid w:val="00182E53"/>
    <w:rsid w:val="00182F0E"/>
    <w:rsid w:val="00182F2E"/>
    <w:rsid w:val="00182FDD"/>
    <w:rsid w:val="001830E1"/>
    <w:rsid w:val="001831BC"/>
    <w:rsid w:val="001832CB"/>
    <w:rsid w:val="001832D2"/>
    <w:rsid w:val="001832E8"/>
    <w:rsid w:val="00183342"/>
    <w:rsid w:val="0018334B"/>
    <w:rsid w:val="00183563"/>
    <w:rsid w:val="0018357F"/>
    <w:rsid w:val="001835F2"/>
    <w:rsid w:val="0018363A"/>
    <w:rsid w:val="001837DE"/>
    <w:rsid w:val="001837F3"/>
    <w:rsid w:val="00183915"/>
    <w:rsid w:val="001839C3"/>
    <w:rsid w:val="00183C7A"/>
    <w:rsid w:val="00183C7C"/>
    <w:rsid w:val="00183CD1"/>
    <w:rsid w:val="00183F8C"/>
    <w:rsid w:val="0018405B"/>
    <w:rsid w:val="0018414B"/>
    <w:rsid w:val="00184159"/>
    <w:rsid w:val="00184238"/>
    <w:rsid w:val="00184252"/>
    <w:rsid w:val="001842C8"/>
    <w:rsid w:val="001842F0"/>
    <w:rsid w:val="001844FA"/>
    <w:rsid w:val="0018456F"/>
    <w:rsid w:val="00184641"/>
    <w:rsid w:val="00184644"/>
    <w:rsid w:val="0018464B"/>
    <w:rsid w:val="001846B5"/>
    <w:rsid w:val="001846DC"/>
    <w:rsid w:val="001847F7"/>
    <w:rsid w:val="00184879"/>
    <w:rsid w:val="00184A4D"/>
    <w:rsid w:val="00184A63"/>
    <w:rsid w:val="00184ADA"/>
    <w:rsid w:val="00184B82"/>
    <w:rsid w:val="00184BA3"/>
    <w:rsid w:val="00184CEF"/>
    <w:rsid w:val="00184D25"/>
    <w:rsid w:val="00184E09"/>
    <w:rsid w:val="00184E0C"/>
    <w:rsid w:val="00184E7C"/>
    <w:rsid w:val="00185090"/>
    <w:rsid w:val="001850A2"/>
    <w:rsid w:val="00185361"/>
    <w:rsid w:val="001853E7"/>
    <w:rsid w:val="00185404"/>
    <w:rsid w:val="00185487"/>
    <w:rsid w:val="00185521"/>
    <w:rsid w:val="0018562F"/>
    <w:rsid w:val="00185703"/>
    <w:rsid w:val="00185715"/>
    <w:rsid w:val="0018573D"/>
    <w:rsid w:val="0018576E"/>
    <w:rsid w:val="00185826"/>
    <w:rsid w:val="001859E8"/>
    <w:rsid w:val="00185A6E"/>
    <w:rsid w:val="00185B4F"/>
    <w:rsid w:val="00185C2D"/>
    <w:rsid w:val="00185CDF"/>
    <w:rsid w:val="00185EC0"/>
    <w:rsid w:val="00185ED6"/>
    <w:rsid w:val="00186070"/>
    <w:rsid w:val="0018639F"/>
    <w:rsid w:val="001863C1"/>
    <w:rsid w:val="001863EF"/>
    <w:rsid w:val="00186535"/>
    <w:rsid w:val="00186565"/>
    <w:rsid w:val="001865C6"/>
    <w:rsid w:val="001865EB"/>
    <w:rsid w:val="00186681"/>
    <w:rsid w:val="0018676C"/>
    <w:rsid w:val="001867F0"/>
    <w:rsid w:val="00186968"/>
    <w:rsid w:val="001869B0"/>
    <w:rsid w:val="00186A04"/>
    <w:rsid w:val="00186A8E"/>
    <w:rsid w:val="00186A93"/>
    <w:rsid w:val="00186C9B"/>
    <w:rsid w:val="00186DC9"/>
    <w:rsid w:val="00186DD0"/>
    <w:rsid w:val="00186E73"/>
    <w:rsid w:val="00186ED9"/>
    <w:rsid w:val="00186F06"/>
    <w:rsid w:val="001870A1"/>
    <w:rsid w:val="00187179"/>
    <w:rsid w:val="0018734C"/>
    <w:rsid w:val="00187381"/>
    <w:rsid w:val="001873C4"/>
    <w:rsid w:val="001873EB"/>
    <w:rsid w:val="00187415"/>
    <w:rsid w:val="00187662"/>
    <w:rsid w:val="001878E5"/>
    <w:rsid w:val="0018790B"/>
    <w:rsid w:val="0018795D"/>
    <w:rsid w:val="00187ACF"/>
    <w:rsid w:val="00187B60"/>
    <w:rsid w:val="00187C5F"/>
    <w:rsid w:val="00187D5F"/>
    <w:rsid w:val="00187EAE"/>
    <w:rsid w:val="00187EC1"/>
    <w:rsid w:val="00187F42"/>
    <w:rsid w:val="0019003E"/>
    <w:rsid w:val="001900F7"/>
    <w:rsid w:val="0019014E"/>
    <w:rsid w:val="00190256"/>
    <w:rsid w:val="0019067B"/>
    <w:rsid w:val="001906B5"/>
    <w:rsid w:val="001908FF"/>
    <w:rsid w:val="0019092B"/>
    <w:rsid w:val="0019098B"/>
    <w:rsid w:val="001909B8"/>
    <w:rsid w:val="00190A8A"/>
    <w:rsid w:val="00190AF1"/>
    <w:rsid w:val="00190B3B"/>
    <w:rsid w:val="00190BA7"/>
    <w:rsid w:val="00190C68"/>
    <w:rsid w:val="00190D28"/>
    <w:rsid w:val="00190E2D"/>
    <w:rsid w:val="00190EA5"/>
    <w:rsid w:val="00190F5D"/>
    <w:rsid w:val="00190FC5"/>
    <w:rsid w:val="00190FCC"/>
    <w:rsid w:val="00191071"/>
    <w:rsid w:val="00191094"/>
    <w:rsid w:val="00191238"/>
    <w:rsid w:val="0019139F"/>
    <w:rsid w:val="001914CD"/>
    <w:rsid w:val="001917F9"/>
    <w:rsid w:val="00191896"/>
    <w:rsid w:val="00191975"/>
    <w:rsid w:val="00191AC6"/>
    <w:rsid w:val="00191AF6"/>
    <w:rsid w:val="00191B38"/>
    <w:rsid w:val="00191B41"/>
    <w:rsid w:val="00191BAC"/>
    <w:rsid w:val="00191C78"/>
    <w:rsid w:val="00191D08"/>
    <w:rsid w:val="00191F61"/>
    <w:rsid w:val="00191F94"/>
    <w:rsid w:val="00191F9C"/>
    <w:rsid w:val="001920E8"/>
    <w:rsid w:val="0019212F"/>
    <w:rsid w:val="0019215B"/>
    <w:rsid w:val="00192241"/>
    <w:rsid w:val="00192425"/>
    <w:rsid w:val="00192452"/>
    <w:rsid w:val="00192669"/>
    <w:rsid w:val="0019268C"/>
    <w:rsid w:val="001927C9"/>
    <w:rsid w:val="00192882"/>
    <w:rsid w:val="001928B2"/>
    <w:rsid w:val="001928FD"/>
    <w:rsid w:val="00192A8F"/>
    <w:rsid w:val="00192AA4"/>
    <w:rsid w:val="00192AC8"/>
    <w:rsid w:val="00192B1C"/>
    <w:rsid w:val="00192B20"/>
    <w:rsid w:val="00192C2D"/>
    <w:rsid w:val="00192CF9"/>
    <w:rsid w:val="00192D5C"/>
    <w:rsid w:val="00192DAD"/>
    <w:rsid w:val="00192FAB"/>
    <w:rsid w:val="00193006"/>
    <w:rsid w:val="00193056"/>
    <w:rsid w:val="001930F4"/>
    <w:rsid w:val="00193169"/>
    <w:rsid w:val="00193392"/>
    <w:rsid w:val="001933B7"/>
    <w:rsid w:val="00193417"/>
    <w:rsid w:val="0019342B"/>
    <w:rsid w:val="001935BD"/>
    <w:rsid w:val="001935ED"/>
    <w:rsid w:val="0019366E"/>
    <w:rsid w:val="00193714"/>
    <w:rsid w:val="001937C1"/>
    <w:rsid w:val="0019393B"/>
    <w:rsid w:val="00193969"/>
    <w:rsid w:val="001939AD"/>
    <w:rsid w:val="001939B2"/>
    <w:rsid w:val="00193A79"/>
    <w:rsid w:val="00193B34"/>
    <w:rsid w:val="00193B73"/>
    <w:rsid w:val="00193BC1"/>
    <w:rsid w:val="00193BED"/>
    <w:rsid w:val="00193C1A"/>
    <w:rsid w:val="00193C91"/>
    <w:rsid w:val="00193D6F"/>
    <w:rsid w:val="00193DC7"/>
    <w:rsid w:val="00193E26"/>
    <w:rsid w:val="00193E78"/>
    <w:rsid w:val="00193E84"/>
    <w:rsid w:val="00194079"/>
    <w:rsid w:val="001940C5"/>
    <w:rsid w:val="001944FD"/>
    <w:rsid w:val="001945A5"/>
    <w:rsid w:val="001945CF"/>
    <w:rsid w:val="0019464E"/>
    <w:rsid w:val="00194687"/>
    <w:rsid w:val="001946CB"/>
    <w:rsid w:val="001946DB"/>
    <w:rsid w:val="00194796"/>
    <w:rsid w:val="00194811"/>
    <w:rsid w:val="00194C1F"/>
    <w:rsid w:val="00194C41"/>
    <w:rsid w:val="00194E45"/>
    <w:rsid w:val="00194EEE"/>
    <w:rsid w:val="00194EF7"/>
    <w:rsid w:val="00194F22"/>
    <w:rsid w:val="00194F84"/>
    <w:rsid w:val="00195118"/>
    <w:rsid w:val="0019512F"/>
    <w:rsid w:val="001951B9"/>
    <w:rsid w:val="00195491"/>
    <w:rsid w:val="00195549"/>
    <w:rsid w:val="0019557A"/>
    <w:rsid w:val="001955C8"/>
    <w:rsid w:val="0019564B"/>
    <w:rsid w:val="0019564E"/>
    <w:rsid w:val="0019567F"/>
    <w:rsid w:val="00195888"/>
    <w:rsid w:val="001958D7"/>
    <w:rsid w:val="001959A4"/>
    <w:rsid w:val="00195A33"/>
    <w:rsid w:val="00195B07"/>
    <w:rsid w:val="00195C6E"/>
    <w:rsid w:val="00195D8E"/>
    <w:rsid w:val="00195DB9"/>
    <w:rsid w:val="00195DBF"/>
    <w:rsid w:val="00195E50"/>
    <w:rsid w:val="00195E8D"/>
    <w:rsid w:val="00195F4C"/>
    <w:rsid w:val="00195F6C"/>
    <w:rsid w:val="00196137"/>
    <w:rsid w:val="0019617B"/>
    <w:rsid w:val="00196229"/>
    <w:rsid w:val="0019628D"/>
    <w:rsid w:val="00196300"/>
    <w:rsid w:val="0019641B"/>
    <w:rsid w:val="00196499"/>
    <w:rsid w:val="001964F0"/>
    <w:rsid w:val="0019650C"/>
    <w:rsid w:val="0019665E"/>
    <w:rsid w:val="001966FF"/>
    <w:rsid w:val="00196A3B"/>
    <w:rsid w:val="00196A62"/>
    <w:rsid w:val="00196B72"/>
    <w:rsid w:val="00196C09"/>
    <w:rsid w:val="00196C12"/>
    <w:rsid w:val="00196CA8"/>
    <w:rsid w:val="00196CE1"/>
    <w:rsid w:val="00196E12"/>
    <w:rsid w:val="00196E8C"/>
    <w:rsid w:val="00196FC3"/>
    <w:rsid w:val="00197080"/>
    <w:rsid w:val="0019715A"/>
    <w:rsid w:val="0019717F"/>
    <w:rsid w:val="001972B9"/>
    <w:rsid w:val="0019747E"/>
    <w:rsid w:val="00197520"/>
    <w:rsid w:val="00197534"/>
    <w:rsid w:val="00197550"/>
    <w:rsid w:val="001975B4"/>
    <w:rsid w:val="001975D3"/>
    <w:rsid w:val="00197605"/>
    <w:rsid w:val="00197635"/>
    <w:rsid w:val="00197674"/>
    <w:rsid w:val="0019771E"/>
    <w:rsid w:val="0019777A"/>
    <w:rsid w:val="00197785"/>
    <w:rsid w:val="00197798"/>
    <w:rsid w:val="001977AA"/>
    <w:rsid w:val="001977B1"/>
    <w:rsid w:val="00197811"/>
    <w:rsid w:val="00197826"/>
    <w:rsid w:val="00197958"/>
    <w:rsid w:val="0019798E"/>
    <w:rsid w:val="001979A4"/>
    <w:rsid w:val="001979BD"/>
    <w:rsid w:val="001979FA"/>
    <w:rsid w:val="00197A8F"/>
    <w:rsid w:val="00197B31"/>
    <w:rsid w:val="00197BD3"/>
    <w:rsid w:val="00197CBD"/>
    <w:rsid w:val="00197D0E"/>
    <w:rsid w:val="00197D5B"/>
    <w:rsid w:val="00197D98"/>
    <w:rsid w:val="00197E15"/>
    <w:rsid w:val="00197E69"/>
    <w:rsid w:val="00197EF7"/>
    <w:rsid w:val="001A00C5"/>
    <w:rsid w:val="001A00C7"/>
    <w:rsid w:val="001A01C9"/>
    <w:rsid w:val="001A01E0"/>
    <w:rsid w:val="001A0323"/>
    <w:rsid w:val="001A0539"/>
    <w:rsid w:val="001A0552"/>
    <w:rsid w:val="001A058F"/>
    <w:rsid w:val="001A05EC"/>
    <w:rsid w:val="001A062E"/>
    <w:rsid w:val="001A071C"/>
    <w:rsid w:val="001A07B4"/>
    <w:rsid w:val="001A0977"/>
    <w:rsid w:val="001A0A01"/>
    <w:rsid w:val="001A0A12"/>
    <w:rsid w:val="001A0A69"/>
    <w:rsid w:val="001A0C0D"/>
    <w:rsid w:val="001A0D5C"/>
    <w:rsid w:val="001A0F23"/>
    <w:rsid w:val="001A0F5A"/>
    <w:rsid w:val="001A0F5F"/>
    <w:rsid w:val="001A1134"/>
    <w:rsid w:val="001A12C3"/>
    <w:rsid w:val="001A131B"/>
    <w:rsid w:val="001A155C"/>
    <w:rsid w:val="001A16B7"/>
    <w:rsid w:val="001A1714"/>
    <w:rsid w:val="001A1736"/>
    <w:rsid w:val="001A1737"/>
    <w:rsid w:val="001A17D3"/>
    <w:rsid w:val="001A1844"/>
    <w:rsid w:val="001A1B9C"/>
    <w:rsid w:val="001A1BAC"/>
    <w:rsid w:val="001A1C06"/>
    <w:rsid w:val="001A1C36"/>
    <w:rsid w:val="001A1D6A"/>
    <w:rsid w:val="001A1E8E"/>
    <w:rsid w:val="001A20A3"/>
    <w:rsid w:val="001A2100"/>
    <w:rsid w:val="001A2140"/>
    <w:rsid w:val="001A216E"/>
    <w:rsid w:val="001A22E5"/>
    <w:rsid w:val="001A24EF"/>
    <w:rsid w:val="001A25A7"/>
    <w:rsid w:val="001A265A"/>
    <w:rsid w:val="001A26CA"/>
    <w:rsid w:val="001A270C"/>
    <w:rsid w:val="001A273E"/>
    <w:rsid w:val="001A2877"/>
    <w:rsid w:val="001A295D"/>
    <w:rsid w:val="001A2B4A"/>
    <w:rsid w:val="001A2B69"/>
    <w:rsid w:val="001A2C96"/>
    <w:rsid w:val="001A2CCA"/>
    <w:rsid w:val="001A2D01"/>
    <w:rsid w:val="001A2D62"/>
    <w:rsid w:val="001A2D8C"/>
    <w:rsid w:val="001A2DA8"/>
    <w:rsid w:val="001A2F05"/>
    <w:rsid w:val="001A2FBD"/>
    <w:rsid w:val="001A2FD9"/>
    <w:rsid w:val="001A305F"/>
    <w:rsid w:val="001A3215"/>
    <w:rsid w:val="001A3236"/>
    <w:rsid w:val="001A331B"/>
    <w:rsid w:val="001A33E2"/>
    <w:rsid w:val="001A3442"/>
    <w:rsid w:val="001A348E"/>
    <w:rsid w:val="001A34A4"/>
    <w:rsid w:val="001A34D0"/>
    <w:rsid w:val="001A350C"/>
    <w:rsid w:val="001A353F"/>
    <w:rsid w:val="001A3635"/>
    <w:rsid w:val="001A3656"/>
    <w:rsid w:val="001A3765"/>
    <w:rsid w:val="001A3837"/>
    <w:rsid w:val="001A3852"/>
    <w:rsid w:val="001A392A"/>
    <w:rsid w:val="001A3AA3"/>
    <w:rsid w:val="001A3B14"/>
    <w:rsid w:val="001A3B2B"/>
    <w:rsid w:val="001A3B73"/>
    <w:rsid w:val="001A3D47"/>
    <w:rsid w:val="001A3D96"/>
    <w:rsid w:val="001A3D98"/>
    <w:rsid w:val="001A3DCB"/>
    <w:rsid w:val="001A3E29"/>
    <w:rsid w:val="001A3E58"/>
    <w:rsid w:val="001A3E9B"/>
    <w:rsid w:val="001A3EE3"/>
    <w:rsid w:val="001A3F1B"/>
    <w:rsid w:val="001A3F27"/>
    <w:rsid w:val="001A40DE"/>
    <w:rsid w:val="001A413D"/>
    <w:rsid w:val="001A4173"/>
    <w:rsid w:val="001A41EA"/>
    <w:rsid w:val="001A42AF"/>
    <w:rsid w:val="001A42E0"/>
    <w:rsid w:val="001A430B"/>
    <w:rsid w:val="001A43D4"/>
    <w:rsid w:val="001A448C"/>
    <w:rsid w:val="001A466B"/>
    <w:rsid w:val="001A46A3"/>
    <w:rsid w:val="001A46D7"/>
    <w:rsid w:val="001A484E"/>
    <w:rsid w:val="001A486C"/>
    <w:rsid w:val="001A4942"/>
    <w:rsid w:val="001A49DA"/>
    <w:rsid w:val="001A4A76"/>
    <w:rsid w:val="001A4ACF"/>
    <w:rsid w:val="001A4B3C"/>
    <w:rsid w:val="001A4C03"/>
    <w:rsid w:val="001A4D75"/>
    <w:rsid w:val="001A4F5E"/>
    <w:rsid w:val="001A4F7A"/>
    <w:rsid w:val="001A5052"/>
    <w:rsid w:val="001A50A6"/>
    <w:rsid w:val="001A50D1"/>
    <w:rsid w:val="001A5109"/>
    <w:rsid w:val="001A525F"/>
    <w:rsid w:val="001A52D1"/>
    <w:rsid w:val="001A5350"/>
    <w:rsid w:val="001A5379"/>
    <w:rsid w:val="001A55EA"/>
    <w:rsid w:val="001A57BB"/>
    <w:rsid w:val="001A5849"/>
    <w:rsid w:val="001A59CE"/>
    <w:rsid w:val="001A5A5D"/>
    <w:rsid w:val="001A5BE9"/>
    <w:rsid w:val="001A5C5F"/>
    <w:rsid w:val="001A5D2A"/>
    <w:rsid w:val="001A5D42"/>
    <w:rsid w:val="001A5D74"/>
    <w:rsid w:val="001A5F3C"/>
    <w:rsid w:val="001A5F7A"/>
    <w:rsid w:val="001A619A"/>
    <w:rsid w:val="001A620B"/>
    <w:rsid w:val="001A62AA"/>
    <w:rsid w:val="001A6368"/>
    <w:rsid w:val="001A63B6"/>
    <w:rsid w:val="001A64DF"/>
    <w:rsid w:val="001A6589"/>
    <w:rsid w:val="001A65D9"/>
    <w:rsid w:val="001A665A"/>
    <w:rsid w:val="001A671C"/>
    <w:rsid w:val="001A6772"/>
    <w:rsid w:val="001A6792"/>
    <w:rsid w:val="001A67D7"/>
    <w:rsid w:val="001A683B"/>
    <w:rsid w:val="001A6902"/>
    <w:rsid w:val="001A69F5"/>
    <w:rsid w:val="001A6A6D"/>
    <w:rsid w:val="001A6B8C"/>
    <w:rsid w:val="001A6BC6"/>
    <w:rsid w:val="001A6E10"/>
    <w:rsid w:val="001A6EA1"/>
    <w:rsid w:val="001A6EE7"/>
    <w:rsid w:val="001A6FBB"/>
    <w:rsid w:val="001A7056"/>
    <w:rsid w:val="001A7201"/>
    <w:rsid w:val="001A720C"/>
    <w:rsid w:val="001A720E"/>
    <w:rsid w:val="001A7275"/>
    <w:rsid w:val="001A739E"/>
    <w:rsid w:val="001A743C"/>
    <w:rsid w:val="001A7583"/>
    <w:rsid w:val="001A75AB"/>
    <w:rsid w:val="001A75B3"/>
    <w:rsid w:val="001A75F0"/>
    <w:rsid w:val="001A7610"/>
    <w:rsid w:val="001A7769"/>
    <w:rsid w:val="001A7832"/>
    <w:rsid w:val="001A783D"/>
    <w:rsid w:val="001A78B0"/>
    <w:rsid w:val="001A7927"/>
    <w:rsid w:val="001A7BA1"/>
    <w:rsid w:val="001A7BBE"/>
    <w:rsid w:val="001A7C22"/>
    <w:rsid w:val="001A7C4F"/>
    <w:rsid w:val="001A7D38"/>
    <w:rsid w:val="001A7DCE"/>
    <w:rsid w:val="001A7E23"/>
    <w:rsid w:val="001A7E36"/>
    <w:rsid w:val="001A7E89"/>
    <w:rsid w:val="001A7EBD"/>
    <w:rsid w:val="001A7F17"/>
    <w:rsid w:val="001B003A"/>
    <w:rsid w:val="001B0083"/>
    <w:rsid w:val="001B00A7"/>
    <w:rsid w:val="001B00B7"/>
    <w:rsid w:val="001B0152"/>
    <w:rsid w:val="001B01FA"/>
    <w:rsid w:val="001B0243"/>
    <w:rsid w:val="001B0275"/>
    <w:rsid w:val="001B02B2"/>
    <w:rsid w:val="001B0450"/>
    <w:rsid w:val="001B0598"/>
    <w:rsid w:val="001B0599"/>
    <w:rsid w:val="001B05D1"/>
    <w:rsid w:val="001B065E"/>
    <w:rsid w:val="001B0696"/>
    <w:rsid w:val="001B06C9"/>
    <w:rsid w:val="001B08FA"/>
    <w:rsid w:val="001B0979"/>
    <w:rsid w:val="001B0A47"/>
    <w:rsid w:val="001B0B32"/>
    <w:rsid w:val="001B0BC8"/>
    <w:rsid w:val="001B0CEF"/>
    <w:rsid w:val="001B0F3D"/>
    <w:rsid w:val="001B0F9B"/>
    <w:rsid w:val="001B0FE2"/>
    <w:rsid w:val="001B0FE4"/>
    <w:rsid w:val="001B1085"/>
    <w:rsid w:val="001B1089"/>
    <w:rsid w:val="001B11A8"/>
    <w:rsid w:val="001B133C"/>
    <w:rsid w:val="001B13EA"/>
    <w:rsid w:val="001B1454"/>
    <w:rsid w:val="001B1567"/>
    <w:rsid w:val="001B16B3"/>
    <w:rsid w:val="001B1A29"/>
    <w:rsid w:val="001B1B99"/>
    <w:rsid w:val="001B1BC7"/>
    <w:rsid w:val="001B1C63"/>
    <w:rsid w:val="001B1E17"/>
    <w:rsid w:val="001B1EAB"/>
    <w:rsid w:val="001B1F11"/>
    <w:rsid w:val="001B1F36"/>
    <w:rsid w:val="001B1F97"/>
    <w:rsid w:val="001B20DB"/>
    <w:rsid w:val="001B2136"/>
    <w:rsid w:val="001B21AC"/>
    <w:rsid w:val="001B22D2"/>
    <w:rsid w:val="001B2300"/>
    <w:rsid w:val="001B2364"/>
    <w:rsid w:val="001B23DD"/>
    <w:rsid w:val="001B24DA"/>
    <w:rsid w:val="001B2591"/>
    <w:rsid w:val="001B25A7"/>
    <w:rsid w:val="001B25FF"/>
    <w:rsid w:val="001B2940"/>
    <w:rsid w:val="001B297D"/>
    <w:rsid w:val="001B29C3"/>
    <w:rsid w:val="001B2A16"/>
    <w:rsid w:val="001B2ABA"/>
    <w:rsid w:val="001B2B07"/>
    <w:rsid w:val="001B2C33"/>
    <w:rsid w:val="001B2C7A"/>
    <w:rsid w:val="001B2EA2"/>
    <w:rsid w:val="001B30A0"/>
    <w:rsid w:val="001B30C6"/>
    <w:rsid w:val="001B30E7"/>
    <w:rsid w:val="001B30F8"/>
    <w:rsid w:val="001B31BC"/>
    <w:rsid w:val="001B3218"/>
    <w:rsid w:val="001B33C8"/>
    <w:rsid w:val="001B33E9"/>
    <w:rsid w:val="001B33EF"/>
    <w:rsid w:val="001B3450"/>
    <w:rsid w:val="001B35D2"/>
    <w:rsid w:val="001B361F"/>
    <w:rsid w:val="001B3717"/>
    <w:rsid w:val="001B371E"/>
    <w:rsid w:val="001B37B5"/>
    <w:rsid w:val="001B37FA"/>
    <w:rsid w:val="001B3917"/>
    <w:rsid w:val="001B3A6E"/>
    <w:rsid w:val="001B3A73"/>
    <w:rsid w:val="001B3CFF"/>
    <w:rsid w:val="001B3FC8"/>
    <w:rsid w:val="001B403C"/>
    <w:rsid w:val="001B4076"/>
    <w:rsid w:val="001B40D7"/>
    <w:rsid w:val="001B4386"/>
    <w:rsid w:val="001B4406"/>
    <w:rsid w:val="001B44E8"/>
    <w:rsid w:val="001B4500"/>
    <w:rsid w:val="001B48A5"/>
    <w:rsid w:val="001B48F4"/>
    <w:rsid w:val="001B4A11"/>
    <w:rsid w:val="001B4A40"/>
    <w:rsid w:val="001B4A78"/>
    <w:rsid w:val="001B4AE2"/>
    <w:rsid w:val="001B4C1A"/>
    <w:rsid w:val="001B4CC7"/>
    <w:rsid w:val="001B4CCB"/>
    <w:rsid w:val="001B4D40"/>
    <w:rsid w:val="001B4D8E"/>
    <w:rsid w:val="001B4DF2"/>
    <w:rsid w:val="001B4E13"/>
    <w:rsid w:val="001B4E1D"/>
    <w:rsid w:val="001B4E40"/>
    <w:rsid w:val="001B4EFC"/>
    <w:rsid w:val="001B4FFD"/>
    <w:rsid w:val="001B501D"/>
    <w:rsid w:val="001B50C9"/>
    <w:rsid w:val="001B55BE"/>
    <w:rsid w:val="001B56E8"/>
    <w:rsid w:val="001B57E3"/>
    <w:rsid w:val="001B585E"/>
    <w:rsid w:val="001B5890"/>
    <w:rsid w:val="001B596D"/>
    <w:rsid w:val="001B59D2"/>
    <w:rsid w:val="001B5AFC"/>
    <w:rsid w:val="001B5B6E"/>
    <w:rsid w:val="001B5BDF"/>
    <w:rsid w:val="001B5CFD"/>
    <w:rsid w:val="001B5DA1"/>
    <w:rsid w:val="001B5E05"/>
    <w:rsid w:val="001B60A6"/>
    <w:rsid w:val="001B612A"/>
    <w:rsid w:val="001B6175"/>
    <w:rsid w:val="001B622B"/>
    <w:rsid w:val="001B629D"/>
    <w:rsid w:val="001B6304"/>
    <w:rsid w:val="001B64FC"/>
    <w:rsid w:val="001B652F"/>
    <w:rsid w:val="001B6612"/>
    <w:rsid w:val="001B6666"/>
    <w:rsid w:val="001B668E"/>
    <w:rsid w:val="001B674B"/>
    <w:rsid w:val="001B67F8"/>
    <w:rsid w:val="001B68F3"/>
    <w:rsid w:val="001B6914"/>
    <w:rsid w:val="001B6929"/>
    <w:rsid w:val="001B69CC"/>
    <w:rsid w:val="001B6A2B"/>
    <w:rsid w:val="001B6A9A"/>
    <w:rsid w:val="001B6BA7"/>
    <w:rsid w:val="001B6CF6"/>
    <w:rsid w:val="001B6D24"/>
    <w:rsid w:val="001B6D5F"/>
    <w:rsid w:val="001B6DE5"/>
    <w:rsid w:val="001B6E50"/>
    <w:rsid w:val="001B6E99"/>
    <w:rsid w:val="001B6EAF"/>
    <w:rsid w:val="001B6EE2"/>
    <w:rsid w:val="001B6F54"/>
    <w:rsid w:val="001B70E6"/>
    <w:rsid w:val="001B71CF"/>
    <w:rsid w:val="001B72E1"/>
    <w:rsid w:val="001B7326"/>
    <w:rsid w:val="001B7404"/>
    <w:rsid w:val="001B740D"/>
    <w:rsid w:val="001B7487"/>
    <w:rsid w:val="001B74E0"/>
    <w:rsid w:val="001B74F6"/>
    <w:rsid w:val="001B7508"/>
    <w:rsid w:val="001B7548"/>
    <w:rsid w:val="001B75D9"/>
    <w:rsid w:val="001B7626"/>
    <w:rsid w:val="001B7691"/>
    <w:rsid w:val="001B7795"/>
    <w:rsid w:val="001B7837"/>
    <w:rsid w:val="001B78FA"/>
    <w:rsid w:val="001B7988"/>
    <w:rsid w:val="001B7B95"/>
    <w:rsid w:val="001B7C47"/>
    <w:rsid w:val="001B7C82"/>
    <w:rsid w:val="001B7CB7"/>
    <w:rsid w:val="001B7D6C"/>
    <w:rsid w:val="001B7D8E"/>
    <w:rsid w:val="001B7D99"/>
    <w:rsid w:val="001B7F29"/>
    <w:rsid w:val="001C0021"/>
    <w:rsid w:val="001C00B9"/>
    <w:rsid w:val="001C00FF"/>
    <w:rsid w:val="001C012A"/>
    <w:rsid w:val="001C026B"/>
    <w:rsid w:val="001C02D0"/>
    <w:rsid w:val="001C03AA"/>
    <w:rsid w:val="001C0548"/>
    <w:rsid w:val="001C05CA"/>
    <w:rsid w:val="001C05EE"/>
    <w:rsid w:val="001C076F"/>
    <w:rsid w:val="001C0797"/>
    <w:rsid w:val="001C07D9"/>
    <w:rsid w:val="001C07F1"/>
    <w:rsid w:val="001C0888"/>
    <w:rsid w:val="001C0890"/>
    <w:rsid w:val="001C08BF"/>
    <w:rsid w:val="001C09F4"/>
    <w:rsid w:val="001C0A38"/>
    <w:rsid w:val="001C0C84"/>
    <w:rsid w:val="001C0C89"/>
    <w:rsid w:val="001C0FA9"/>
    <w:rsid w:val="001C111A"/>
    <w:rsid w:val="001C1154"/>
    <w:rsid w:val="001C1179"/>
    <w:rsid w:val="001C12A4"/>
    <w:rsid w:val="001C1335"/>
    <w:rsid w:val="001C1347"/>
    <w:rsid w:val="001C154B"/>
    <w:rsid w:val="001C16C0"/>
    <w:rsid w:val="001C1748"/>
    <w:rsid w:val="001C1AA3"/>
    <w:rsid w:val="001C1B0D"/>
    <w:rsid w:val="001C1B39"/>
    <w:rsid w:val="001C1BAF"/>
    <w:rsid w:val="001C1C20"/>
    <w:rsid w:val="001C1C25"/>
    <w:rsid w:val="001C1CC1"/>
    <w:rsid w:val="001C1D2E"/>
    <w:rsid w:val="001C1D58"/>
    <w:rsid w:val="001C1E35"/>
    <w:rsid w:val="001C1ED6"/>
    <w:rsid w:val="001C1F6A"/>
    <w:rsid w:val="001C1FE1"/>
    <w:rsid w:val="001C215D"/>
    <w:rsid w:val="001C2196"/>
    <w:rsid w:val="001C227B"/>
    <w:rsid w:val="001C22BA"/>
    <w:rsid w:val="001C232F"/>
    <w:rsid w:val="001C2341"/>
    <w:rsid w:val="001C2392"/>
    <w:rsid w:val="001C23A3"/>
    <w:rsid w:val="001C2558"/>
    <w:rsid w:val="001C2565"/>
    <w:rsid w:val="001C25FB"/>
    <w:rsid w:val="001C2666"/>
    <w:rsid w:val="001C277E"/>
    <w:rsid w:val="001C2B88"/>
    <w:rsid w:val="001C2BF2"/>
    <w:rsid w:val="001C2CFD"/>
    <w:rsid w:val="001C2D74"/>
    <w:rsid w:val="001C2DF9"/>
    <w:rsid w:val="001C2FD3"/>
    <w:rsid w:val="001C3036"/>
    <w:rsid w:val="001C30DE"/>
    <w:rsid w:val="001C310B"/>
    <w:rsid w:val="001C3555"/>
    <w:rsid w:val="001C35B2"/>
    <w:rsid w:val="001C35C2"/>
    <w:rsid w:val="001C3743"/>
    <w:rsid w:val="001C3860"/>
    <w:rsid w:val="001C3891"/>
    <w:rsid w:val="001C38A9"/>
    <w:rsid w:val="001C39F3"/>
    <w:rsid w:val="001C3A26"/>
    <w:rsid w:val="001C3A92"/>
    <w:rsid w:val="001C3AF9"/>
    <w:rsid w:val="001C3B7B"/>
    <w:rsid w:val="001C3CF6"/>
    <w:rsid w:val="001C3D5B"/>
    <w:rsid w:val="001C3DB3"/>
    <w:rsid w:val="001C3EDB"/>
    <w:rsid w:val="001C4137"/>
    <w:rsid w:val="001C41AD"/>
    <w:rsid w:val="001C4248"/>
    <w:rsid w:val="001C424C"/>
    <w:rsid w:val="001C42A7"/>
    <w:rsid w:val="001C4309"/>
    <w:rsid w:val="001C4327"/>
    <w:rsid w:val="001C43A3"/>
    <w:rsid w:val="001C44F7"/>
    <w:rsid w:val="001C45AA"/>
    <w:rsid w:val="001C45B9"/>
    <w:rsid w:val="001C45C0"/>
    <w:rsid w:val="001C45F7"/>
    <w:rsid w:val="001C462E"/>
    <w:rsid w:val="001C4687"/>
    <w:rsid w:val="001C4697"/>
    <w:rsid w:val="001C469F"/>
    <w:rsid w:val="001C472D"/>
    <w:rsid w:val="001C4931"/>
    <w:rsid w:val="001C49C0"/>
    <w:rsid w:val="001C4A9E"/>
    <w:rsid w:val="001C4AB7"/>
    <w:rsid w:val="001C4AF1"/>
    <w:rsid w:val="001C4C1E"/>
    <w:rsid w:val="001C4D89"/>
    <w:rsid w:val="001C4F35"/>
    <w:rsid w:val="001C5049"/>
    <w:rsid w:val="001C5080"/>
    <w:rsid w:val="001C50A1"/>
    <w:rsid w:val="001C50BE"/>
    <w:rsid w:val="001C51F7"/>
    <w:rsid w:val="001C5207"/>
    <w:rsid w:val="001C522C"/>
    <w:rsid w:val="001C53C5"/>
    <w:rsid w:val="001C546A"/>
    <w:rsid w:val="001C5566"/>
    <w:rsid w:val="001C55CB"/>
    <w:rsid w:val="001C561D"/>
    <w:rsid w:val="001C5730"/>
    <w:rsid w:val="001C5949"/>
    <w:rsid w:val="001C594E"/>
    <w:rsid w:val="001C5A02"/>
    <w:rsid w:val="001C5B82"/>
    <w:rsid w:val="001C5BB4"/>
    <w:rsid w:val="001C5CF3"/>
    <w:rsid w:val="001C5DA8"/>
    <w:rsid w:val="001C5E04"/>
    <w:rsid w:val="001C5F26"/>
    <w:rsid w:val="001C6310"/>
    <w:rsid w:val="001C631F"/>
    <w:rsid w:val="001C6342"/>
    <w:rsid w:val="001C6403"/>
    <w:rsid w:val="001C64D7"/>
    <w:rsid w:val="001C64E5"/>
    <w:rsid w:val="001C64EC"/>
    <w:rsid w:val="001C658C"/>
    <w:rsid w:val="001C66A0"/>
    <w:rsid w:val="001C685D"/>
    <w:rsid w:val="001C687F"/>
    <w:rsid w:val="001C6A5C"/>
    <w:rsid w:val="001C6C27"/>
    <w:rsid w:val="001C6C56"/>
    <w:rsid w:val="001C6D81"/>
    <w:rsid w:val="001C6D86"/>
    <w:rsid w:val="001C6E4B"/>
    <w:rsid w:val="001C6EFE"/>
    <w:rsid w:val="001C6F7E"/>
    <w:rsid w:val="001C6FA3"/>
    <w:rsid w:val="001C6FB3"/>
    <w:rsid w:val="001C6FB7"/>
    <w:rsid w:val="001C71BD"/>
    <w:rsid w:val="001C750A"/>
    <w:rsid w:val="001C7617"/>
    <w:rsid w:val="001C762C"/>
    <w:rsid w:val="001C766A"/>
    <w:rsid w:val="001C78D3"/>
    <w:rsid w:val="001C795D"/>
    <w:rsid w:val="001C7A32"/>
    <w:rsid w:val="001C7BD1"/>
    <w:rsid w:val="001C7CC6"/>
    <w:rsid w:val="001C7D9E"/>
    <w:rsid w:val="001C7E15"/>
    <w:rsid w:val="001C7EA7"/>
    <w:rsid w:val="001C7F2C"/>
    <w:rsid w:val="001D010E"/>
    <w:rsid w:val="001D01C3"/>
    <w:rsid w:val="001D0208"/>
    <w:rsid w:val="001D0221"/>
    <w:rsid w:val="001D02C9"/>
    <w:rsid w:val="001D030A"/>
    <w:rsid w:val="001D0380"/>
    <w:rsid w:val="001D0388"/>
    <w:rsid w:val="001D04A7"/>
    <w:rsid w:val="001D06E5"/>
    <w:rsid w:val="001D07CD"/>
    <w:rsid w:val="001D081C"/>
    <w:rsid w:val="001D082A"/>
    <w:rsid w:val="001D087D"/>
    <w:rsid w:val="001D091B"/>
    <w:rsid w:val="001D0A66"/>
    <w:rsid w:val="001D0C3D"/>
    <w:rsid w:val="001D0D1D"/>
    <w:rsid w:val="001D0F1D"/>
    <w:rsid w:val="001D0F7C"/>
    <w:rsid w:val="001D0FBA"/>
    <w:rsid w:val="001D1077"/>
    <w:rsid w:val="001D10DC"/>
    <w:rsid w:val="001D112B"/>
    <w:rsid w:val="001D13D5"/>
    <w:rsid w:val="001D1483"/>
    <w:rsid w:val="001D162A"/>
    <w:rsid w:val="001D1683"/>
    <w:rsid w:val="001D16B6"/>
    <w:rsid w:val="001D16E3"/>
    <w:rsid w:val="001D1715"/>
    <w:rsid w:val="001D17F3"/>
    <w:rsid w:val="001D18A0"/>
    <w:rsid w:val="001D19FF"/>
    <w:rsid w:val="001D1A1E"/>
    <w:rsid w:val="001D1A31"/>
    <w:rsid w:val="001D1A5C"/>
    <w:rsid w:val="001D1A64"/>
    <w:rsid w:val="001D1BBF"/>
    <w:rsid w:val="001D1C17"/>
    <w:rsid w:val="001D1D56"/>
    <w:rsid w:val="001D1DB1"/>
    <w:rsid w:val="001D1E40"/>
    <w:rsid w:val="001D1E43"/>
    <w:rsid w:val="001D1F00"/>
    <w:rsid w:val="001D205D"/>
    <w:rsid w:val="001D2098"/>
    <w:rsid w:val="001D216D"/>
    <w:rsid w:val="001D219C"/>
    <w:rsid w:val="001D2292"/>
    <w:rsid w:val="001D2586"/>
    <w:rsid w:val="001D26E9"/>
    <w:rsid w:val="001D2700"/>
    <w:rsid w:val="001D289B"/>
    <w:rsid w:val="001D29BE"/>
    <w:rsid w:val="001D29E6"/>
    <w:rsid w:val="001D2A34"/>
    <w:rsid w:val="001D2A5F"/>
    <w:rsid w:val="001D2B19"/>
    <w:rsid w:val="001D2B3D"/>
    <w:rsid w:val="001D2BB7"/>
    <w:rsid w:val="001D2C2F"/>
    <w:rsid w:val="001D2C4C"/>
    <w:rsid w:val="001D2D24"/>
    <w:rsid w:val="001D2F7D"/>
    <w:rsid w:val="001D30B2"/>
    <w:rsid w:val="001D3119"/>
    <w:rsid w:val="001D32BE"/>
    <w:rsid w:val="001D32F0"/>
    <w:rsid w:val="001D3561"/>
    <w:rsid w:val="001D35F3"/>
    <w:rsid w:val="001D364A"/>
    <w:rsid w:val="001D3698"/>
    <w:rsid w:val="001D36BB"/>
    <w:rsid w:val="001D36E9"/>
    <w:rsid w:val="001D3717"/>
    <w:rsid w:val="001D3A21"/>
    <w:rsid w:val="001D3A64"/>
    <w:rsid w:val="001D3B10"/>
    <w:rsid w:val="001D3B73"/>
    <w:rsid w:val="001D3C8A"/>
    <w:rsid w:val="001D3CA1"/>
    <w:rsid w:val="001D3CF5"/>
    <w:rsid w:val="001D3D61"/>
    <w:rsid w:val="001D3E3B"/>
    <w:rsid w:val="001D3F5E"/>
    <w:rsid w:val="001D4004"/>
    <w:rsid w:val="001D41BD"/>
    <w:rsid w:val="001D42AC"/>
    <w:rsid w:val="001D4436"/>
    <w:rsid w:val="001D452D"/>
    <w:rsid w:val="001D470F"/>
    <w:rsid w:val="001D481C"/>
    <w:rsid w:val="001D4886"/>
    <w:rsid w:val="001D4899"/>
    <w:rsid w:val="001D48B5"/>
    <w:rsid w:val="001D49DE"/>
    <w:rsid w:val="001D4AB2"/>
    <w:rsid w:val="001D4ADD"/>
    <w:rsid w:val="001D4B9F"/>
    <w:rsid w:val="001D4C12"/>
    <w:rsid w:val="001D4CCB"/>
    <w:rsid w:val="001D4D70"/>
    <w:rsid w:val="001D4EC7"/>
    <w:rsid w:val="001D4EE5"/>
    <w:rsid w:val="001D4F78"/>
    <w:rsid w:val="001D516D"/>
    <w:rsid w:val="001D51CC"/>
    <w:rsid w:val="001D51D3"/>
    <w:rsid w:val="001D5502"/>
    <w:rsid w:val="001D5698"/>
    <w:rsid w:val="001D56EC"/>
    <w:rsid w:val="001D572C"/>
    <w:rsid w:val="001D57EE"/>
    <w:rsid w:val="001D5874"/>
    <w:rsid w:val="001D591E"/>
    <w:rsid w:val="001D5969"/>
    <w:rsid w:val="001D59DE"/>
    <w:rsid w:val="001D5A6C"/>
    <w:rsid w:val="001D5B1E"/>
    <w:rsid w:val="001D5B44"/>
    <w:rsid w:val="001D5C6C"/>
    <w:rsid w:val="001D5CE5"/>
    <w:rsid w:val="001D5F66"/>
    <w:rsid w:val="001D5FDF"/>
    <w:rsid w:val="001D6051"/>
    <w:rsid w:val="001D60CD"/>
    <w:rsid w:val="001D60E7"/>
    <w:rsid w:val="001D621C"/>
    <w:rsid w:val="001D6261"/>
    <w:rsid w:val="001D6269"/>
    <w:rsid w:val="001D636B"/>
    <w:rsid w:val="001D63FF"/>
    <w:rsid w:val="001D657C"/>
    <w:rsid w:val="001D6763"/>
    <w:rsid w:val="001D67B2"/>
    <w:rsid w:val="001D6846"/>
    <w:rsid w:val="001D694F"/>
    <w:rsid w:val="001D69A1"/>
    <w:rsid w:val="001D69F9"/>
    <w:rsid w:val="001D6AB1"/>
    <w:rsid w:val="001D70C2"/>
    <w:rsid w:val="001D7249"/>
    <w:rsid w:val="001D7477"/>
    <w:rsid w:val="001D75DE"/>
    <w:rsid w:val="001D7639"/>
    <w:rsid w:val="001D76D3"/>
    <w:rsid w:val="001D76E7"/>
    <w:rsid w:val="001D76F4"/>
    <w:rsid w:val="001D773F"/>
    <w:rsid w:val="001D7781"/>
    <w:rsid w:val="001D77B2"/>
    <w:rsid w:val="001D7986"/>
    <w:rsid w:val="001D7B36"/>
    <w:rsid w:val="001D7B43"/>
    <w:rsid w:val="001D7BEE"/>
    <w:rsid w:val="001D7C89"/>
    <w:rsid w:val="001D7D73"/>
    <w:rsid w:val="001D7DDA"/>
    <w:rsid w:val="001D7E12"/>
    <w:rsid w:val="001D7F35"/>
    <w:rsid w:val="001D7F55"/>
    <w:rsid w:val="001D7FC9"/>
    <w:rsid w:val="001D7FF1"/>
    <w:rsid w:val="001E00A9"/>
    <w:rsid w:val="001E020E"/>
    <w:rsid w:val="001E036B"/>
    <w:rsid w:val="001E03CD"/>
    <w:rsid w:val="001E0424"/>
    <w:rsid w:val="001E0499"/>
    <w:rsid w:val="001E0589"/>
    <w:rsid w:val="001E05AA"/>
    <w:rsid w:val="001E05C2"/>
    <w:rsid w:val="001E087D"/>
    <w:rsid w:val="001E08EC"/>
    <w:rsid w:val="001E0945"/>
    <w:rsid w:val="001E0957"/>
    <w:rsid w:val="001E0A89"/>
    <w:rsid w:val="001E0B7B"/>
    <w:rsid w:val="001E0CAA"/>
    <w:rsid w:val="001E0DF2"/>
    <w:rsid w:val="001E0E21"/>
    <w:rsid w:val="001E0EDC"/>
    <w:rsid w:val="001E1076"/>
    <w:rsid w:val="001E112F"/>
    <w:rsid w:val="001E1191"/>
    <w:rsid w:val="001E11BB"/>
    <w:rsid w:val="001E1295"/>
    <w:rsid w:val="001E1337"/>
    <w:rsid w:val="001E1408"/>
    <w:rsid w:val="001E1419"/>
    <w:rsid w:val="001E15DC"/>
    <w:rsid w:val="001E15E3"/>
    <w:rsid w:val="001E1620"/>
    <w:rsid w:val="001E16F8"/>
    <w:rsid w:val="001E16FD"/>
    <w:rsid w:val="001E18A4"/>
    <w:rsid w:val="001E18B9"/>
    <w:rsid w:val="001E1C59"/>
    <w:rsid w:val="001E1DAD"/>
    <w:rsid w:val="001E1DD6"/>
    <w:rsid w:val="001E1EA7"/>
    <w:rsid w:val="001E2002"/>
    <w:rsid w:val="001E2116"/>
    <w:rsid w:val="001E23C6"/>
    <w:rsid w:val="001E25B1"/>
    <w:rsid w:val="001E26E7"/>
    <w:rsid w:val="001E2716"/>
    <w:rsid w:val="001E286A"/>
    <w:rsid w:val="001E28DD"/>
    <w:rsid w:val="001E29A3"/>
    <w:rsid w:val="001E29CE"/>
    <w:rsid w:val="001E2A82"/>
    <w:rsid w:val="001E2B56"/>
    <w:rsid w:val="001E2BC4"/>
    <w:rsid w:val="001E2D76"/>
    <w:rsid w:val="001E2E89"/>
    <w:rsid w:val="001E2EFF"/>
    <w:rsid w:val="001E2F9B"/>
    <w:rsid w:val="001E3016"/>
    <w:rsid w:val="001E302C"/>
    <w:rsid w:val="001E315D"/>
    <w:rsid w:val="001E32A2"/>
    <w:rsid w:val="001E34D1"/>
    <w:rsid w:val="001E3508"/>
    <w:rsid w:val="001E354A"/>
    <w:rsid w:val="001E3587"/>
    <w:rsid w:val="001E35A8"/>
    <w:rsid w:val="001E3647"/>
    <w:rsid w:val="001E369C"/>
    <w:rsid w:val="001E3712"/>
    <w:rsid w:val="001E3727"/>
    <w:rsid w:val="001E3776"/>
    <w:rsid w:val="001E37A3"/>
    <w:rsid w:val="001E3807"/>
    <w:rsid w:val="001E384D"/>
    <w:rsid w:val="001E3917"/>
    <w:rsid w:val="001E3978"/>
    <w:rsid w:val="001E3993"/>
    <w:rsid w:val="001E39D2"/>
    <w:rsid w:val="001E39ED"/>
    <w:rsid w:val="001E39FB"/>
    <w:rsid w:val="001E3B03"/>
    <w:rsid w:val="001E3CE3"/>
    <w:rsid w:val="001E3DE9"/>
    <w:rsid w:val="001E3FC2"/>
    <w:rsid w:val="001E4117"/>
    <w:rsid w:val="001E412D"/>
    <w:rsid w:val="001E4168"/>
    <w:rsid w:val="001E431E"/>
    <w:rsid w:val="001E438D"/>
    <w:rsid w:val="001E439E"/>
    <w:rsid w:val="001E441E"/>
    <w:rsid w:val="001E4442"/>
    <w:rsid w:val="001E4484"/>
    <w:rsid w:val="001E44F2"/>
    <w:rsid w:val="001E4634"/>
    <w:rsid w:val="001E468E"/>
    <w:rsid w:val="001E4731"/>
    <w:rsid w:val="001E47C2"/>
    <w:rsid w:val="001E48C5"/>
    <w:rsid w:val="001E4991"/>
    <w:rsid w:val="001E4AD3"/>
    <w:rsid w:val="001E4AE6"/>
    <w:rsid w:val="001E4C55"/>
    <w:rsid w:val="001E4D18"/>
    <w:rsid w:val="001E4D30"/>
    <w:rsid w:val="001E4D64"/>
    <w:rsid w:val="001E4D8E"/>
    <w:rsid w:val="001E4DAA"/>
    <w:rsid w:val="001E4DC1"/>
    <w:rsid w:val="001E5154"/>
    <w:rsid w:val="001E5393"/>
    <w:rsid w:val="001E554D"/>
    <w:rsid w:val="001E5566"/>
    <w:rsid w:val="001E55BD"/>
    <w:rsid w:val="001E58DB"/>
    <w:rsid w:val="001E5903"/>
    <w:rsid w:val="001E5B27"/>
    <w:rsid w:val="001E5B36"/>
    <w:rsid w:val="001E5BDB"/>
    <w:rsid w:val="001E5DCA"/>
    <w:rsid w:val="001E5E89"/>
    <w:rsid w:val="001E5FA3"/>
    <w:rsid w:val="001E6031"/>
    <w:rsid w:val="001E60BA"/>
    <w:rsid w:val="001E60D0"/>
    <w:rsid w:val="001E6242"/>
    <w:rsid w:val="001E6289"/>
    <w:rsid w:val="001E631E"/>
    <w:rsid w:val="001E644B"/>
    <w:rsid w:val="001E64C6"/>
    <w:rsid w:val="001E65F1"/>
    <w:rsid w:val="001E6638"/>
    <w:rsid w:val="001E6688"/>
    <w:rsid w:val="001E6868"/>
    <w:rsid w:val="001E6A24"/>
    <w:rsid w:val="001E6A77"/>
    <w:rsid w:val="001E6AE2"/>
    <w:rsid w:val="001E6B78"/>
    <w:rsid w:val="001E6B90"/>
    <w:rsid w:val="001E6BBE"/>
    <w:rsid w:val="001E6C8E"/>
    <w:rsid w:val="001E6DC6"/>
    <w:rsid w:val="001E6E7B"/>
    <w:rsid w:val="001E71FB"/>
    <w:rsid w:val="001E7214"/>
    <w:rsid w:val="001E72E0"/>
    <w:rsid w:val="001E7413"/>
    <w:rsid w:val="001E74F4"/>
    <w:rsid w:val="001E7848"/>
    <w:rsid w:val="001E78F2"/>
    <w:rsid w:val="001E7BA0"/>
    <w:rsid w:val="001E7C5E"/>
    <w:rsid w:val="001E7D52"/>
    <w:rsid w:val="001E7DAD"/>
    <w:rsid w:val="001E7DB3"/>
    <w:rsid w:val="001E7E57"/>
    <w:rsid w:val="001E7E5B"/>
    <w:rsid w:val="001E7E94"/>
    <w:rsid w:val="001E7ED8"/>
    <w:rsid w:val="001E7F7B"/>
    <w:rsid w:val="001F001B"/>
    <w:rsid w:val="001F0028"/>
    <w:rsid w:val="001F0100"/>
    <w:rsid w:val="001F0110"/>
    <w:rsid w:val="001F0226"/>
    <w:rsid w:val="001F0269"/>
    <w:rsid w:val="001F0285"/>
    <w:rsid w:val="001F0336"/>
    <w:rsid w:val="001F0531"/>
    <w:rsid w:val="001F073E"/>
    <w:rsid w:val="001F077D"/>
    <w:rsid w:val="001F082D"/>
    <w:rsid w:val="001F0939"/>
    <w:rsid w:val="001F0A48"/>
    <w:rsid w:val="001F0A4B"/>
    <w:rsid w:val="001F0B2B"/>
    <w:rsid w:val="001F0BC4"/>
    <w:rsid w:val="001F0BFD"/>
    <w:rsid w:val="001F0DDC"/>
    <w:rsid w:val="001F0E26"/>
    <w:rsid w:val="001F0E67"/>
    <w:rsid w:val="001F0FB9"/>
    <w:rsid w:val="001F10E7"/>
    <w:rsid w:val="001F1142"/>
    <w:rsid w:val="001F1573"/>
    <w:rsid w:val="001F15DE"/>
    <w:rsid w:val="001F16EE"/>
    <w:rsid w:val="001F1749"/>
    <w:rsid w:val="001F17CC"/>
    <w:rsid w:val="001F192E"/>
    <w:rsid w:val="001F1945"/>
    <w:rsid w:val="001F1A59"/>
    <w:rsid w:val="001F1AA9"/>
    <w:rsid w:val="001F1AE5"/>
    <w:rsid w:val="001F1B06"/>
    <w:rsid w:val="001F1B57"/>
    <w:rsid w:val="001F1B78"/>
    <w:rsid w:val="001F1CC1"/>
    <w:rsid w:val="001F1CE4"/>
    <w:rsid w:val="001F1D49"/>
    <w:rsid w:val="001F1D74"/>
    <w:rsid w:val="001F1E99"/>
    <w:rsid w:val="001F1EF3"/>
    <w:rsid w:val="001F1F36"/>
    <w:rsid w:val="001F1F62"/>
    <w:rsid w:val="001F1F64"/>
    <w:rsid w:val="001F1FBC"/>
    <w:rsid w:val="001F2101"/>
    <w:rsid w:val="001F2148"/>
    <w:rsid w:val="001F21C9"/>
    <w:rsid w:val="001F2242"/>
    <w:rsid w:val="001F22CF"/>
    <w:rsid w:val="001F22D6"/>
    <w:rsid w:val="001F22DB"/>
    <w:rsid w:val="001F24DC"/>
    <w:rsid w:val="001F25EA"/>
    <w:rsid w:val="001F2649"/>
    <w:rsid w:val="001F264D"/>
    <w:rsid w:val="001F27B9"/>
    <w:rsid w:val="001F2906"/>
    <w:rsid w:val="001F298D"/>
    <w:rsid w:val="001F2ACA"/>
    <w:rsid w:val="001F2AE0"/>
    <w:rsid w:val="001F2AE5"/>
    <w:rsid w:val="001F2AE6"/>
    <w:rsid w:val="001F2AE8"/>
    <w:rsid w:val="001F2B17"/>
    <w:rsid w:val="001F2B70"/>
    <w:rsid w:val="001F2C38"/>
    <w:rsid w:val="001F2D59"/>
    <w:rsid w:val="001F2D72"/>
    <w:rsid w:val="001F2DCD"/>
    <w:rsid w:val="001F2F8B"/>
    <w:rsid w:val="001F3209"/>
    <w:rsid w:val="001F3295"/>
    <w:rsid w:val="001F3302"/>
    <w:rsid w:val="001F331C"/>
    <w:rsid w:val="001F339F"/>
    <w:rsid w:val="001F3420"/>
    <w:rsid w:val="001F34C9"/>
    <w:rsid w:val="001F385F"/>
    <w:rsid w:val="001F3987"/>
    <w:rsid w:val="001F3997"/>
    <w:rsid w:val="001F3A23"/>
    <w:rsid w:val="001F3AF8"/>
    <w:rsid w:val="001F3B37"/>
    <w:rsid w:val="001F3B9C"/>
    <w:rsid w:val="001F3C60"/>
    <w:rsid w:val="001F3CBB"/>
    <w:rsid w:val="001F3CC6"/>
    <w:rsid w:val="001F3CF7"/>
    <w:rsid w:val="001F3D7F"/>
    <w:rsid w:val="001F40C5"/>
    <w:rsid w:val="001F41D2"/>
    <w:rsid w:val="001F421D"/>
    <w:rsid w:val="001F43D7"/>
    <w:rsid w:val="001F4524"/>
    <w:rsid w:val="001F45AB"/>
    <w:rsid w:val="001F46C2"/>
    <w:rsid w:val="001F4717"/>
    <w:rsid w:val="001F4725"/>
    <w:rsid w:val="001F4782"/>
    <w:rsid w:val="001F48A0"/>
    <w:rsid w:val="001F49CD"/>
    <w:rsid w:val="001F4BB6"/>
    <w:rsid w:val="001F4BDF"/>
    <w:rsid w:val="001F4D4B"/>
    <w:rsid w:val="001F4F14"/>
    <w:rsid w:val="001F508F"/>
    <w:rsid w:val="001F5139"/>
    <w:rsid w:val="001F514B"/>
    <w:rsid w:val="001F554A"/>
    <w:rsid w:val="001F5590"/>
    <w:rsid w:val="001F55C9"/>
    <w:rsid w:val="001F5644"/>
    <w:rsid w:val="001F57F5"/>
    <w:rsid w:val="001F5815"/>
    <w:rsid w:val="001F58A4"/>
    <w:rsid w:val="001F594C"/>
    <w:rsid w:val="001F59A8"/>
    <w:rsid w:val="001F5AE6"/>
    <w:rsid w:val="001F5B1B"/>
    <w:rsid w:val="001F5BE0"/>
    <w:rsid w:val="001F5C84"/>
    <w:rsid w:val="001F5CCB"/>
    <w:rsid w:val="001F5CEB"/>
    <w:rsid w:val="001F5FF0"/>
    <w:rsid w:val="001F60FF"/>
    <w:rsid w:val="001F61B8"/>
    <w:rsid w:val="001F620F"/>
    <w:rsid w:val="001F6223"/>
    <w:rsid w:val="001F624C"/>
    <w:rsid w:val="001F636E"/>
    <w:rsid w:val="001F6484"/>
    <w:rsid w:val="001F64A3"/>
    <w:rsid w:val="001F64AC"/>
    <w:rsid w:val="001F64E5"/>
    <w:rsid w:val="001F663F"/>
    <w:rsid w:val="001F66A3"/>
    <w:rsid w:val="001F6743"/>
    <w:rsid w:val="001F675B"/>
    <w:rsid w:val="001F67B2"/>
    <w:rsid w:val="001F6850"/>
    <w:rsid w:val="001F68C2"/>
    <w:rsid w:val="001F6910"/>
    <w:rsid w:val="001F69A4"/>
    <w:rsid w:val="001F6A46"/>
    <w:rsid w:val="001F6B06"/>
    <w:rsid w:val="001F6B88"/>
    <w:rsid w:val="001F7007"/>
    <w:rsid w:val="001F732D"/>
    <w:rsid w:val="001F73E2"/>
    <w:rsid w:val="001F7431"/>
    <w:rsid w:val="001F759B"/>
    <w:rsid w:val="001F75FC"/>
    <w:rsid w:val="001F7696"/>
    <w:rsid w:val="001F7884"/>
    <w:rsid w:val="001F789A"/>
    <w:rsid w:val="001F797D"/>
    <w:rsid w:val="001F7992"/>
    <w:rsid w:val="001F7AAA"/>
    <w:rsid w:val="001F7AEE"/>
    <w:rsid w:val="001F7BE5"/>
    <w:rsid w:val="001F7C0A"/>
    <w:rsid w:val="001F7D11"/>
    <w:rsid w:val="001F7DB1"/>
    <w:rsid w:val="001F7E14"/>
    <w:rsid w:val="001F7FF1"/>
    <w:rsid w:val="00200153"/>
    <w:rsid w:val="0020026C"/>
    <w:rsid w:val="002004D6"/>
    <w:rsid w:val="00200548"/>
    <w:rsid w:val="00200620"/>
    <w:rsid w:val="00200621"/>
    <w:rsid w:val="00200666"/>
    <w:rsid w:val="00200670"/>
    <w:rsid w:val="002006E5"/>
    <w:rsid w:val="002006E7"/>
    <w:rsid w:val="0020076F"/>
    <w:rsid w:val="002007C4"/>
    <w:rsid w:val="00200896"/>
    <w:rsid w:val="0020091E"/>
    <w:rsid w:val="00200A30"/>
    <w:rsid w:val="00200A5D"/>
    <w:rsid w:val="00200B12"/>
    <w:rsid w:val="00200BA1"/>
    <w:rsid w:val="00200C0B"/>
    <w:rsid w:val="00200C69"/>
    <w:rsid w:val="00200C80"/>
    <w:rsid w:val="00200CA9"/>
    <w:rsid w:val="002010C0"/>
    <w:rsid w:val="00201118"/>
    <w:rsid w:val="00201297"/>
    <w:rsid w:val="00201340"/>
    <w:rsid w:val="00201352"/>
    <w:rsid w:val="002013B9"/>
    <w:rsid w:val="002013DD"/>
    <w:rsid w:val="002013F3"/>
    <w:rsid w:val="002014F7"/>
    <w:rsid w:val="0020150A"/>
    <w:rsid w:val="0020152F"/>
    <w:rsid w:val="002015F7"/>
    <w:rsid w:val="0020162D"/>
    <w:rsid w:val="0020183A"/>
    <w:rsid w:val="0020185D"/>
    <w:rsid w:val="0020186D"/>
    <w:rsid w:val="0020189B"/>
    <w:rsid w:val="002018DB"/>
    <w:rsid w:val="002018DC"/>
    <w:rsid w:val="0020195F"/>
    <w:rsid w:val="002019BC"/>
    <w:rsid w:val="002019FE"/>
    <w:rsid w:val="00201A25"/>
    <w:rsid w:val="00201C1E"/>
    <w:rsid w:val="00201F57"/>
    <w:rsid w:val="00201F7E"/>
    <w:rsid w:val="00201FFF"/>
    <w:rsid w:val="0020200E"/>
    <w:rsid w:val="0020205D"/>
    <w:rsid w:val="00202071"/>
    <w:rsid w:val="002020DE"/>
    <w:rsid w:val="00202134"/>
    <w:rsid w:val="00202158"/>
    <w:rsid w:val="002021DD"/>
    <w:rsid w:val="002021F6"/>
    <w:rsid w:val="00202260"/>
    <w:rsid w:val="0020228E"/>
    <w:rsid w:val="002022F8"/>
    <w:rsid w:val="0020238F"/>
    <w:rsid w:val="00202390"/>
    <w:rsid w:val="002026E2"/>
    <w:rsid w:val="0020283F"/>
    <w:rsid w:val="00202843"/>
    <w:rsid w:val="00202884"/>
    <w:rsid w:val="00202BC6"/>
    <w:rsid w:val="00202C5C"/>
    <w:rsid w:val="00202C9C"/>
    <w:rsid w:val="00202CA6"/>
    <w:rsid w:val="00202EA8"/>
    <w:rsid w:val="00202F25"/>
    <w:rsid w:val="00202F28"/>
    <w:rsid w:val="00202F36"/>
    <w:rsid w:val="00202F58"/>
    <w:rsid w:val="00202F61"/>
    <w:rsid w:val="00202FA3"/>
    <w:rsid w:val="00202FBF"/>
    <w:rsid w:val="002031CF"/>
    <w:rsid w:val="0020321A"/>
    <w:rsid w:val="002034F4"/>
    <w:rsid w:val="00203579"/>
    <w:rsid w:val="002035DD"/>
    <w:rsid w:val="00203620"/>
    <w:rsid w:val="002036A6"/>
    <w:rsid w:val="0020374E"/>
    <w:rsid w:val="002037AE"/>
    <w:rsid w:val="00203993"/>
    <w:rsid w:val="00203A2B"/>
    <w:rsid w:val="00203A2D"/>
    <w:rsid w:val="00203AEE"/>
    <w:rsid w:val="00203BD6"/>
    <w:rsid w:val="00203BEB"/>
    <w:rsid w:val="00203BF6"/>
    <w:rsid w:val="00203D43"/>
    <w:rsid w:val="00203E50"/>
    <w:rsid w:val="0020411C"/>
    <w:rsid w:val="00204371"/>
    <w:rsid w:val="0020444A"/>
    <w:rsid w:val="002044E5"/>
    <w:rsid w:val="002044FB"/>
    <w:rsid w:val="00204508"/>
    <w:rsid w:val="00204526"/>
    <w:rsid w:val="00204555"/>
    <w:rsid w:val="00204631"/>
    <w:rsid w:val="00204649"/>
    <w:rsid w:val="0020469C"/>
    <w:rsid w:val="002048F1"/>
    <w:rsid w:val="00204921"/>
    <w:rsid w:val="0020493E"/>
    <w:rsid w:val="00204993"/>
    <w:rsid w:val="00204A6A"/>
    <w:rsid w:val="00204BAC"/>
    <w:rsid w:val="00204BE1"/>
    <w:rsid w:val="00204C4F"/>
    <w:rsid w:val="00204C88"/>
    <w:rsid w:val="00204D0D"/>
    <w:rsid w:val="00204E09"/>
    <w:rsid w:val="00204E0B"/>
    <w:rsid w:val="00204F5F"/>
    <w:rsid w:val="002050A5"/>
    <w:rsid w:val="002052C9"/>
    <w:rsid w:val="0020530E"/>
    <w:rsid w:val="00205320"/>
    <w:rsid w:val="00205377"/>
    <w:rsid w:val="002053D3"/>
    <w:rsid w:val="00205419"/>
    <w:rsid w:val="00205437"/>
    <w:rsid w:val="0020543A"/>
    <w:rsid w:val="00205494"/>
    <w:rsid w:val="00205689"/>
    <w:rsid w:val="002056BA"/>
    <w:rsid w:val="002056EF"/>
    <w:rsid w:val="002057E7"/>
    <w:rsid w:val="00205822"/>
    <w:rsid w:val="002059ED"/>
    <w:rsid w:val="00205B00"/>
    <w:rsid w:val="00205D61"/>
    <w:rsid w:val="00205DC1"/>
    <w:rsid w:val="00205E59"/>
    <w:rsid w:val="00205F61"/>
    <w:rsid w:val="00205F99"/>
    <w:rsid w:val="0020603A"/>
    <w:rsid w:val="0020607D"/>
    <w:rsid w:val="002063D1"/>
    <w:rsid w:val="0020642A"/>
    <w:rsid w:val="0020646C"/>
    <w:rsid w:val="00206503"/>
    <w:rsid w:val="002066DF"/>
    <w:rsid w:val="0020678C"/>
    <w:rsid w:val="002067F0"/>
    <w:rsid w:val="00206943"/>
    <w:rsid w:val="0020694B"/>
    <w:rsid w:val="002069DA"/>
    <w:rsid w:val="00206A9A"/>
    <w:rsid w:val="00206C11"/>
    <w:rsid w:val="00206C6B"/>
    <w:rsid w:val="00206D72"/>
    <w:rsid w:val="00206DA7"/>
    <w:rsid w:val="00206DA9"/>
    <w:rsid w:val="00206E67"/>
    <w:rsid w:val="00206E6E"/>
    <w:rsid w:val="00207042"/>
    <w:rsid w:val="00207101"/>
    <w:rsid w:val="00207193"/>
    <w:rsid w:val="002073FF"/>
    <w:rsid w:val="0020742A"/>
    <w:rsid w:val="00207431"/>
    <w:rsid w:val="00207579"/>
    <w:rsid w:val="00207598"/>
    <w:rsid w:val="002075A3"/>
    <w:rsid w:val="002076C6"/>
    <w:rsid w:val="002076F8"/>
    <w:rsid w:val="0020770B"/>
    <w:rsid w:val="00207718"/>
    <w:rsid w:val="00207734"/>
    <w:rsid w:val="00207772"/>
    <w:rsid w:val="00207799"/>
    <w:rsid w:val="002077A8"/>
    <w:rsid w:val="00207804"/>
    <w:rsid w:val="002079AE"/>
    <w:rsid w:val="00207A2D"/>
    <w:rsid w:val="00207A94"/>
    <w:rsid w:val="00207CAE"/>
    <w:rsid w:val="00207D94"/>
    <w:rsid w:val="00207DCA"/>
    <w:rsid w:val="00207E4D"/>
    <w:rsid w:val="00207F06"/>
    <w:rsid w:val="00207F4B"/>
    <w:rsid w:val="00207FAF"/>
    <w:rsid w:val="00207FD1"/>
    <w:rsid w:val="0021005C"/>
    <w:rsid w:val="00210194"/>
    <w:rsid w:val="002102D8"/>
    <w:rsid w:val="002102F0"/>
    <w:rsid w:val="00210334"/>
    <w:rsid w:val="0021033C"/>
    <w:rsid w:val="00210385"/>
    <w:rsid w:val="0021040F"/>
    <w:rsid w:val="0021046F"/>
    <w:rsid w:val="0021047D"/>
    <w:rsid w:val="002105CF"/>
    <w:rsid w:val="0021072B"/>
    <w:rsid w:val="002107F5"/>
    <w:rsid w:val="00210867"/>
    <w:rsid w:val="0021086F"/>
    <w:rsid w:val="00210893"/>
    <w:rsid w:val="00210A66"/>
    <w:rsid w:val="00210A92"/>
    <w:rsid w:val="00210BCD"/>
    <w:rsid w:val="00210C39"/>
    <w:rsid w:val="00210C93"/>
    <w:rsid w:val="00210E23"/>
    <w:rsid w:val="00210ECA"/>
    <w:rsid w:val="00210F5B"/>
    <w:rsid w:val="00210F75"/>
    <w:rsid w:val="00210F82"/>
    <w:rsid w:val="00211172"/>
    <w:rsid w:val="0021128C"/>
    <w:rsid w:val="002113CF"/>
    <w:rsid w:val="002114A5"/>
    <w:rsid w:val="0021150B"/>
    <w:rsid w:val="00211544"/>
    <w:rsid w:val="002116FC"/>
    <w:rsid w:val="00211798"/>
    <w:rsid w:val="0021179B"/>
    <w:rsid w:val="002117C2"/>
    <w:rsid w:val="002118B9"/>
    <w:rsid w:val="002119A0"/>
    <w:rsid w:val="002119DB"/>
    <w:rsid w:val="00211A0F"/>
    <w:rsid w:val="00211BCE"/>
    <w:rsid w:val="00211BF5"/>
    <w:rsid w:val="00211C50"/>
    <w:rsid w:val="00211CFC"/>
    <w:rsid w:val="00211D0E"/>
    <w:rsid w:val="00211DB4"/>
    <w:rsid w:val="00211DDF"/>
    <w:rsid w:val="00211E86"/>
    <w:rsid w:val="00211E96"/>
    <w:rsid w:val="00211EE4"/>
    <w:rsid w:val="00211FC8"/>
    <w:rsid w:val="00211FD3"/>
    <w:rsid w:val="00211FD7"/>
    <w:rsid w:val="00212042"/>
    <w:rsid w:val="002120C5"/>
    <w:rsid w:val="002120CC"/>
    <w:rsid w:val="002121D0"/>
    <w:rsid w:val="0021242A"/>
    <w:rsid w:val="00212437"/>
    <w:rsid w:val="0021249D"/>
    <w:rsid w:val="00212583"/>
    <w:rsid w:val="00212585"/>
    <w:rsid w:val="00212652"/>
    <w:rsid w:val="0021265E"/>
    <w:rsid w:val="0021269C"/>
    <w:rsid w:val="002126A7"/>
    <w:rsid w:val="00212786"/>
    <w:rsid w:val="00212846"/>
    <w:rsid w:val="00212854"/>
    <w:rsid w:val="002128FD"/>
    <w:rsid w:val="002129AD"/>
    <w:rsid w:val="00212A00"/>
    <w:rsid w:val="00212A88"/>
    <w:rsid w:val="00212AE1"/>
    <w:rsid w:val="00212B2F"/>
    <w:rsid w:val="00212B7F"/>
    <w:rsid w:val="00212B87"/>
    <w:rsid w:val="00212D3A"/>
    <w:rsid w:val="00212E19"/>
    <w:rsid w:val="00212EDA"/>
    <w:rsid w:val="00212EE3"/>
    <w:rsid w:val="00212FD1"/>
    <w:rsid w:val="00213063"/>
    <w:rsid w:val="00213171"/>
    <w:rsid w:val="00213246"/>
    <w:rsid w:val="002132C9"/>
    <w:rsid w:val="002133F0"/>
    <w:rsid w:val="00213510"/>
    <w:rsid w:val="002135DD"/>
    <w:rsid w:val="00213628"/>
    <w:rsid w:val="0021364B"/>
    <w:rsid w:val="0021369B"/>
    <w:rsid w:val="002136EA"/>
    <w:rsid w:val="0021384A"/>
    <w:rsid w:val="00213854"/>
    <w:rsid w:val="00213860"/>
    <w:rsid w:val="0021391B"/>
    <w:rsid w:val="00213BE5"/>
    <w:rsid w:val="00213CB6"/>
    <w:rsid w:val="00213CC9"/>
    <w:rsid w:val="00213DD7"/>
    <w:rsid w:val="00213E0F"/>
    <w:rsid w:val="00213FE0"/>
    <w:rsid w:val="002140B7"/>
    <w:rsid w:val="0021415A"/>
    <w:rsid w:val="002141AD"/>
    <w:rsid w:val="002142AB"/>
    <w:rsid w:val="00214349"/>
    <w:rsid w:val="002143AF"/>
    <w:rsid w:val="0021447C"/>
    <w:rsid w:val="002144E5"/>
    <w:rsid w:val="00214524"/>
    <w:rsid w:val="00214616"/>
    <w:rsid w:val="0021469E"/>
    <w:rsid w:val="002147BA"/>
    <w:rsid w:val="002147D4"/>
    <w:rsid w:val="002147F4"/>
    <w:rsid w:val="00214866"/>
    <w:rsid w:val="00214A10"/>
    <w:rsid w:val="00214AEB"/>
    <w:rsid w:val="00214C4B"/>
    <w:rsid w:val="00214CE3"/>
    <w:rsid w:val="00214D93"/>
    <w:rsid w:val="00214DF6"/>
    <w:rsid w:val="00214E42"/>
    <w:rsid w:val="0021509B"/>
    <w:rsid w:val="0021526F"/>
    <w:rsid w:val="002152A2"/>
    <w:rsid w:val="002152BC"/>
    <w:rsid w:val="00215468"/>
    <w:rsid w:val="002154D5"/>
    <w:rsid w:val="0021562A"/>
    <w:rsid w:val="00215701"/>
    <w:rsid w:val="00215A41"/>
    <w:rsid w:val="00215AA4"/>
    <w:rsid w:val="00215B2D"/>
    <w:rsid w:val="00215C47"/>
    <w:rsid w:val="00215CD0"/>
    <w:rsid w:val="00215D34"/>
    <w:rsid w:val="00215D6D"/>
    <w:rsid w:val="00215DF2"/>
    <w:rsid w:val="00215EF3"/>
    <w:rsid w:val="00215FD7"/>
    <w:rsid w:val="00215FDB"/>
    <w:rsid w:val="00216282"/>
    <w:rsid w:val="002162CA"/>
    <w:rsid w:val="002162E8"/>
    <w:rsid w:val="002163DA"/>
    <w:rsid w:val="0021640E"/>
    <w:rsid w:val="0021642C"/>
    <w:rsid w:val="00216615"/>
    <w:rsid w:val="00216708"/>
    <w:rsid w:val="0021684C"/>
    <w:rsid w:val="002168FF"/>
    <w:rsid w:val="002169F8"/>
    <w:rsid w:val="00216A86"/>
    <w:rsid w:val="00216ABE"/>
    <w:rsid w:val="00216AE3"/>
    <w:rsid w:val="00216AF4"/>
    <w:rsid w:val="00216C90"/>
    <w:rsid w:val="00216C98"/>
    <w:rsid w:val="00216D30"/>
    <w:rsid w:val="00216D3D"/>
    <w:rsid w:val="00216DB4"/>
    <w:rsid w:val="00216E78"/>
    <w:rsid w:val="00216EC2"/>
    <w:rsid w:val="00216F96"/>
    <w:rsid w:val="00216FF3"/>
    <w:rsid w:val="00217266"/>
    <w:rsid w:val="0021730B"/>
    <w:rsid w:val="002173A1"/>
    <w:rsid w:val="0021748E"/>
    <w:rsid w:val="0021755B"/>
    <w:rsid w:val="002175A5"/>
    <w:rsid w:val="00217647"/>
    <w:rsid w:val="00217658"/>
    <w:rsid w:val="002176F7"/>
    <w:rsid w:val="00217743"/>
    <w:rsid w:val="0021778B"/>
    <w:rsid w:val="002177B2"/>
    <w:rsid w:val="002177FB"/>
    <w:rsid w:val="00217840"/>
    <w:rsid w:val="002178FA"/>
    <w:rsid w:val="002179CF"/>
    <w:rsid w:val="00217ACB"/>
    <w:rsid w:val="00217B67"/>
    <w:rsid w:val="00217BBA"/>
    <w:rsid w:val="00217E1A"/>
    <w:rsid w:val="00217F69"/>
    <w:rsid w:val="002202C4"/>
    <w:rsid w:val="00220452"/>
    <w:rsid w:val="00220497"/>
    <w:rsid w:val="002204A1"/>
    <w:rsid w:val="002204BF"/>
    <w:rsid w:val="0022055A"/>
    <w:rsid w:val="002206BB"/>
    <w:rsid w:val="0022075B"/>
    <w:rsid w:val="002207B6"/>
    <w:rsid w:val="002207CA"/>
    <w:rsid w:val="0022087D"/>
    <w:rsid w:val="002209A7"/>
    <w:rsid w:val="002209DC"/>
    <w:rsid w:val="00220AE4"/>
    <w:rsid w:val="00220B4B"/>
    <w:rsid w:val="00220B61"/>
    <w:rsid w:val="00220BA1"/>
    <w:rsid w:val="00220BC6"/>
    <w:rsid w:val="00220D63"/>
    <w:rsid w:val="00220D9B"/>
    <w:rsid w:val="00220EE5"/>
    <w:rsid w:val="00220F82"/>
    <w:rsid w:val="00220F95"/>
    <w:rsid w:val="00221036"/>
    <w:rsid w:val="00221062"/>
    <w:rsid w:val="00221143"/>
    <w:rsid w:val="002211B4"/>
    <w:rsid w:val="002212B7"/>
    <w:rsid w:val="00221303"/>
    <w:rsid w:val="002214AC"/>
    <w:rsid w:val="002214C1"/>
    <w:rsid w:val="002214F9"/>
    <w:rsid w:val="002215EA"/>
    <w:rsid w:val="002215EB"/>
    <w:rsid w:val="00221624"/>
    <w:rsid w:val="0022169F"/>
    <w:rsid w:val="00221781"/>
    <w:rsid w:val="00221892"/>
    <w:rsid w:val="00221952"/>
    <w:rsid w:val="002219C1"/>
    <w:rsid w:val="00221BCB"/>
    <w:rsid w:val="00221C95"/>
    <w:rsid w:val="00221D6C"/>
    <w:rsid w:val="00221DCB"/>
    <w:rsid w:val="00221DDA"/>
    <w:rsid w:val="00221E29"/>
    <w:rsid w:val="00221E71"/>
    <w:rsid w:val="00221E8A"/>
    <w:rsid w:val="00221F23"/>
    <w:rsid w:val="002220EC"/>
    <w:rsid w:val="002221EC"/>
    <w:rsid w:val="00222235"/>
    <w:rsid w:val="0022224B"/>
    <w:rsid w:val="002222B7"/>
    <w:rsid w:val="002222DE"/>
    <w:rsid w:val="00222349"/>
    <w:rsid w:val="0022243A"/>
    <w:rsid w:val="00222932"/>
    <w:rsid w:val="002229CF"/>
    <w:rsid w:val="00222A7E"/>
    <w:rsid w:val="00222AE5"/>
    <w:rsid w:val="00222BC4"/>
    <w:rsid w:val="00222C37"/>
    <w:rsid w:val="00222D62"/>
    <w:rsid w:val="00222F88"/>
    <w:rsid w:val="00222FB5"/>
    <w:rsid w:val="00223099"/>
    <w:rsid w:val="0022313B"/>
    <w:rsid w:val="002231B8"/>
    <w:rsid w:val="0022321E"/>
    <w:rsid w:val="00223245"/>
    <w:rsid w:val="002235EC"/>
    <w:rsid w:val="0022362A"/>
    <w:rsid w:val="0022372A"/>
    <w:rsid w:val="0022389A"/>
    <w:rsid w:val="00223904"/>
    <w:rsid w:val="00223B26"/>
    <w:rsid w:val="00223B6D"/>
    <w:rsid w:val="00223BBD"/>
    <w:rsid w:val="00223C5D"/>
    <w:rsid w:val="00223E43"/>
    <w:rsid w:val="00223FEC"/>
    <w:rsid w:val="00224000"/>
    <w:rsid w:val="00224089"/>
    <w:rsid w:val="002240FD"/>
    <w:rsid w:val="002241F1"/>
    <w:rsid w:val="002243FD"/>
    <w:rsid w:val="0022441C"/>
    <w:rsid w:val="00224487"/>
    <w:rsid w:val="00224564"/>
    <w:rsid w:val="002245C6"/>
    <w:rsid w:val="00224652"/>
    <w:rsid w:val="0022478F"/>
    <w:rsid w:val="00224833"/>
    <w:rsid w:val="00224ABB"/>
    <w:rsid w:val="00224C40"/>
    <w:rsid w:val="00224C93"/>
    <w:rsid w:val="00224CB1"/>
    <w:rsid w:val="00224D4E"/>
    <w:rsid w:val="00224D7B"/>
    <w:rsid w:val="00224DDD"/>
    <w:rsid w:val="00224E7D"/>
    <w:rsid w:val="00224F82"/>
    <w:rsid w:val="00224F97"/>
    <w:rsid w:val="00224FCC"/>
    <w:rsid w:val="002250A3"/>
    <w:rsid w:val="002250B8"/>
    <w:rsid w:val="00225164"/>
    <w:rsid w:val="002251E1"/>
    <w:rsid w:val="0022528D"/>
    <w:rsid w:val="00225292"/>
    <w:rsid w:val="002252A4"/>
    <w:rsid w:val="002253CC"/>
    <w:rsid w:val="002253E1"/>
    <w:rsid w:val="00225405"/>
    <w:rsid w:val="00225592"/>
    <w:rsid w:val="00225818"/>
    <w:rsid w:val="0022599F"/>
    <w:rsid w:val="00225A93"/>
    <w:rsid w:val="00225ADE"/>
    <w:rsid w:val="00225B46"/>
    <w:rsid w:val="00225B76"/>
    <w:rsid w:val="00225B92"/>
    <w:rsid w:val="00225BD3"/>
    <w:rsid w:val="00225CEF"/>
    <w:rsid w:val="002260E4"/>
    <w:rsid w:val="002260EA"/>
    <w:rsid w:val="0022612D"/>
    <w:rsid w:val="0022619D"/>
    <w:rsid w:val="002262A2"/>
    <w:rsid w:val="002264AF"/>
    <w:rsid w:val="0022652F"/>
    <w:rsid w:val="0022660E"/>
    <w:rsid w:val="00226692"/>
    <w:rsid w:val="002266D5"/>
    <w:rsid w:val="002266EE"/>
    <w:rsid w:val="00226715"/>
    <w:rsid w:val="00226725"/>
    <w:rsid w:val="002268F0"/>
    <w:rsid w:val="00226931"/>
    <w:rsid w:val="00226A0F"/>
    <w:rsid w:val="00226A39"/>
    <w:rsid w:val="00226EBA"/>
    <w:rsid w:val="00226F09"/>
    <w:rsid w:val="00226F81"/>
    <w:rsid w:val="0022702D"/>
    <w:rsid w:val="0022708E"/>
    <w:rsid w:val="002270CF"/>
    <w:rsid w:val="00227183"/>
    <w:rsid w:val="00227199"/>
    <w:rsid w:val="002271DC"/>
    <w:rsid w:val="0022724D"/>
    <w:rsid w:val="002272D3"/>
    <w:rsid w:val="0022731B"/>
    <w:rsid w:val="00227343"/>
    <w:rsid w:val="00227357"/>
    <w:rsid w:val="00227414"/>
    <w:rsid w:val="0022741C"/>
    <w:rsid w:val="002274CC"/>
    <w:rsid w:val="0022760E"/>
    <w:rsid w:val="00227669"/>
    <w:rsid w:val="00227732"/>
    <w:rsid w:val="002277C1"/>
    <w:rsid w:val="00227857"/>
    <w:rsid w:val="002278D2"/>
    <w:rsid w:val="002279A7"/>
    <w:rsid w:val="00227A5F"/>
    <w:rsid w:val="00227A64"/>
    <w:rsid w:val="00227AC9"/>
    <w:rsid w:val="00227F1D"/>
    <w:rsid w:val="00227F2C"/>
    <w:rsid w:val="00227F6C"/>
    <w:rsid w:val="00227FBD"/>
    <w:rsid w:val="00227FFA"/>
    <w:rsid w:val="0023004E"/>
    <w:rsid w:val="002300C6"/>
    <w:rsid w:val="00230125"/>
    <w:rsid w:val="00230163"/>
    <w:rsid w:val="00230253"/>
    <w:rsid w:val="0023036A"/>
    <w:rsid w:val="00230421"/>
    <w:rsid w:val="00230433"/>
    <w:rsid w:val="002304D3"/>
    <w:rsid w:val="002304F1"/>
    <w:rsid w:val="00230518"/>
    <w:rsid w:val="00230671"/>
    <w:rsid w:val="002306A3"/>
    <w:rsid w:val="002306EE"/>
    <w:rsid w:val="0023071B"/>
    <w:rsid w:val="0023092C"/>
    <w:rsid w:val="0023093B"/>
    <w:rsid w:val="00230A81"/>
    <w:rsid w:val="00230B06"/>
    <w:rsid w:val="00230BAE"/>
    <w:rsid w:val="00230C2C"/>
    <w:rsid w:val="00230FFF"/>
    <w:rsid w:val="0023102A"/>
    <w:rsid w:val="00231281"/>
    <w:rsid w:val="00231516"/>
    <w:rsid w:val="00231585"/>
    <w:rsid w:val="0023160E"/>
    <w:rsid w:val="0023180D"/>
    <w:rsid w:val="00231966"/>
    <w:rsid w:val="00231A44"/>
    <w:rsid w:val="00231B8A"/>
    <w:rsid w:val="00231CFA"/>
    <w:rsid w:val="00231D7A"/>
    <w:rsid w:val="00231DC0"/>
    <w:rsid w:val="00231EB2"/>
    <w:rsid w:val="00231EC3"/>
    <w:rsid w:val="00231F3D"/>
    <w:rsid w:val="0023200A"/>
    <w:rsid w:val="0023210E"/>
    <w:rsid w:val="00232110"/>
    <w:rsid w:val="0023236B"/>
    <w:rsid w:val="0023241E"/>
    <w:rsid w:val="00232580"/>
    <w:rsid w:val="00232581"/>
    <w:rsid w:val="002325CC"/>
    <w:rsid w:val="00232681"/>
    <w:rsid w:val="0023286E"/>
    <w:rsid w:val="002328AE"/>
    <w:rsid w:val="00232A73"/>
    <w:rsid w:val="00232A87"/>
    <w:rsid w:val="00232AF3"/>
    <w:rsid w:val="00232B4E"/>
    <w:rsid w:val="00232B54"/>
    <w:rsid w:val="00232B8E"/>
    <w:rsid w:val="00232CF0"/>
    <w:rsid w:val="00232E5A"/>
    <w:rsid w:val="00233041"/>
    <w:rsid w:val="002333E9"/>
    <w:rsid w:val="00233423"/>
    <w:rsid w:val="0023343E"/>
    <w:rsid w:val="00233487"/>
    <w:rsid w:val="00233600"/>
    <w:rsid w:val="0023361C"/>
    <w:rsid w:val="00233751"/>
    <w:rsid w:val="00233791"/>
    <w:rsid w:val="0023391B"/>
    <w:rsid w:val="00233A0F"/>
    <w:rsid w:val="00233A67"/>
    <w:rsid w:val="00233B54"/>
    <w:rsid w:val="00233D8F"/>
    <w:rsid w:val="00233D94"/>
    <w:rsid w:val="00233E3B"/>
    <w:rsid w:val="00233E93"/>
    <w:rsid w:val="00233F0E"/>
    <w:rsid w:val="00233FE3"/>
    <w:rsid w:val="002340F4"/>
    <w:rsid w:val="00234159"/>
    <w:rsid w:val="00234206"/>
    <w:rsid w:val="0023422B"/>
    <w:rsid w:val="00234271"/>
    <w:rsid w:val="0023441A"/>
    <w:rsid w:val="0023443F"/>
    <w:rsid w:val="002344B6"/>
    <w:rsid w:val="0023457D"/>
    <w:rsid w:val="002345F2"/>
    <w:rsid w:val="00234659"/>
    <w:rsid w:val="0023465C"/>
    <w:rsid w:val="002346C8"/>
    <w:rsid w:val="00234733"/>
    <w:rsid w:val="002347F2"/>
    <w:rsid w:val="00234B6E"/>
    <w:rsid w:val="00234C50"/>
    <w:rsid w:val="00234D4B"/>
    <w:rsid w:val="00234D6A"/>
    <w:rsid w:val="00234E22"/>
    <w:rsid w:val="00234E63"/>
    <w:rsid w:val="00234EE6"/>
    <w:rsid w:val="00235035"/>
    <w:rsid w:val="00235068"/>
    <w:rsid w:val="00235193"/>
    <w:rsid w:val="00235278"/>
    <w:rsid w:val="002352DC"/>
    <w:rsid w:val="002352F8"/>
    <w:rsid w:val="00235383"/>
    <w:rsid w:val="002353FB"/>
    <w:rsid w:val="002355BD"/>
    <w:rsid w:val="00235641"/>
    <w:rsid w:val="00235649"/>
    <w:rsid w:val="0023564D"/>
    <w:rsid w:val="0023589B"/>
    <w:rsid w:val="00235922"/>
    <w:rsid w:val="00235941"/>
    <w:rsid w:val="00235979"/>
    <w:rsid w:val="00235A66"/>
    <w:rsid w:val="00235A91"/>
    <w:rsid w:val="00235B20"/>
    <w:rsid w:val="00235B72"/>
    <w:rsid w:val="00235C8C"/>
    <w:rsid w:val="00235CBA"/>
    <w:rsid w:val="00235D2F"/>
    <w:rsid w:val="00235D41"/>
    <w:rsid w:val="00235DAC"/>
    <w:rsid w:val="00235DFB"/>
    <w:rsid w:val="00235E02"/>
    <w:rsid w:val="00235F63"/>
    <w:rsid w:val="00236072"/>
    <w:rsid w:val="0023614D"/>
    <w:rsid w:val="00236304"/>
    <w:rsid w:val="00236307"/>
    <w:rsid w:val="00236311"/>
    <w:rsid w:val="00236351"/>
    <w:rsid w:val="002363AB"/>
    <w:rsid w:val="0023644E"/>
    <w:rsid w:val="0023651A"/>
    <w:rsid w:val="00236615"/>
    <w:rsid w:val="0023667F"/>
    <w:rsid w:val="0023675C"/>
    <w:rsid w:val="00236761"/>
    <w:rsid w:val="002367A8"/>
    <w:rsid w:val="0023683B"/>
    <w:rsid w:val="00236928"/>
    <w:rsid w:val="00236938"/>
    <w:rsid w:val="002369B9"/>
    <w:rsid w:val="00236B2A"/>
    <w:rsid w:val="00236CB9"/>
    <w:rsid w:val="00236E35"/>
    <w:rsid w:val="00236E38"/>
    <w:rsid w:val="00236E88"/>
    <w:rsid w:val="00236EF2"/>
    <w:rsid w:val="00236FA4"/>
    <w:rsid w:val="0023706C"/>
    <w:rsid w:val="00237229"/>
    <w:rsid w:val="002372B0"/>
    <w:rsid w:val="002373BA"/>
    <w:rsid w:val="00237554"/>
    <w:rsid w:val="00237670"/>
    <w:rsid w:val="002376F1"/>
    <w:rsid w:val="00237796"/>
    <w:rsid w:val="00237830"/>
    <w:rsid w:val="00237884"/>
    <w:rsid w:val="00237922"/>
    <w:rsid w:val="00237AC8"/>
    <w:rsid w:val="00237AF2"/>
    <w:rsid w:val="00237B6B"/>
    <w:rsid w:val="00237BB9"/>
    <w:rsid w:val="00237D36"/>
    <w:rsid w:val="00237E00"/>
    <w:rsid w:val="00237E8A"/>
    <w:rsid w:val="00237F1F"/>
    <w:rsid w:val="00237F51"/>
    <w:rsid w:val="00237F88"/>
    <w:rsid w:val="00237FB6"/>
    <w:rsid w:val="00237FF5"/>
    <w:rsid w:val="0023FBA7"/>
    <w:rsid w:val="00240117"/>
    <w:rsid w:val="00240299"/>
    <w:rsid w:val="00240329"/>
    <w:rsid w:val="00240340"/>
    <w:rsid w:val="00240432"/>
    <w:rsid w:val="002404DE"/>
    <w:rsid w:val="002404E4"/>
    <w:rsid w:val="00240595"/>
    <w:rsid w:val="00240680"/>
    <w:rsid w:val="00240760"/>
    <w:rsid w:val="00240769"/>
    <w:rsid w:val="002407A1"/>
    <w:rsid w:val="00240863"/>
    <w:rsid w:val="002408AE"/>
    <w:rsid w:val="00240ACA"/>
    <w:rsid w:val="00240AE0"/>
    <w:rsid w:val="00240C1F"/>
    <w:rsid w:val="00240CB7"/>
    <w:rsid w:val="00240CC6"/>
    <w:rsid w:val="00240D50"/>
    <w:rsid w:val="00240D6C"/>
    <w:rsid w:val="00240D77"/>
    <w:rsid w:val="00240F14"/>
    <w:rsid w:val="00241049"/>
    <w:rsid w:val="002410A1"/>
    <w:rsid w:val="002410B9"/>
    <w:rsid w:val="00241299"/>
    <w:rsid w:val="002412B8"/>
    <w:rsid w:val="002412E2"/>
    <w:rsid w:val="0024136C"/>
    <w:rsid w:val="002414E3"/>
    <w:rsid w:val="00241591"/>
    <w:rsid w:val="002416F4"/>
    <w:rsid w:val="0024199E"/>
    <w:rsid w:val="002419E0"/>
    <w:rsid w:val="00241A23"/>
    <w:rsid w:val="00241BB3"/>
    <w:rsid w:val="00241C4A"/>
    <w:rsid w:val="00241CB7"/>
    <w:rsid w:val="00241DD0"/>
    <w:rsid w:val="00241E0A"/>
    <w:rsid w:val="00241E76"/>
    <w:rsid w:val="00241F0A"/>
    <w:rsid w:val="00241F29"/>
    <w:rsid w:val="00241F60"/>
    <w:rsid w:val="00242120"/>
    <w:rsid w:val="00242133"/>
    <w:rsid w:val="002422E0"/>
    <w:rsid w:val="00242418"/>
    <w:rsid w:val="002426E2"/>
    <w:rsid w:val="0024277D"/>
    <w:rsid w:val="00242807"/>
    <w:rsid w:val="00242917"/>
    <w:rsid w:val="002429D1"/>
    <w:rsid w:val="00242B16"/>
    <w:rsid w:val="00242B5E"/>
    <w:rsid w:val="00242D59"/>
    <w:rsid w:val="00242DCC"/>
    <w:rsid w:val="00242FF7"/>
    <w:rsid w:val="00243031"/>
    <w:rsid w:val="00243208"/>
    <w:rsid w:val="00243423"/>
    <w:rsid w:val="00243694"/>
    <w:rsid w:val="002436DF"/>
    <w:rsid w:val="002436F8"/>
    <w:rsid w:val="00243812"/>
    <w:rsid w:val="00243961"/>
    <w:rsid w:val="00243A2B"/>
    <w:rsid w:val="00243A2E"/>
    <w:rsid w:val="00243AD1"/>
    <w:rsid w:val="00243B10"/>
    <w:rsid w:val="00243B5B"/>
    <w:rsid w:val="00243BA9"/>
    <w:rsid w:val="00243D00"/>
    <w:rsid w:val="00243EA0"/>
    <w:rsid w:val="00244134"/>
    <w:rsid w:val="002441BE"/>
    <w:rsid w:val="00244288"/>
    <w:rsid w:val="002442DB"/>
    <w:rsid w:val="002443B5"/>
    <w:rsid w:val="002443EA"/>
    <w:rsid w:val="00244668"/>
    <w:rsid w:val="002446A5"/>
    <w:rsid w:val="00244791"/>
    <w:rsid w:val="00244A9C"/>
    <w:rsid w:val="00244D8D"/>
    <w:rsid w:val="00244DB5"/>
    <w:rsid w:val="00245002"/>
    <w:rsid w:val="0024509E"/>
    <w:rsid w:val="00245184"/>
    <w:rsid w:val="0024524D"/>
    <w:rsid w:val="00245294"/>
    <w:rsid w:val="002452D4"/>
    <w:rsid w:val="0024535C"/>
    <w:rsid w:val="00245443"/>
    <w:rsid w:val="002454D2"/>
    <w:rsid w:val="002454D6"/>
    <w:rsid w:val="0024559E"/>
    <w:rsid w:val="00245664"/>
    <w:rsid w:val="002456D6"/>
    <w:rsid w:val="002456E6"/>
    <w:rsid w:val="002459BD"/>
    <w:rsid w:val="00245C4A"/>
    <w:rsid w:val="00245CBC"/>
    <w:rsid w:val="00245D64"/>
    <w:rsid w:val="00245EED"/>
    <w:rsid w:val="00245F0E"/>
    <w:rsid w:val="00245FEF"/>
    <w:rsid w:val="0024613F"/>
    <w:rsid w:val="002463BE"/>
    <w:rsid w:val="0024645B"/>
    <w:rsid w:val="00246491"/>
    <w:rsid w:val="002464B3"/>
    <w:rsid w:val="00246574"/>
    <w:rsid w:val="00246585"/>
    <w:rsid w:val="00246598"/>
    <w:rsid w:val="002465A9"/>
    <w:rsid w:val="002465C8"/>
    <w:rsid w:val="002468B9"/>
    <w:rsid w:val="00246986"/>
    <w:rsid w:val="00246A6F"/>
    <w:rsid w:val="00246C86"/>
    <w:rsid w:val="00246CCC"/>
    <w:rsid w:val="00246DCB"/>
    <w:rsid w:val="00246DFA"/>
    <w:rsid w:val="00246EB7"/>
    <w:rsid w:val="00246FA1"/>
    <w:rsid w:val="00246FF5"/>
    <w:rsid w:val="00247003"/>
    <w:rsid w:val="0024708F"/>
    <w:rsid w:val="00247132"/>
    <w:rsid w:val="002472D5"/>
    <w:rsid w:val="002472E2"/>
    <w:rsid w:val="00247350"/>
    <w:rsid w:val="002473A0"/>
    <w:rsid w:val="0024744C"/>
    <w:rsid w:val="002476B2"/>
    <w:rsid w:val="002477F4"/>
    <w:rsid w:val="002478BE"/>
    <w:rsid w:val="00247AED"/>
    <w:rsid w:val="00247B34"/>
    <w:rsid w:val="00247DD8"/>
    <w:rsid w:val="00247E24"/>
    <w:rsid w:val="00247E5C"/>
    <w:rsid w:val="0025009B"/>
    <w:rsid w:val="002500C8"/>
    <w:rsid w:val="0025011F"/>
    <w:rsid w:val="00250518"/>
    <w:rsid w:val="00250577"/>
    <w:rsid w:val="00250587"/>
    <w:rsid w:val="0025069B"/>
    <w:rsid w:val="00250716"/>
    <w:rsid w:val="00250737"/>
    <w:rsid w:val="00250797"/>
    <w:rsid w:val="00250B6F"/>
    <w:rsid w:val="00250BB3"/>
    <w:rsid w:val="00250BD2"/>
    <w:rsid w:val="00250D25"/>
    <w:rsid w:val="00250D62"/>
    <w:rsid w:val="00250FBF"/>
    <w:rsid w:val="00251145"/>
    <w:rsid w:val="00251205"/>
    <w:rsid w:val="00251272"/>
    <w:rsid w:val="00251335"/>
    <w:rsid w:val="00251380"/>
    <w:rsid w:val="002514A5"/>
    <w:rsid w:val="002515DD"/>
    <w:rsid w:val="002518E3"/>
    <w:rsid w:val="002519B7"/>
    <w:rsid w:val="00251BB1"/>
    <w:rsid w:val="00251BC1"/>
    <w:rsid w:val="00251C84"/>
    <w:rsid w:val="00251D63"/>
    <w:rsid w:val="00251DB6"/>
    <w:rsid w:val="00251DE2"/>
    <w:rsid w:val="00251DFB"/>
    <w:rsid w:val="00251E14"/>
    <w:rsid w:val="00251E92"/>
    <w:rsid w:val="00251F82"/>
    <w:rsid w:val="00251FD6"/>
    <w:rsid w:val="00252021"/>
    <w:rsid w:val="002520C2"/>
    <w:rsid w:val="00252125"/>
    <w:rsid w:val="0025230E"/>
    <w:rsid w:val="0025239C"/>
    <w:rsid w:val="00252590"/>
    <w:rsid w:val="002525AA"/>
    <w:rsid w:val="0025265F"/>
    <w:rsid w:val="00252681"/>
    <w:rsid w:val="002526CD"/>
    <w:rsid w:val="002526D0"/>
    <w:rsid w:val="002527F5"/>
    <w:rsid w:val="00252821"/>
    <w:rsid w:val="0025292B"/>
    <w:rsid w:val="0025295D"/>
    <w:rsid w:val="00252A03"/>
    <w:rsid w:val="00252AB4"/>
    <w:rsid w:val="00252B0C"/>
    <w:rsid w:val="00252BC2"/>
    <w:rsid w:val="00252CBE"/>
    <w:rsid w:val="00252D44"/>
    <w:rsid w:val="00252E8C"/>
    <w:rsid w:val="00252FC7"/>
    <w:rsid w:val="00253040"/>
    <w:rsid w:val="002530BD"/>
    <w:rsid w:val="002530ED"/>
    <w:rsid w:val="0025318D"/>
    <w:rsid w:val="002533D1"/>
    <w:rsid w:val="0025351A"/>
    <w:rsid w:val="002537B3"/>
    <w:rsid w:val="002538B2"/>
    <w:rsid w:val="00253901"/>
    <w:rsid w:val="0025391A"/>
    <w:rsid w:val="00253954"/>
    <w:rsid w:val="002539D1"/>
    <w:rsid w:val="00253A07"/>
    <w:rsid w:val="00253B6C"/>
    <w:rsid w:val="00253C78"/>
    <w:rsid w:val="00253D9D"/>
    <w:rsid w:val="00253DAD"/>
    <w:rsid w:val="00253E24"/>
    <w:rsid w:val="002540AB"/>
    <w:rsid w:val="0025412F"/>
    <w:rsid w:val="0025419F"/>
    <w:rsid w:val="00254262"/>
    <w:rsid w:val="002542FF"/>
    <w:rsid w:val="002543E4"/>
    <w:rsid w:val="00254438"/>
    <w:rsid w:val="0025444E"/>
    <w:rsid w:val="0025446A"/>
    <w:rsid w:val="002544A6"/>
    <w:rsid w:val="002544D6"/>
    <w:rsid w:val="002545BC"/>
    <w:rsid w:val="002545C3"/>
    <w:rsid w:val="0025462C"/>
    <w:rsid w:val="00254699"/>
    <w:rsid w:val="002546E3"/>
    <w:rsid w:val="00254854"/>
    <w:rsid w:val="00254866"/>
    <w:rsid w:val="00254AF6"/>
    <w:rsid w:val="00254B5B"/>
    <w:rsid w:val="00254BA6"/>
    <w:rsid w:val="00254C20"/>
    <w:rsid w:val="00254D03"/>
    <w:rsid w:val="00254E08"/>
    <w:rsid w:val="00254F28"/>
    <w:rsid w:val="00254F50"/>
    <w:rsid w:val="00254F89"/>
    <w:rsid w:val="00255053"/>
    <w:rsid w:val="00255089"/>
    <w:rsid w:val="00255144"/>
    <w:rsid w:val="002551A2"/>
    <w:rsid w:val="002551EA"/>
    <w:rsid w:val="002554BC"/>
    <w:rsid w:val="0025550A"/>
    <w:rsid w:val="002555CF"/>
    <w:rsid w:val="002556B6"/>
    <w:rsid w:val="002556C5"/>
    <w:rsid w:val="002557A5"/>
    <w:rsid w:val="00255888"/>
    <w:rsid w:val="0025593D"/>
    <w:rsid w:val="0025596E"/>
    <w:rsid w:val="002559EB"/>
    <w:rsid w:val="00255A14"/>
    <w:rsid w:val="00255C30"/>
    <w:rsid w:val="00255C62"/>
    <w:rsid w:val="00255CD6"/>
    <w:rsid w:val="00255D58"/>
    <w:rsid w:val="00255D9D"/>
    <w:rsid w:val="002560A1"/>
    <w:rsid w:val="002560E9"/>
    <w:rsid w:val="0025616A"/>
    <w:rsid w:val="00256177"/>
    <w:rsid w:val="002561DA"/>
    <w:rsid w:val="002561DB"/>
    <w:rsid w:val="002561F0"/>
    <w:rsid w:val="0025624E"/>
    <w:rsid w:val="0025627B"/>
    <w:rsid w:val="002562B3"/>
    <w:rsid w:val="002562B8"/>
    <w:rsid w:val="00256303"/>
    <w:rsid w:val="002563B0"/>
    <w:rsid w:val="002563DE"/>
    <w:rsid w:val="00256476"/>
    <w:rsid w:val="0025650F"/>
    <w:rsid w:val="00256542"/>
    <w:rsid w:val="002565DB"/>
    <w:rsid w:val="00256621"/>
    <w:rsid w:val="0025674B"/>
    <w:rsid w:val="00256839"/>
    <w:rsid w:val="00256918"/>
    <w:rsid w:val="00256957"/>
    <w:rsid w:val="00256A50"/>
    <w:rsid w:val="00256C6F"/>
    <w:rsid w:val="00256CA0"/>
    <w:rsid w:val="00256D1D"/>
    <w:rsid w:val="00256D92"/>
    <w:rsid w:val="00256E7F"/>
    <w:rsid w:val="00256EE5"/>
    <w:rsid w:val="00256F4C"/>
    <w:rsid w:val="00256F8B"/>
    <w:rsid w:val="00256F8C"/>
    <w:rsid w:val="00256FA3"/>
    <w:rsid w:val="00257026"/>
    <w:rsid w:val="002570FF"/>
    <w:rsid w:val="00257109"/>
    <w:rsid w:val="00257118"/>
    <w:rsid w:val="002571CA"/>
    <w:rsid w:val="00257296"/>
    <w:rsid w:val="00257442"/>
    <w:rsid w:val="00257474"/>
    <w:rsid w:val="00257538"/>
    <w:rsid w:val="0025755C"/>
    <w:rsid w:val="00257670"/>
    <w:rsid w:val="00257671"/>
    <w:rsid w:val="002577C9"/>
    <w:rsid w:val="00257867"/>
    <w:rsid w:val="0025791D"/>
    <w:rsid w:val="002579EB"/>
    <w:rsid w:val="00257BFD"/>
    <w:rsid w:val="00257C48"/>
    <w:rsid w:val="00257C83"/>
    <w:rsid w:val="00257CCB"/>
    <w:rsid w:val="00257CD4"/>
    <w:rsid w:val="00257CF9"/>
    <w:rsid w:val="00257E2F"/>
    <w:rsid w:val="00257E77"/>
    <w:rsid w:val="00257F4A"/>
    <w:rsid w:val="00257FF8"/>
    <w:rsid w:val="00260040"/>
    <w:rsid w:val="0026009A"/>
    <w:rsid w:val="002601AD"/>
    <w:rsid w:val="0026032D"/>
    <w:rsid w:val="00260342"/>
    <w:rsid w:val="002603F7"/>
    <w:rsid w:val="002604EB"/>
    <w:rsid w:val="0026058D"/>
    <w:rsid w:val="002605F9"/>
    <w:rsid w:val="00260768"/>
    <w:rsid w:val="002608DD"/>
    <w:rsid w:val="00260959"/>
    <w:rsid w:val="002609A9"/>
    <w:rsid w:val="00260AA0"/>
    <w:rsid w:val="00260ABD"/>
    <w:rsid w:val="00260C31"/>
    <w:rsid w:val="00260E1E"/>
    <w:rsid w:val="00260ED0"/>
    <w:rsid w:val="00260F0F"/>
    <w:rsid w:val="00261035"/>
    <w:rsid w:val="0026108C"/>
    <w:rsid w:val="00261250"/>
    <w:rsid w:val="002614D0"/>
    <w:rsid w:val="002615C4"/>
    <w:rsid w:val="0026166A"/>
    <w:rsid w:val="00261738"/>
    <w:rsid w:val="0026180B"/>
    <w:rsid w:val="0026183B"/>
    <w:rsid w:val="002618C5"/>
    <w:rsid w:val="00261949"/>
    <w:rsid w:val="002619BA"/>
    <w:rsid w:val="00261A6D"/>
    <w:rsid w:val="00261AF2"/>
    <w:rsid w:val="00261AF5"/>
    <w:rsid w:val="00261B7F"/>
    <w:rsid w:val="00261ED8"/>
    <w:rsid w:val="00261F02"/>
    <w:rsid w:val="00261F0B"/>
    <w:rsid w:val="00262072"/>
    <w:rsid w:val="00262078"/>
    <w:rsid w:val="00262180"/>
    <w:rsid w:val="0026219C"/>
    <w:rsid w:val="002621F2"/>
    <w:rsid w:val="002622EF"/>
    <w:rsid w:val="002623BE"/>
    <w:rsid w:val="00262409"/>
    <w:rsid w:val="0026243F"/>
    <w:rsid w:val="00262457"/>
    <w:rsid w:val="0026246E"/>
    <w:rsid w:val="0026254C"/>
    <w:rsid w:val="002625CD"/>
    <w:rsid w:val="002625E8"/>
    <w:rsid w:val="00262855"/>
    <w:rsid w:val="00262917"/>
    <w:rsid w:val="00262A00"/>
    <w:rsid w:val="00262A5B"/>
    <w:rsid w:val="00262AF1"/>
    <w:rsid w:val="00262B4A"/>
    <w:rsid w:val="00262C42"/>
    <w:rsid w:val="00262D1B"/>
    <w:rsid w:val="00263118"/>
    <w:rsid w:val="00263291"/>
    <w:rsid w:val="00263293"/>
    <w:rsid w:val="0026332A"/>
    <w:rsid w:val="00263384"/>
    <w:rsid w:val="0026341D"/>
    <w:rsid w:val="0026349B"/>
    <w:rsid w:val="002636CD"/>
    <w:rsid w:val="002637AF"/>
    <w:rsid w:val="0026380A"/>
    <w:rsid w:val="002638B2"/>
    <w:rsid w:val="002638EB"/>
    <w:rsid w:val="0026398E"/>
    <w:rsid w:val="002639B2"/>
    <w:rsid w:val="002639F0"/>
    <w:rsid w:val="00263A1A"/>
    <w:rsid w:val="00263BE2"/>
    <w:rsid w:val="00263D2A"/>
    <w:rsid w:val="00263E26"/>
    <w:rsid w:val="00263E87"/>
    <w:rsid w:val="00263FD6"/>
    <w:rsid w:val="00264031"/>
    <w:rsid w:val="002640F3"/>
    <w:rsid w:val="002641DB"/>
    <w:rsid w:val="002642B9"/>
    <w:rsid w:val="002643A1"/>
    <w:rsid w:val="002643ED"/>
    <w:rsid w:val="00264608"/>
    <w:rsid w:val="00264734"/>
    <w:rsid w:val="0026489D"/>
    <w:rsid w:val="002648E1"/>
    <w:rsid w:val="0026494F"/>
    <w:rsid w:val="002649BB"/>
    <w:rsid w:val="00264A9D"/>
    <w:rsid w:val="00264AD6"/>
    <w:rsid w:val="00264AF8"/>
    <w:rsid w:val="00264B74"/>
    <w:rsid w:val="00264BCB"/>
    <w:rsid w:val="00264BF6"/>
    <w:rsid w:val="00264BFC"/>
    <w:rsid w:val="00265181"/>
    <w:rsid w:val="00265205"/>
    <w:rsid w:val="0026523C"/>
    <w:rsid w:val="00265470"/>
    <w:rsid w:val="0026547B"/>
    <w:rsid w:val="002654A0"/>
    <w:rsid w:val="002654F4"/>
    <w:rsid w:val="0026552A"/>
    <w:rsid w:val="002655A9"/>
    <w:rsid w:val="002655D8"/>
    <w:rsid w:val="002656F5"/>
    <w:rsid w:val="002657CA"/>
    <w:rsid w:val="00265935"/>
    <w:rsid w:val="00265A48"/>
    <w:rsid w:val="00265A4D"/>
    <w:rsid w:val="00265A5A"/>
    <w:rsid w:val="00265B7D"/>
    <w:rsid w:val="00265BD5"/>
    <w:rsid w:val="00265BEF"/>
    <w:rsid w:val="00265BF9"/>
    <w:rsid w:val="00265C51"/>
    <w:rsid w:val="00265C71"/>
    <w:rsid w:val="00265D66"/>
    <w:rsid w:val="00265E44"/>
    <w:rsid w:val="00265F62"/>
    <w:rsid w:val="00265F80"/>
    <w:rsid w:val="00265FE6"/>
    <w:rsid w:val="0026603C"/>
    <w:rsid w:val="002660E5"/>
    <w:rsid w:val="002661DB"/>
    <w:rsid w:val="0026626B"/>
    <w:rsid w:val="00266669"/>
    <w:rsid w:val="00266755"/>
    <w:rsid w:val="0026685D"/>
    <w:rsid w:val="002668A5"/>
    <w:rsid w:val="002668CA"/>
    <w:rsid w:val="002669C9"/>
    <w:rsid w:val="00266A92"/>
    <w:rsid w:val="00266BEC"/>
    <w:rsid w:val="00266D24"/>
    <w:rsid w:val="00266DB1"/>
    <w:rsid w:val="00266DEC"/>
    <w:rsid w:val="00266EDF"/>
    <w:rsid w:val="00266EE7"/>
    <w:rsid w:val="0026700E"/>
    <w:rsid w:val="002670F1"/>
    <w:rsid w:val="0026715B"/>
    <w:rsid w:val="0026726B"/>
    <w:rsid w:val="002672A8"/>
    <w:rsid w:val="002672EB"/>
    <w:rsid w:val="002673A4"/>
    <w:rsid w:val="002674BC"/>
    <w:rsid w:val="002674FD"/>
    <w:rsid w:val="0026777A"/>
    <w:rsid w:val="0026779F"/>
    <w:rsid w:val="002678A3"/>
    <w:rsid w:val="002679A1"/>
    <w:rsid w:val="00267B27"/>
    <w:rsid w:val="00267BF6"/>
    <w:rsid w:val="00267D48"/>
    <w:rsid w:val="00267E2E"/>
    <w:rsid w:val="00267E4B"/>
    <w:rsid w:val="00267F3F"/>
    <w:rsid w:val="00270050"/>
    <w:rsid w:val="0027034D"/>
    <w:rsid w:val="00270359"/>
    <w:rsid w:val="00270388"/>
    <w:rsid w:val="00270395"/>
    <w:rsid w:val="00270455"/>
    <w:rsid w:val="00270462"/>
    <w:rsid w:val="00270492"/>
    <w:rsid w:val="002704AF"/>
    <w:rsid w:val="00270508"/>
    <w:rsid w:val="00270603"/>
    <w:rsid w:val="00270611"/>
    <w:rsid w:val="00270677"/>
    <w:rsid w:val="00270687"/>
    <w:rsid w:val="0027069A"/>
    <w:rsid w:val="00270704"/>
    <w:rsid w:val="0027078F"/>
    <w:rsid w:val="0027080F"/>
    <w:rsid w:val="0027084F"/>
    <w:rsid w:val="00270935"/>
    <w:rsid w:val="00270A29"/>
    <w:rsid w:val="00270A66"/>
    <w:rsid w:val="00270D36"/>
    <w:rsid w:val="00270DA6"/>
    <w:rsid w:val="00270DAE"/>
    <w:rsid w:val="00270E94"/>
    <w:rsid w:val="00270FDC"/>
    <w:rsid w:val="00271042"/>
    <w:rsid w:val="002712B8"/>
    <w:rsid w:val="00271478"/>
    <w:rsid w:val="0027153C"/>
    <w:rsid w:val="002715F3"/>
    <w:rsid w:val="0027167D"/>
    <w:rsid w:val="002716A0"/>
    <w:rsid w:val="002716DD"/>
    <w:rsid w:val="002716F0"/>
    <w:rsid w:val="00271970"/>
    <w:rsid w:val="00271AB5"/>
    <w:rsid w:val="00271BBB"/>
    <w:rsid w:val="00271CA9"/>
    <w:rsid w:val="00271DA8"/>
    <w:rsid w:val="002721BB"/>
    <w:rsid w:val="00272328"/>
    <w:rsid w:val="0027235F"/>
    <w:rsid w:val="002723BA"/>
    <w:rsid w:val="00272430"/>
    <w:rsid w:val="00272456"/>
    <w:rsid w:val="00272488"/>
    <w:rsid w:val="00272654"/>
    <w:rsid w:val="00272784"/>
    <w:rsid w:val="0027286A"/>
    <w:rsid w:val="002728BD"/>
    <w:rsid w:val="002729CB"/>
    <w:rsid w:val="00272A7B"/>
    <w:rsid w:val="00272A93"/>
    <w:rsid w:val="00272C51"/>
    <w:rsid w:val="00272D11"/>
    <w:rsid w:val="00272D79"/>
    <w:rsid w:val="00272D9E"/>
    <w:rsid w:val="00272E2A"/>
    <w:rsid w:val="00272FAF"/>
    <w:rsid w:val="00272FCD"/>
    <w:rsid w:val="0027307E"/>
    <w:rsid w:val="00273102"/>
    <w:rsid w:val="00273229"/>
    <w:rsid w:val="00273306"/>
    <w:rsid w:val="00273402"/>
    <w:rsid w:val="00273549"/>
    <w:rsid w:val="0027360E"/>
    <w:rsid w:val="002737AD"/>
    <w:rsid w:val="002738E4"/>
    <w:rsid w:val="002739BA"/>
    <w:rsid w:val="00273A07"/>
    <w:rsid w:val="00273AF2"/>
    <w:rsid w:val="00273BA7"/>
    <w:rsid w:val="00273BAE"/>
    <w:rsid w:val="00273D43"/>
    <w:rsid w:val="00273D9F"/>
    <w:rsid w:val="00273DE5"/>
    <w:rsid w:val="00273E06"/>
    <w:rsid w:val="00273FD4"/>
    <w:rsid w:val="002740C9"/>
    <w:rsid w:val="00274154"/>
    <w:rsid w:val="0027423D"/>
    <w:rsid w:val="002742D3"/>
    <w:rsid w:val="00274397"/>
    <w:rsid w:val="0027446C"/>
    <w:rsid w:val="002744A7"/>
    <w:rsid w:val="002746C6"/>
    <w:rsid w:val="0027470B"/>
    <w:rsid w:val="002748A0"/>
    <w:rsid w:val="00274911"/>
    <w:rsid w:val="00274B74"/>
    <w:rsid w:val="00274B76"/>
    <w:rsid w:val="00274DE7"/>
    <w:rsid w:val="00274EA8"/>
    <w:rsid w:val="00274FF8"/>
    <w:rsid w:val="00275036"/>
    <w:rsid w:val="002750C0"/>
    <w:rsid w:val="002750C4"/>
    <w:rsid w:val="00275168"/>
    <w:rsid w:val="00275294"/>
    <w:rsid w:val="002753E0"/>
    <w:rsid w:val="00275412"/>
    <w:rsid w:val="00275464"/>
    <w:rsid w:val="002754BB"/>
    <w:rsid w:val="002754DA"/>
    <w:rsid w:val="0027553B"/>
    <w:rsid w:val="0027564B"/>
    <w:rsid w:val="002756E0"/>
    <w:rsid w:val="00275712"/>
    <w:rsid w:val="00275765"/>
    <w:rsid w:val="00275837"/>
    <w:rsid w:val="0027595D"/>
    <w:rsid w:val="00275A98"/>
    <w:rsid w:val="00275BA7"/>
    <w:rsid w:val="00275BE1"/>
    <w:rsid w:val="00275C34"/>
    <w:rsid w:val="00275CB6"/>
    <w:rsid w:val="00275D50"/>
    <w:rsid w:val="00275D68"/>
    <w:rsid w:val="00275EF5"/>
    <w:rsid w:val="002760C8"/>
    <w:rsid w:val="0027614B"/>
    <w:rsid w:val="0027616B"/>
    <w:rsid w:val="0027620F"/>
    <w:rsid w:val="00276223"/>
    <w:rsid w:val="00276349"/>
    <w:rsid w:val="00276AC8"/>
    <w:rsid w:val="00276B3E"/>
    <w:rsid w:val="00276B4C"/>
    <w:rsid w:val="00277020"/>
    <w:rsid w:val="00277080"/>
    <w:rsid w:val="0027740F"/>
    <w:rsid w:val="00277412"/>
    <w:rsid w:val="00277445"/>
    <w:rsid w:val="00277521"/>
    <w:rsid w:val="00277591"/>
    <w:rsid w:val="00277623"/>
    <w:rsid w:val="00277650"/>
    <w:rsid w:val="002776AB"/>
    <w:rsid w:val="002776AE"/>
    <w:rsid w:val="0027775E"/>
    <w:rsid w:val="002777B3"/>
    <w:rsid w:val="002777CC"/>
    <w:rsid w:val="0027789A"/>
    <w:rsid w:val="0027793C"/>
    <w:rsid w:val="00277942"/>
    <w:rsid w:val="00277A17"/>
    <w:rsid w:val="00277A27"/>
    <w:rsid w:val="00277AE1"/>
    <w:rsid w:val="00277B74"/>
    <w:rsid w:val="00277C45"/>
    <w:rsid w:val="00277CAC"/>
    <w:rsid w:val="00277CE7"/>
    <w:rsid w:val="00277D2B"/>
    <w:rsid w:val="00277DC6"/>
    <w:rsid w:val="00277E44"/>
    <w:rsid w:val="00277EB6"/>
    <w:rsid w:val="00277EF4"/>
    <w:rsid w:val="0028001F"/>
    <w:rsid w:val="00280045"/>
    <w:rsid w:val="00280158"/>
    <w:rsid w:val="0028027B"/>
    <w:rsid w:val="0028044D"/>
    <w:rsid w:val="00280463"/>
    <w:rsid w:val="002804F3"/>
    <w:rsid w:val="0028057D"/>
    <w:rsid w:val="0028065D"/>
    <w:rsid w:val="002806CD"/>
    <w:rsid w:val="00280707"/>
    <w:rsid w:val="00280792"/>
    <w:rsid w:val="002807C4"/>
    <w:rsid w:val="002807D1"/>
    <w:rsid w:val="0028083A"/>
    <w:rsid w:val="00280992"/>
    <w:rsid w:val="00280A42"/>
    <w:rsid w:val="00280A68"/>
    <w:rsid w:val="00280D72"/>
    <w:rsid w:val="00280D7A"/>
    <w:rsid w:val="00280DF6"/>
    <w:rsid w:val="00280E05"/>
    <w:rsid w:val="00280EC2"/>
    <w:rsid w:val="00280F7C"/>
    <w:rsid w:val="002810DE"/>
    <w:rsid w:val="00281341"/>
    <w:rsid w:val="002813A6"/>
    <w:rsid w:val="002813DC"/>
    <w:rsid w:val="00281425"/>
    <w:rsid w:val="002814BA"/>
    <w:rsid w:val="002814F9"/>
    <w:rsid w:val="0028153F"/>
    <w:rsid w:val="00281757"/>
    <w:rsid w:val="002817AC"/>
    <w:rsid w:val="00281853"/>
    <w:rsid w:val="00281A84"/>
    <w:rsid w:val="00281AA7"/>
    <w:rsid w:val="00281B5A"/>
    <w:rsid w:val="00281C2B"/>
    <w:rsid w:val="00282175"/>
    <w:rsid w:val="0028219C"/>
    <w:rsid w:val="002821DC"/>
    <w:rsid w:val="002821E1"/>
    <w:rsid w:val="002821E7"/>
    <w:rsid w:val="0028231E"/>
    <w:rsid w:val="00282594"/>
    <w:rsid w:val="002825AA"/>
    <w:rsid w:val="002825DA"/>
    <w:rsid w:val="00282712"/>
    <w:rsid w:val="00282946"/>
    <w:rsid w:val="00282995"/>
    <w:rsid w:val="00282A2E"/>
    <w:rsid w:val="00282A61"/>
    <w:rsid w:val="00282A6B"/>
    <w:rsid w:val="00282B3B"/>
    <w:rsid w:val="00282C3F"/>
    <w:rsid w:val="00282CF4"/>
    <w:rsid w:val="00282D29"/>
    <w:rsid w:val="00282D97"/>
    <w:rsid w:val="00282E1F"/>
    <w:rsid w:val="00282E9E"/>
    <w:rsid w:val="00282F43"/>
    <w:rsid w:val="00282FAB"/>
    <w:rsid w:val="00283244"/>
    <w:rsid w:val="002832A2"/>
    <w:rsid w:val="002832A5"/>
    <w:rsid w:val="002832BC"/>
    <w:rsid w:val="002833E3"/>
    <w:rsid w:val="0028347E"/>
    <w:rsid w:val="002834A1"/>
    <w:rsid w:val="002836E7"/>
    <w:rsid w:val="00283769"/>
    <w:rsid w:val="002837E5"/>
    <w:rsid w:val="00283937"/>
    <w:rsid w:val="00283A09"/>
    <w:rsid w:val="00283A27"/>
    <w:rsid w:val="00283A42"/>
    <w:rsid w:val="00283AE4"/>
    <w:rsid w:val="00283B70"/>
    <w:rsid w:val="00283B7F"/>
    <w:rsid w:val="00283BB6"/>
    <w:rsid w:val="00283CC0"/>
    <w:rsid w:val="00283E02"/>
    <w:rsid w:val="00283E1D"/>
    <w:rsid w:val="00283FBF"/>
    <w:rsid w:val="0028423E"/>
    <w:rsid w:val="00284273"/>
    <w:rsid w:val="00284278"/>
    <w:rsid w:val="00284291"/>
    <w:rsid w:val="002842D4"/>
    <w:rsid w:val="00284300"/>
    <w:rsid w:val="00284366"/>
    <w:rsid w:val="002843A4"/>
    <w:rsid w:val="002843C3"/>
    <w:rsid w:val="002843F0"/>
    <w:rsid w:val="002844D1"/>
    <w:rsid w:val="0028454E"/>
    <w:rsid w:val="00284583"/>
    <w:rsid w:val="00284691"/>
    <w:rsid w:val="002847B9"/>
    <w:rsid w:val="00284918"/>
    <w:rsid w:val="00284A60"/>
    <w:rsid w:val="00284C3E"/>
    <w:rsid w:val="00284CCC"/>
    <w:rsid w:val="00284DF6"/>
    <w:rsid w:val="00284E34"/>
    <w:rsid w:val="00284EC7"/>
    <w:rsid w:val="00284FE1"/>
    <w:rsid w:val="002850E0"/>
    <w:rsid w:val="00285103"/>
    <w:rsid w:val="00285223"/>
    <w:rsid w:val="00285231"/>
    <w:rsid w:val="002852ED"/>
    <w:rsid w:val="00285304"/>
    <w:rsid w:val="002853DB"/>
    <w:rsid w:val="00285473"/>
    <w:rsid w:val="0028549A"/>
    <w:rsid w:val="0028559A"/>
    <w:rsid w:val="00285A8E"/>
    <w:rsid w:val="00285BE2"/>
    <w:rsid w:val="00285BE4"/>
    <w:rsid w:val="00285C3A"/>
    <w:rsid w:val="00285CC4"/>
    <w:rsid w:val="00285D00"/>
    <w:rsid w:val="00285E34"/>
    <w:rsid w:val="00285E4F"/>
    <w:rsid w:val="00285E97"/>
    <w:rsid w:val="00285ED1"/>
    <w:rsid w:val="00285F1B"/>
    <w:rsid w:val="00285FB7"/>
    <w:rsid w:val="00285FE3"/>
    <w:rsid w:val="00286035"/>
    <w:rsid w:val="00286257"/>
    <w:rsid w:val="00286361"/>
    <w:rsid w:val="00286449"/>
    <w:rsid w:val="002864D4"/>
    <w:rsid w:val="002864DA"/>
    <w:rsid w:val="00286584"/>
    <w:rsid w:val="002865D6"/>
    <w:rsid w:val="002866A5"/>
    <w:rsid w:val="0028676A"/>
    <w:rsid w:val="0028676D"/>
    <w:rsid w:val="00286791"/>
    <w:rsid w:val="002867C1"/>
    <w:rsid w:val="002867DC"/>
    <w:rsid w:val="002868C8"/>
    <w:rsid w:val="00286918"/>
    <w:rsid w:val="0028691C"/>
    <w:rsid w:val="002869BC"/>
    <w:rsid w:val="00286A12"/>
    <w:rsid w:val="00286AB0"/>
    <w:rsid w:val="00286ADC"/>
    <w:rsid w:val="00286C20"/>
    <w:rsid w:val="00286C3B"/>
    <w:rsid w:val="00286CCE"/>
    <w:rsid w:val="00286CED"/>
    <w:rsid w:val="00286E0A"/>
    <w:rsid w:val="00286E41"/>
    <w:rsid w:val="00286E6F"/>
    <w:rsid w:val="00286F05"/>
    <w:rsid w:val="00287045"/>
    <w:rsid w:val="002870C1"/>
    <w:rsid w:val="00287114"/>
    <w:rsid w:val="0028711B"/>
    <w:rsid w:val="00287170"/>
    <w:rsid w:val="002871A7"/>
    <w:rsid w:val="00287200"/>
    <w:rsid w:val="002872D5"/>
    <w:rsid w:val="00287489"/>
    <w:rsid w:val="002874A1"/>
    <w:rsid w:val="002875B9"/>
    <w:rsid w:val="00287627"/>
    <w:rsid w:val="0028766D"/>
    <w:rsid w:val="00287671"/>
    <w:rsid w:val="00287683"/>
    <w:rsid w:val="00287934"/>
    <w:rsid w:val="00287992"/>
    <w:rsid w:val="002879ED"/>
    <w:rsid w:val="00287A18"/>
    <w:rsid w:val="00287AD9"/>
    <w:rsid w:val="00287B3B"/>
    <w:rsid w:val="00287C2E"/>
    <w:rsid w:val="00287CC4"/>
    <w:rsid w:val="00287E92"/>
    <w:rsid w:val="00287EAE"/>
    <w:rsid w:val="00287EC8"/>
    <w:rsid w:val="00287F01"/>
    <w:rsid w:val="00287F1E"/>
    <w:rsid w:val="00290292"/>
    <w:rsid w:val="0029034E"/>
    <w:rsid w:val="00290368"/>
    <w:rsid w:val="00290387"/>
    <w:rsid w:val="00290438"/>
    <w:rsid w:val="0029064A"/>
    <w:rsid w:val="0029066E"/>
    <w:rsid w:val="002906FB"/>
    <w:rsid w:val="00290897"/>
    <w:rsid w:val="002908C4"/>
    <w:rsid w:val="00290967"/>
    <w:rsid w:val="00290A56"/>
    <w:rsid w:val="00290B8E"/>
    <w:rsid w:val="00290BFC"/>
    <w:rsid w:val="00290D79"/>
    <w:rsid w:val="00290DA3"/>
    <w:rsid w:val="00290DC1"/>
    <w:rsid w:val="00290EE3"/>
    <w:rsid w:val="00290F9B"/>
    <w:rsid w:val="002910E3"/>
    <w:rsid w:val="00291179"/>
    <w:rsid w:val="00291332"/>
    <w:rsid w:val="00291390"/>
    <w:rsid w:val="00291638"/>
    <w:rsid w:val="00291646"/>
    <w:rsid w:val="00291711"/>
    <w:rsid w:val="0029183F"/>
    <w:rsid w:val="00291988"/>
    <w:rsid w:val="00291A21"/>
    <w:rsid w:val="00291BC8"/>
    <w:rsid w:val="00291C3C"/>
    <w:rsid w:val="00291D2D"/>
    <w:rsid w:val="00291DB9"/>
    <w:rsid w:val="00291DF9"/>
    <w:rsid w:val="00291E27"/>
    <w:rsid w:val="00291EB0"/>
    <w:rsid w:val="0029201A"/>
    <w:rsid w:val="00292059"/>
    <w:rsid w:val="00292159"/>
    <w:rsid w:val="00292269"/>
    <w:rsid w:val="002922CA"/>
    <w:rsid w:val="0029247F"/>
    <w:rsid w:val="00292491"/>
    <w:rsid w:val="00292583"/>
    <w:rsid w:val="002925BA"/>
    <w:rsid w:val="0029265B"/>
    <w:rsid w:val="00292793"/>
    <w:rsid w:val="0029297A"/>
    <w:rsid w:val="00292A12"/>
    <w:rsid w:val="00292B5E"/>
    <w:rsid w:val="00292BF0"/>
    <w:rsid w:val="00292DD8"/>
    <w:rsid w:val="00292EF8"/>
    <w:rsid w:val="00292FC8"/>
    <w:rsid w:val="00292FE5"/>
    <w:rsid w:val="0029305C"/>
    <w:rsid w:val="0029306F"/>
    <w:rsid w:val="002931EC"/>
    <w:rsid w:val="00293356"/>
    <w:rsid w:val="002933A0"/>
    <w:rsid w:val="002933BD"/>
    <w:rsid w:val="0029347F"/>
    <w:rsid w:val="00293577"/>
    <w:rsid w:val="0029357D"/>
    <w:rsid w:val="002935C3"/>
    <w:rsid w:val="002935E3"/>
    <w:rsid w:val="00293649"/>
    <w:rsid w:val="002936A7"/>
    <w:rsid w:val="0029374E"/>
    <w:rsid w:val="00293809"/>
    <w:rsid w:val="00293854"/>
    <w:rsid w:val="00293883"/>
    <w:rsid w:val="00293A59"/>
    <w:rsid w:val="00293B0F"/>
    <w:rsid w:val="00293B4F"/>
    <w:rsid w:val="00293B76"/>
    <w:rsid w:val="00293BD1"/>
    <w:rsid w:val="00293C91"/>
    <w:rsid w:val="00293D33"/>
    <w:rsid w:val="00293DA4"/>
    <w:rsid w:val="00293F87"/>
    <w:rsid w:val="00294035"/>
    <w:rsid w:val="002940BC"/>
    <w:rsid w:val="002942A7"/>
    <w:rsid w:val="0029440D"/>
    <w:rsid w:val="00294454"/>
    <w:rsid w:val="002944F0"/>
    <w:rsid w:val="002944F2"/>
    <w:rsid w:val="00294558"/>
    <w:rsid w:val="002946BC"/>
    <w:rsid w:val="0029486A"/>
    <w:rsid w:val="00294A28"/>
    <w:rsid w:val="00294A32"/>
    <w:rsid w:val="00294A76"/>
    <w:rsid w:val="00294AB1"/>
    <w:rsid w:val="00294B6C"/>
    <w:rsid w:val="00294D67"/>
    <w:rsid w:val="00294E0B"/>
    <w:rsid w:val="00294F9D"/>
    <w:rsid w:val="00294FD0"/>
    <w:rsid w:val="00295037"/>
    <w:rsid w:val="002950F6"/>
    <w:rsid w:val="00295137"/>
    <w:rsid w:val="002951DE"/>
    <w:rsid w:val="0029520A"/>
    <w:rsid w:val="00295367"/>
    <w:rsid w:val="00295532"/>
    <w:rsid w:val="00295557"/>
    <w:rsid w:val="0029556B"/>
    <w:rsid w:val="002956FE"/>
    <w:rsid w:val="0029572C"/>
    <w:rsid w:val="00295822"/>
    <w:rsid w:val="00295827"/>
    <w:rsid w:val="002958DC"/>
    <w:rsid w:val="00295903"/>
    <w:rsid w:val="002959FE"/>
    <w:rsid w:val="00295B84"/>
    <w:rsid w:val="00295C17"/>
    <w:rsid w:val="00295D0A"/>
    <w:rsid w:val="00295ED4"/>
    <w:rsid w:val="00295F08"/>
    <w:rsid w:val="00295F7E"/>
    <w:rsid w:val="00295F8F"/>
    <w:rsid w:val="00295F9F"/>
    <w:rsid w:val="00296043"/>
    <w:rsid w:val="00296094"/>
    <w:rsid w:val="00296113"/>
    <w:rsid w:val="0029632C"/>
    <w:rsid w:val="002963D5"/>
    <w:rsid w:val="002966CE"/>
    <w:rsid w:val="00296ACA"/>
    <w:rsid w:val="00296CC5"/>
    <w:rsid w:val="00296D15"/>
    <w:rsid w:val="00296D31"/>
    <w:rsid w:val="00296DAD"/>
    <w:rsid w:val="00296DD8"/>
    <w:rsid w:val="00296DE4"/>
    <w:rsid w:val="00296E6F"/>
    <w:rsid w:val="00296F6F"/>
    <w:rsid w:val="002970C1"/>
    <w:rsid w:val="002970F6"/>
    <w:rsid w:val="0029726C"/>
    <w:rsid w:val="00297293"/>
    <w:rsid w:val="00297451"/>
    <w:rsid w:val="00297554"/>
    <w:rsid w:val="0029759E"/>
    <w:rsid w:val="002975B8"/>
    <w:rsid w:val="002975C0"/>
    <w:rsid w:val="0029766C"/>
    <w:rsid w:val="00297690"/>
    <w:rsid w:val="00297709"/>
    <w:rsid w:val="002977AE"/>
    <w:rsid w:val="0029780E"/>
    <w:rsid w:val="0029791A"/>
    <w:rsid w:val="0029796A"/>
    <w:rsid w:val="00297A07"/>
    <w:rsid w:val="00297B9E"/>
    <w:rsid w:val="00297C29"/>
    <w:rsid w:val="00297D44"/>
    <w:rsid w:val="00297DE4"/>
    <w:rsid w:val="00297F87"/>
    <w:rsid w:val="002A017F"/>
    <w:rsid w:val="002A01FD"/>
    <w:rsid w:val="002A0239"/>
    <w:rsid w:val="002A02C6"/>
    <w:rsid w:val="002A02E3"/>
    <w:rsid w:val="002A038C"/>
    <w:rsid w:val="002A039A"/>
    <w:rsid w:val="002A0463"/>
    <w:rsid w:val="002A0578"/>
    <w:rsid w:val="002A059D"/>
    <w:rsid w:val="002A05C7"/>
    <w:rsid w:val="002A0604"/>
    <w:rsid w:val="002A0622"/>
    <w:rsid w:val="002A0737"/>
    <w:rsid w:val="002A0748"/>
    <w:rsid w:val="002A07FF"/>
    <w:rsid w:val="002A083F"/>
    <w:rsid w:val="002A08C5"/>
    <w:rsid w:val="002A08D7"/>
    <w:rsid w:val="002A0A18"/>
    <w:rsid w:val="002A0B9D"/>
    <w:rsid w:val="002A0BBF"/>
    <w:rsid w:val="002A0CBB"/>
    <w:rsid w:val="002A0D38"/>
    <w:rsid w:val="002A0EDB"/>
    <w:rsid w:val="002A1146"/>
    <w:rsid w:val="002A1155"/>
    <w:rsid w:val="002A1192"/>
    <w:rsid w:val="002A1298"/>
    <w:rsid w:val="002A1568"/>
    <w:rsid w:val="002A15B8"/>
    <w:rsid w:val="002A164A"/>
    <w:rsid w:val="002A1677"/>
    <w:rsid w:val="002A1731"/>
    <w:rsid w:val="002A182E"/>
    <w:rsid w:val="002A1851"/>
    <w:rsid w:val="002A1886"/>
    <w:rsid w:val="002A18B6"/>
    <w:rsid w:val="002A18CD"/>
    <w:rsid w:val="002A1972"/>
    <w:rsid w:val="002A198C"/>
    <w:rsid w:val="002A19E3"/>
    <w:rsid w:val="002A1A0D"/>
    <w:rsid w:val="002A1AC5"/>
    <w:rsid w:val="002A1AD3"/>
    <w:rsid w:val="002A1B19"/>
    <w:rsid w:val="002A1B7F"/>
    <w:rsid w:val="002A1C49"/>
    <w:rsid w:val="002A1EA3"/>
    <w:rsid w:val="002A1ED4"/>
    <w:rsid w:val="002A2097"/>
    <w:rsid w:val="002A20D5"/>
    <w:rsid w:val="002A2134"/>
    <w:rsid w:val="002A21E9"/>
    <w:rsid w:val="002A23C5"/>
    <w:rsid w:val="002A2573"/>
    <w:rsid w:val="002A262F"/>
    <w:rsid w:val="002A26A0"/>
    <w:rsid w:val="002A2BBC"/>
    <w:rsid w:val="002A2C84"/>
    <w:rsid w:val="002A2DEA"/>
    <w:rsid w:val="002A2E16"/>
    <w:rsid w:val="002A2E1F"/>
    <w:rsid w:val="002A2E4E"/>
    <w:rsid w:val="002A2F52"/>
    <w:rsid w:val="002A2F83"/>
    <w:rsid w:val="002A3056"/>
    <w:rsid w:val="002A3085"/>
    <w:rsid w:val="002A30F8"/>
    <w:rsid w:val="002A32BB"/>
    <w:rsid w:val="002A33E3"/>
    <w:rsid w:val="002A34CA"/>
    <w:rsid w:val="002A352A"/>
    <w:rsid w:val="002A3629"/>
    <w:rsid w:val="002A3648"/>
    <w:rsid w:val="002A3734"/>
    <w:rsid w:val="002A3743"/>
    <w:rsid w:val="002A3786"/>
    <w:rsid w:val="002A37EA"/>
    <w:rsid w:val="002A3A75"/>
    <w:rsid w:val="002A3ADF"/>
    <w:rsid w:val="002A3CA4"/>
    <w:rsid w:val="002A3CC2"/>
    <w:rsid w:val="002A3CE5"/>
    <w:rsid w:val="002A3D41"/>
    <w:rsid w:val="002A3D6B"/>
    <w:rsid w:val="002A3DA4"/>
    <w:rsid w:val="002A3E11"/>
    <w:rsid w:val="002A3FA5"/>
    <w:rsid w:val="002A3FFD"/>
    <w:rsid w:val="002A42A3"/>
    <w:rsid w:val="002A42B5"/>
    <w:rsid w:val="002A4348"/>
    <w:rsid w:val="002A438F"/>
    <w:rsid w:val="002A43DE"/>
    <w:rsid w:val="002A4494"/>
    <w:rsid w:val="002A46AE"/>
    <w:rsid w:val="002A46B0"/>
    <w:rsid w:val="002A474D"/>
    <w:rsid w:val="002A47B0"/>
    <w:rsid w:val="002A47E4"/>
    <w:rsid w:val="002A489A"/>
    <w:rsid w:val="002A4985"/>
    <w:rsid w:val="002A499E"/>
    <w:rsid w:val="002A4ADF"/>
    <w:rsid w:val="002A4AF2"/>
    <w:rsid w:val="002A4C8B"/>
    <w:rsid w:val="002A4CDA"/>
    <w:rsid w:val="002A4D24"/>
    <w:rsid w:val="002A4EB9"/>
    <w:rsid w:val="002A4EC2"/>
    <w:rsid w:val="002A4F48"/>
    <w:rsid w:val="002A4F78"/>
    <w:rsid w:val="002A4FEB"/>
    <w:rsid w:val="002A50F1"/>
    <w:rsid w:val="002A5141"/>
    <w:rsid w:val="002A51B8"/>
    <w:rsid w:val="002A5299"/>
    <w:rsid w:val="002A52C4"/>
    <w:rsid w:val="002A5401"/>
    <w:rsid w:val="002A547D"/>
    <w:rsid w:val="002A5490"/>
    <w:rsid w:val="002A54D3"/>
    <w:rsid w:val="002A54E2"/>
    <w:rsid w:val="002A559D"/>
    <w:rsid w:val="002A55E2"/>
    <w:rsid w:val="002A5669"/>
    <w:rsid w:val="002A56A6"/>
    <w:rsid w:val="002A5997"/>
    <w:rsid w:val="002A5BE1"/>
    <w:rsid w:val="002A5D37"/>
    <w:rsid w:val="002A5DD6"/>
    <w:rsid w:val="002A5E23"/>
    <w:rsid w:val="002A5F04"/>
    <w:rsid w:val="002A6086"/>
    <w:rsid w:val="002A60ED"/>
    <w:rsid w:val="002A61CC"/>
    <w:rsid w:val="002A62C5"/>
    <w:rsid w:val="002A62D3"/>
    <w:rsid w:val="002A63C8"/>
    <w:rsid w:val="002A65FE"/>
    <w:rsid w:val="002A6780"/>
    <w:rsid w:val="002A67D2"/>
    <w:rsid w:val="002A68B1"/>
    <w:rsid w:val="002A6A75"/>
    <w:rsid w:val="002A6AB1"/>
    <w:rsid w:val="002A6AB4"/>
    <w:rsid w:val="002A6B0A"/>
    <w:rsid w:val="002A6B7C"/>
    <w:rsid w:val="002A6BB7"/>
    <w:rsid w:val="002A6BE2"/>
    <w:rsid w:val="002A6D3C"/>
    <w:rsid w:val="002A6D58"/>
    <w:rsid w:val="002A6DE7"/>
    <w:rsid w:val="002A6DFD"/>
    <w:rsid w:val="002A6EE9"/>
    <w:rsid w:val="002A6F11"/>
    <w:rsid w:val="002A6FDE"/>
    <w:rsid w:val="002A6FF0"/>
    <w:rsid w:val="002A70F0"/>
    <w:rsid w:val="002A71EC"/>
    <w:rsid w:val="002A7219"/>
    <w:rsid w:val="002A722D"/>
    <w:rsid w:val="002A72D8"/>
    <w:rsid w:val="002A7373"/>
    <w:rsid w:val="002A73DA"/>
    <w:rsid w:val="002A7450"/>
    <w:rsid w:val="002A76DD"/>
    <w:rsid w:val="002A7757"/>
    <w:rsid w:val="002A79D5"/>
    <w:rsid w:val="002A7A67"/>
    <w:rsid w:val="002A7BBE"/>
    <w:rsid w:val="002A7D63"/>
    <w:rsid w:val="002A7D7A"/>
    <w:rsid w:val="002A7E31"/>
    <w:rsid w:val="002A7E42"/>
    <w:rsid w:val="002A7F4F"/>
    <w:rsid w:val="002B006F"/>
    <w:rsid w:val="002B0131"/>
    <w:rsid w:val="002B0352"/>
    <w:rsid w:val="002B03E8"/>
    <w:rsid w:val="002B0425"/>
    <w:rsid w:val="002B05AE"/>
    <w:rsid w:val="002B0654"/>
    <w:rsid w:val="002B077E"/>
    <w:rsid w:val="002B09C3"/>
    <w:rsid w:val="002B0B22"/>
    <w:rsid w:val="002B0B54"/>
    <w:rsid w:val="002B0B56"/>
    <w:rsid w:val="002B0C1E"/>
    <w:rsid w:val="002B0C46"/>
    <w:rsid w:val="002B0C7D"/>
    <w:rsid w:val="002B0E43"/>
    <w:rsid w:val="002B0EA2"/>
    <w:rsid w:val="002B0F0E"/>
    <w:rsid w:val="002B1052"/>
    <w:rsid w:val="002B10BB"/>
    <w:rsid w:val="002B1220"/>
    <w:rsid w:val="002B122C"/>
    <w:rsid w:val="002B13D5"/>
    <w:rsid w:val="002B14B2"/>
    <w:rsid w:val="002B155A"/>
    <w:rsid w:val="002B16CC"/>
    <w:rsid w:val="002B1757"/>
    <w:rsid w:val="002B1813"/>
    <w:rsid w:val="002B1872"/>
    <w:rsid w:val="002B18CA"/>
    <w:rsid w:val="002B1AD0"/>
    <w:rsid w:val="002B1C62"/>
    <w:rsid w:val="002B1C84"/>
    <w:rsid w:val="002B1CDC"/>
    <w:rsid w:val="002B1DDC"/>
    <w:rsid w:val="002B1E04"/>
    <w:rsid w:val="002B1F25"/>
    <w:rsid w:val="002B20DC"/>
    <w:rsid w:val="002B2185"/>
    <w:rsid w:val="002B22BC"/>
    <w:rsid w:val="002B22F6"/>
    <w:rsid w:val="002B250A"/>
    <w:rsid w:val="002B2558"/>
    <w:rsid w:val="002B2690"/>
    <w:rsid w:val="002B2747"/>
    <w:rsid w:val="002B284A"/>
    <w:rsid w:val="002B28AE"/>
    <w:rsid w:val="002B28D5"/>
    <w:rsid w:val="002B28F2"/>
    <w:rsid w:val="002B2B08"/>
    <w:rsid w:val="002B2C18"/>
    <w:rsid w:val="002B2CDC"/>
    <w:rsid w:val="002B2DA8"/>
    <w:rsid w:val="002B2EE3"/>
    <w:rsid w:val="002B2FD4"/>
    <w:rsid w:val="002B3119"/>
    <w:rsid w:val="002B31A9"/>
    <w:rsid w:val="002B32CD"/>
    <w:rsid w:val="002B32E5"/>
    <w:rsid w:val="002B32F5"/>
    <w:rsid w:val="002B33BD"/>
    <w:rsid w:val="002B366C"/>
    <w:rsid w:val="002B376B"/>
    <w:rsid w:val="002B38AD"/>
    <w:rsid w:val="002B3998"/>
    <w:rsid w:val="002B39B0"/>
    <w:rsid w:val="002B3B65"/>
    <w:rsid w:val="002B3B6F"/>
    <w:rsid w:val="002B3C34"/>
    <w:rsid w:val="002B3C5F"/>
    <w:rsid w:val="002B3CC2"/>
    <w:rsid w:val="002B3D21"/>
    <w:rsid w:val="002B3DB0"/>
    <w:rsid w:val="002B3DD4"/>
    <w:rsid w:val="002B3E53"/>
    <w:rsid w:val="002B4166"/>
    <w:rsid w:val="002B424C"/>
    <w:rsid w:val="002B4268"/>
    <w:rsid w:val="002B4328"/>
    <w:rsid w:val="002B4367"/>
    <w:rsid w:val="002B43E5"/>
    <w:rsid w:val="002B4479"/>
    <w:rsid w:val="002B4499"/>
    <w:rsid w:val="002B4539"/>
    <w:rsid w:val="002B4547"/>
    <w:rsid w:val="002B4548"/>
    <w:rsid w:val="002B45B0"/>
    <w:rsid w:val="002B4637"/>
    <w:rsid w:val="002B46E5"/>
    <w:rsid w:val="002B4845"/>
    <w:rsid w:val="002B4928"/>
    <w:rsid w:val="002B49B8"/>
    <w:rsid w:val="002B4AFE"/>
    <w:rsid w:val="002B4BA1"/>
    <w:rsid w:val="002B4C28"/>
    <w:rsid w:val="002B4C63"/>
    <w:rsid w:val="002B4E47"/>
    <w:rsid w:val="002B4F7A"/>
    <w:rsid w:val="002B4F85"/>
    <w:rsid w:val="002B4FE7"/>
    <w:rsid w:val="002B5012"/>
    <w:rsid w:val="002B505E"/>
    <w:rsid w:val="002B5154"/>
    <w:rsid w:val="002B52C0"/>
    <w:rsid w:val="002B52CD"/>
    <w:rsid w:val="002B52D3"/>
    <w:rsid w:val="002B540E"/>
    <w:rsid w:val="002B5660"/>
    <w:rsid w:val="002B5700"/>
    <w:rsid w:val="002B5704"/>
    <w:rsid w:val="002B57E8"/>
    <w:rsid w:val="002B5832"/>
    <w:rsid w:val="002B584B"/>
    <w:rsid w:val="002B5920"/>
    <w:rsid w:val="002B5936"/>
    <w:rsid w:val="002B59B3"/>
    <w:rsid w:val="002B59C2"/>
    <w:rsid w:val="002B5A32"/>
    <w:rsid w:val="002B5B73"/>
    <w:rsid w:val="002B5C90"/>
    <w:rsid w:val="002B5CD5"/>
    <w:rsid w:val="002B5D19"/>
    <w:rsid w:val="002B5DAB"/>
    <w:rsid w:val="002B5E50"/>
    <w:rsid w:val="002B5E9F"/>
    <w:rsid w:val="002B607F"/>
    <w:rsid w:val="002B6093"/>
    <w:rsid w:val="002B60A3"/>
    <w:rsid w:val="002B60AA"/>
    <w:rsid w:val="002B612E"/>
    <w:rsid w:val="002B62E8"/>
    <w:rsid w:val="002B6318"/>
    <w:rsid w:val="002B633D"/>
    <w:rsid w:val="002B635A"/>
    <w:rsid w:val="002B63AC"/>
    <w:rsid w:val="002B6472"/>
    <w:rsid w:val="002B6493"/>
    <w:rsid w:val="002B659C"/>
    <w:rsid w:val="002B6653"/>
    <w:rsid w:val="002B674F"/>
    <w:rsid w:val="002B6856"/>
    <w:rsid w:val="002B6862"/>
    <w:rsid w:val="002B6883"/>
    <w:rsid w:val="002B6894"/>
    <w:rsid w:val="002B68B6"/>
    <w:rsid w:val="002B68E7"/>
    <w:rsid w:val="002B691A"/>
    <w:rsid w:val="002B69E4"/>
    <w:rsid w:val="002B69ED"/>
    <w:rsid w:val="002B6A9D"/>
    <w:rsid w:val="002B6AF9"/>
    <w:rsid w:val="002B6B30"/>
    <w:rsid w:val="002B6B49"/>
    <w:rsid w:val="002B6BEE"/>
    <w:rsid w:val="002B6C22"/>
    <w:rsid w:val="002B6CC4"/>
    <w:rsid w:val="002B6D61"/>
    <w:rsid w:val="002B6F12"/>
    <w:rsid w:val="002B6F84"/>
    <w:rsid w:val="002B7034"/>
    <w:rsid w:val="002B7106"/>
    <w:rsid w:val="002B7198"/>
    <w:rsid w:val="002B71D3"/>
    <w:rsid w:val="002B7299"/>
    <w:rsid w:val="002B73A6"/>
    <w:rsid w:val="002B7497"/>
    <w:rsid w:val="002B757F"/>
    <w:rsid w:val="002B760B"/>
    <w:rsid w:val="002B7693"/>
    <w:rsid w:val="002B7854"/>
    <w:rsid w:val="002B78A4"/>
    <w:rsid w:val="002B7A64"/>
    <w:rsid w:val="002B7BA6"/>
    <w:rsid w:val="002B7BCC"/>
    <w:rsid w:val="002B7C56"/>
    <w:rsid w:val="002B7C76"/>
    <w:rsid w:val="002B7D79"/>
    <w:rsid w:val="002B7E51"/>
    <w:rsid w:val="002B7EEA"/>
    <w:rsid w:val="002C005A"/>
    <w:rsid w:val="002C0103"/>
    <w:rsid w:val="002C0227"/>
    <w:rsid w:val="002C03C5"/>
    <w:rsid w:val="002C04C8"/>
    <w:rsid w:val="002C0556"/>
    <w:rsid w:val="002C057A"/>
    <w:rsid w:val="002C05EE"/>
    <w:rsid w:val="002C0674"/>
    <w:rsid w:val="002C06ED"/>
    <w:rsid w:val="002C08A9"/>
    <w:rsid w:val="002C0919"/>
    <w:rsid w:val="002C09AD"/>
    <w:rsid w:val="002C0B17"/>
    <w:rsid w:val="002C0B32"/>
    <w:rsid w:val="002C0B5E"/>
    <w:rsid w:val="002C0C6C"/>
    <w:rsid w:val="002C0D0F"/>
    <w:rsid w:val="002C0E0F"/>
    <w:rsid w:val="002C1024"/>
    <w:rsid w:val="002C1026"/>
    <w:rsid w:val="002C10FA"/>
    <w:rsid w:val="002C1202"/>
    <w:rsid w:val="002C1292"/>
    <w:rsid w:val="002C1298"/>
    <w:rsid w:val="002C12CE"/>
    <w:rsid w:val="002C1536"/>
    <w:rsid w:val="002C15D6"/>
    <w:rsid w:val="002C15D8"/>
    <w:rsid w:val="002C168C"/>
    <w:rsid w:val="002C1706"/>
    <w:rsid w:val="002C17B2"/>
    <w:rsid w:val="002C17D8"/>
    <w:rsid w:val="002C1857"/>
    <w:rsid w:val="002C1874"/>
    <w:rsid w:val="002C1A32"/>
    <w:rsid w:val="002C1BCA"/>
    <w:rsid w:val="002C1C15"/>
    <w:rsid w:val="002C1D91"/>
    <w:rsid w:val="002C1EFC"/>
    <w:rsid w:val="002C1F6D"/>
    <w:rsid w:val="002C1FD7"/>
    <w:rsid w:val="002C202D"/>
    <w:rsid w:val="002C2048"/>
    <w:rsid w:val="002C2058"/>
    <w:rsid w:val="002C2101"/>
    <w:rsid w:val="002C211A"/>
    <w:rsid w:val="002C21B6"/>
    <w:rsid w:val="002C21EB"/>
    <w:rsid w:val="002C222E"/>
    <w:rsid w:val="002C224F"/>
    <w:rsid w:val="002C228D"/>
    <w:rsid w:val="002C2310"/>
    <w:rsid w:val="002C2336"/>
    <w:rsid w:val="002C23BB"/>
    <w:rsid w:val="002C2588"/>
    <w:rsid w:val="002C25E2"/>
    <w:rsid w:val="002C2658"/>
    <w:rsid w:val="002C2681"/>
    <w:rsid w:val="002C281B"/>
    <w:rsid w:val="002C2846"/>
    <w:rsid w:val="002C2851"/>
    <w:rsid w:val="002C2863"/>
    <w:rsid w:val="002C2989"/>
    <w:rsid w:val="002C2A0F"/>
    <w:rsid w:val="002C2ADF"/>
    <w:rsid w:val="002C2B53"/>
    <w:rsid w:val="002C2C38"/>
    <w:rsid w:val="002C2C82"/>
    <w:rsid w:val="002C2C8A"/>
    <w:rsid w:val="002C2CA7"/>
    <w:rsid w:val="002C2CBB"/>
    <w:rsid w:val="002C2EEC"/>
    <w:rsid w:val="002C2F2C"/>
    <w:rsid w:val="002C2F3F"/>
    <w:rsid w:val="002C2F74"/>
    <w:rsid w:val="002C308A"/>
    <w:rsid w:val="002C30D4"/>
    <w:rsid w:val="002C3127"/>
    <w:rsid w:val="002C315B"/>
    <w:rsid w:val="002C315F"/>
    <w:rsid w:val="002C31F4"/>
    <w:rsid w:val="002C3235"/>
    <w:rsid w:val="002C3323"/>
    <w:rsid w:val="002C3355"/>
    <w:rsid w:val="002C3404"/>
    <w:rsid w:val="002C3499"/>
    <w:rsid w:val="002C352E"/>
    <w:rsid w:val="002C35A5"/>
    <w:rsid w:val="002C35AA"/>
    <w:rsid w:val="002C36AA"/>
    <w:rsid w:val="002C36C5"/>
    <w:rsid w:val="002C3963"/>
    <w:rsid w:val="002C3976"/>
    <w:rsid w:val="002C3992"/>
    <w:rsid w:val="002C3A81"/>
    <w:rsid w:val="002C3ADF"/>
    <w:rsid w:val="002C3B18"/>
    <w:rsid w:val="002C3C30"/>
    <w:rsid w:val="002C3CBE"/>
    <w:rsid w:val="002C3CD1"/>
    <w:rsid w:val="002C3D68"/>
    <w:rsid w:val="002C3E3D"/>
    <w:rsid w:val="002C3ECC"/>
    <w:rsid w:val="002C3F79"/>
    <w:rsid w:val="002C4053"/>
    <w:rsid w:val="002C407C"/>
    <w:rsid w:val="002C4213"/>
    <w:rsid w:val="002C422F"/>
    <w:rsid w:val="002C4480"/>
    <w:rsid w:val="002C44EB"/>
    <w:rsid w:val="002C44F1"/>
    <w:rsid w:val="002C454D"/>
    <w:rsid w:val="002C4563"/>
    <w:rsid w:val="002C4574"/>
    <w:rsid w:val="002C461E"/>
    <w:rsid w:val="002C465B"/>
    <w:rsid w:val="002C4708"/>
    <w:rsid w:val="002C491B"/>
    <w:rsid w:val="002C4A5E"/>
    <w:rsid w:val="002C4A90"/>
    <w:rsid w:val="002C4A92"/>
    <w:rsid w:val="002C4BCC"/>
    <w:rsid w:val="002C4BDF"/>
    <w:rsid w:val="002C4BF1"/>
    <w:rsid w:val="002C4C50"/>
    <w:rsid w:val="002C4C57"/>
    <w:rsid w:val="002C4EC6"/>
    <w:rsid w:val="002C4F66"/>
    <w:rsid w:val="002C4FA4"/>
    <w:rsid w:val="002C4FC4"/>
    <w:rsid w:val="002C502C"/>
    <w:rsid w:val="002C5090"/>
    <w:rsid w:val="002C5116"/>
    <w:rsid w:val="002C5199"/>
    <w:rsid w:val="002C520F"/>
    <w:rsid w:val="002C5268"/>
    <w:rsid w:val="002C52C0"/>
    <w:rsid w:val="002C531B"/>
    <w:rsid w:val="002C5331"/>
    <w:rsid w:val="002C54C2"/>
    <w:rsid w:val="002C54C8"/>
    <w:rsid w:val="002C5643"/>
    <w:rsid w:val="002C5654"/>
    <w:rsid w:val="002C56FC"/>
    <w:rsid w:val="002C5714"/>
    <w:rsid w:val="002C571D"/>
    <w:rsid w:val="002C5892"/>
    <w:rsid w:val="002C5AE9"/>
    <w:rsid w:val="002C5C9F"/>
    <w:rsid w:val="002C5DD2"/>
    <w:rsid w:val="002C5DEA"/>
    <w:rsid w:val="002C5E63"/>
    <w:rsid w:val="002C5FA0"/>
    <w:rsid w:val="002C6034"/>
    <w:rsid w:val="002C61E8"/>
    <w:rsid w:val="002C63A7"/>
    <w:rsid w:val="002C64A9"/>
    <w:rsid w:val="002C64BF"/>
    <w:rsid w:val="002C64EC"/>
    <w:rsid w:val="002C658D"/>
    <w:rsid w:val="002C65BE"/>
    <w:rsid w:val="002C65C5"/>
    <w:rsid w:val="002C661C"/>
    <w:rsid w:val="002C66AD"/>
    <w:rsid w:val="002C677E"/>
    <w:rsid w:val="002C681B"/>
    <w:rsid w:val="002C68EE"/>
    <w:rsid w:val="002C6BF6"/>
    <w:rsid w:val="002C6CA9"/>
    <w:rsid w:val="002C6E23"/>
    <w:rsid w:val="002C6EAA"/>
    <w:rsid w:val="002C705F"/>
    <w:rsid w:val="002C70CD"/>
    <w:rsid w:val="002C7196"/>
    <w:rsid w:val="002C71D6"/>
    <w:rsid w:val="002C72B4"/>
    <w:rsid w:val="002C7303"/>
    <w:rsid w:val="002C730B"/>
    <w:rsid w:val="002C7455"/>
    <w:rsid w:val="002C747D"/>
    <w:rsid w:val="002C74AE"/>
    <w:rsid w:val="002C74ED"/>
    <w:rsid w:val="002C760B"/>
    <w:rsid w:val="002C760C"/>
    <w:rsid w:val="002C768D"/>
    <w:rsid w:val="002C7700"/>
    <w:rsid w:val="002C776E"/>
    <w:rsid w:val="002C79B0"/>
    <w:rsid w:val="002C7A4B"/>
    <w:rsid w:val="002C7A51"/>
    <w:rsid w:val="002C7A87"/>
    <w:rsid w:val="002C7BB5"/>
    <w:rsid w:val="002C7BB8"/>
    <w:rsid w:val="002C7BE5"/>
    <w:rsid w:val="002C7C00"/>
    <w:rsid w:val="002C7DA7"/>
    <w:rsid w:val="002C7E25"/>
    <w:rsid w:val="002C7F1C"/>
    <w:rsid w:val="002C7F3B"/>
    <w:rsid w:val="002D000F"/>
    <w:rsid w:val="002D006D"/>
    <w:rsid w:val="002D00EF"/>
    <w:rsid w:val="002D011C"/>
    <w:rsid w:val="002D01E7"/>
    <w:rsid w:val="002D0372"/>
    <w:rsid w:val="002D0445"/>
    <w:rsid w:val="002D080D"/>
    <w:rsid w:val="002D0909"/>
    <w:rsid w:val="002D0A6C"/>
    <w:rsid w:val="002D0ABA"/>
    <w:rsid w:val="002D0B13"/>
    <w:rsid w:val="002D0B60"/>
    <w:rsid w:val="002D0C65"/>
    <w:rsid w:val="002D0D03"/>
    <w:rsid w:val="002D0D89"/>
    <w:rsid w:val="002D0E08"/>
    <w:rsid w:val="002D0E90"/>
    <w:rsid w:val="002D1158"/>
    <w:rsid w:val="002D1223"/>
    <w:rsid w:val="002D1238"/>
    <w:rsid w:val="002D1249"/>
    <w:rsid w:val="002D129F"/>
    <w:rsid w:val="002D12F7"/>
    <w:rsid w:val="002D132D"/>
    <w:rsid w:val="002D1393"/>
    <w:rsid w:val="002D13B7"/>
    <w:rsid w:val="002D146B"/>
    <w:rsid w:val="002D1472"/>
    <w:rsid w:val="002D14D2"/>
    <w:rsid w:val="002D1657"/>
    <w:rsid w:val="002D17A8"/>
    <w:rsid w:val="002D17E0"/>
    <w:rsid w:val="002D17F6"/>
    <w:rsid w:val="002D1893"/>
    <w:rsid w:val="002D19A5"/>
    <w:rsid w:val="002D19F3"/>
    <w:rsid w:val="002D1A2A"/>
    <w:rsid w:val="002D1A5C"/>
    <w:rsid w:val="002D1AA7"/>
    <w:rsid w:val="002D1C46"/>
    <w:rsid w:val="002D1D04"/>
    <w:rsid w:val="002D1E4C"/>
    <w:rsid w:val="002D1F04"/>
    <w:rsid w:val="002D1FCF"/>
    <w:rsid w:val="002D2009"/>
    <w:rsid w:val="002D2014"/>
    <w:rsid w:val="002D2077"/>
    <w:rsid w:val="002D20BA"/>
    <w:rsid w:val="002D217D"/>
    <w:rsid w:val="002D228A"/>
    <w:rsid w:val="002D23E5"/>
    <w:rsid w:val="002D2439"/>
    <w:rsid w:val="002D2592"/>
    <w:rsid w:val="002D2605"/>
    <w:rsid w:val="002D2712"/>
    <w:rsid w:val="002D272B"/>
    <w:rsid w:val="002D274F"/>
    <w:rsid w:val="002D28C8"/>
    <w:rsid w:val="002D28CB"/>
    <w:rsid w:val="002D2AB5"/>
    <w:rsid w:val="002D2AF6"/>
    <w:rsid w:val="002D2B26"/>
    <w:rsid w:val="002D2B6A"/>
    <w:rsid w:val="002D2B86"/>
    <w:rsid w:val="002D2BAD"/>
    <w:rsid w:val="002D2C83"/>
    <w:rsid w:val="002D2D10"/>
    <w:rsid w:val="002D2EB3"/>
    <w:rsid w:val="002D2EBB"/>
    <w:rsid w:val="002D3009"/>
    <w:rsid w:val="002D3025"/>
    <w:rsid w:val="002D3156"/>
    <w:rsid w:val="002D31B7"/>
    <w:rsid w:val="002D31C3"/>
    <w:rsid w:val="002D3220"/>
    <w:rsid w:val="002D323A"/>
    <w:rsid w:val="002D3266"/>
    <w:rsid w:val="002D3328"/>
    <w:rsid w:val="002D3443"/>
    <w:rsid w:val="002D3450"/>
    <w:rsid w:val="002D3496"/>
    <w:rsid w:val="002D35F9"/>
    <w:rsid w:val="002D36A6"/>
    <w:rsid w:val="002D3736"/>
    <w:rsid w:val="002D3742"/>
    <w:rsid w:val="002D39A9"/>
    <w:rsid w:val="002D3B02"/>
    <w:rsid w:val="002D3B1C"/>
    <w:rsid w:val="002D3B40"/>
    <w:rsid w:val="002D3B44"/>
    <w:rsid w:val="002D3B85"/>
    <w:rsid w:val="002D3CE3"/>
    <w:rsid w:val="002D3CF4"/>
    <w:rsid w:val="002D3DD1"/>
    <w:rsid w:val="002D403B"/>
    <w:rsid w:val="002D4052"/>
    <w:rsid w:val="002D40E8"/>
    <w:rsid w:val="002D4489"/>
    <w:rsid w:val="002D4641"/>
    <w:rsid w:val="002D46EE"/>
    <w:rsid w:val="002D476D"/>
    <w:rsid w:val="002D4822"/>
    <w:rsid w:val="002D4B46"/>
    <w:rsid w:val="002D4E2C"/>
    <w:rsid w:val="002D4E36"/>
    <w:rsid w:val="002D4E6F"/>
    <w:rsid w:val="002D4EDB"/>
    <w:rsid w:val="002D5014"/>
    <w:rsid w:val="002D5043"/>
    <w:rsid w:val="002D50B9"/>
    <w:rsid w:val="002D50BC"/>
    <w:rsid w:val="002D50EE"/>
    <w:rsid w:val="002D5103"/>
    <w:rsid w:val="002D5136"/>
    <w:rsid w:val="002D5159"/>
    <w:rsid w:val="002D5209"/>
    <w:rsid w:val="002D52AD"/>
    <w:rsid w:val="002D52BE"/>
    <w:rsid w:val="002D533E"/>
    <w:rsid w:val="002D541C"/>
    <w:rsid w:val="002D54B0"/>
    <w:rsid w:val="002D564A"/>
    <w:rsid w:val="002D57FB"/>
    <w:rsid w:val="002D5876"/>
    <w:rsid w:val="002D5A8D"/>
    <w:rsid w:val="002D5B54"/>
    <w:rsid w:val="002D5BCE"/>
    <w:rsid w:val="002D5C1F"/>
    <w:rsid w:val="002D5C22"/>
    <w:rsid w:val="002D5C60"/>
    <w:rsid w:val="002D5C65"/>
    <w:rsid w:val="002D5D24"/>
    <w:rsid w:val="002D5D99"/>
    <w:rsid w:val="002D5DA1"/>
    <w:rsid w:val="002D5DCF"/>
    <w:rsid w:val="002D5DD4"/>
    <w:rsid w:val="002D5E00"/>
    <w:rsid w:val="002D5ECA"/>
    <w:rsid w:val="002D5EE0"/>
    <w:rsid w:val="002D5F61"/>
    <w:rsid w:val="002D5F75"/>
    <w:rsid w:val="002D601B"/>
    <w:rsid w:val="002D6155"/>
    <w:rsid w:val="002D616C"/>
    <w:rsid w:val="002D623F"/>
    <w:rsid w:val="002D6376"/>
    <w:rsid w:val="002D63B8"/>
    <w:rsid w:val="002D63B9"/>
    <w:rsid w:val="002D655B"/>
    <w:rsid w:val="002D6640"/>
    <w:rsid w:val="002D664D"/>
    <w:rsid w:val="002D682B"/>
    <w:rsid w:val="002D689D"/>
    <w:rsid w:val="002D6A06"/>
    <w:rsid w:val="002D6CF5"/>
    <w:rsid w:val="002D6E28"/>
    <w:rsid w:val="002D6F57"/>
    <w:rsid w:val="002D6F85"/>
    <w:rsid w:val="002D7069"/>
    <w:rsid w:val="002D7075"/>
    <w:rsid w:val="002D7534"/>
    <w:rsid w:val="002D75D2"/>
    <w:rsid w:val="002D76BF"/>
    <w:rsid w:val="002D77A7"/>
    <w:rsid w:val="002D7829"/>
    <w:rsid w:val="002D7899"/>
    <w:rsid w:val="002D78CA"/>
    <w:rsid w:val="002D7983"/>
    <w:rsid w:val="002D7A3D"/>
    <w:rsid w:val="002D7BA0"/>
    <w:rsid w:val="002D7C7A"/>
    <w:rsid w:val="002D7CAB"/>
    <w:rsid w:val="002D7D4A"/>
    <w:rsid w:val="002D7DCB"/>
    <w:rsid w:val="002D7E14"/>
    <w:rsid w:val="002D7E65"/>
    <w:rsid w:val="002D7E85"/>
    <w:rsid w:val="002D7F96"/>
    <w:rsid w:val="002E00AF"/>
    <w:rsid w:val="002E024A"/>
    <w:rsid w:val="002E045E"/>
    <w:rsid w:val="002E0472"/>
    <w:rsid w:val="002E05C8"/>
    <w:rsid w:val="002E088E"/>
    <w:rsid w:val="002E0BA0"/>
    <w:rsid w:val="002E0E12"/>
    <w:rsid w:val="002E0FBB"/>
    <w:rsid w:val="002E1001"/>
    <w:rsid w:val="002E111F"/>
    <w:rsid w:val="002E1129"/>
    <w:rsid w:val="002E117D"/>
    <w:rsid w:val="002E11B3"/>
    <w:rsid w:val="002E12D7"/>
    <w:rsid w:val="002E12FC"/>
    <w:rsid w:val="002E1342"/>
    <w:rsid w:val="002E138A"/>
    <w:rsid w:val="002E14DB"/>
    <w:rsid w:val="002E15A6"/>
    <w:rsid w:val="002E15F4"/>
    <w:rsid w:val="002E1766"/>
    <w:rsid w:val="002E182C"/>
    <w:rsid w:val="002E1932"/>
    <w:rsid w:val="002E1977"/>
    <w:rsid w:val="002E1A32"/>
    <w:rsid w:val="002E1AE5"/>
    <w:rsid w:val="002E1B37"/>
    <w:rsid w:val="002E1B52"/>
    <w:rsid w:val="002E1BA7"/>
    <w:rsid w:val="002E1BE3"/>
    <w:rsid w:val="002E1C99"/>
    <w:rsid w:val="002E1D82"/>
    <w:rsid w:val="002E1DAD"/>
    <w:rsid w:val="002E1DB1"/>
    <w:rsid w:val="002E1DCF"/>
    <w:rsid w:val="002E1E53"/>
    <w:rsid w:val="002E2028"/>
    <w:rsid w:val="002E2173"/>
    <w:rsid w:val="002E21BB"/>
    <w:rsid w:val="002E223C"/>
    <w:rsid w:val="002E226A"/>
    <w:rsid w:val="002E22F6"/>
    <w:rsid w:val="002E2340"/>
    <w:rsid w:val="002E2357"/>
    <w:rsid w:val="002E239E"/>
    <w:rsid w:val="002E24FB"/>
    <w:rsid w:val="002E26FF"/>
    <w:rsid w:val="002E2786"/>
    <w:rsid w:val="002E2925"/>
    <w:rsid w:val="002E2938"/>
    <w:rsid w:val="002E2946"/>
    <w:rsid w:val="002E2958"/>
    <w:rsid w:val="002E2C23"/>
    <w:rsid w:val="002E2C70"/>
    <w:rsid w:val="002E2C94"/>
    <w:rsid w:val="002E2E1F"/>
    <w:rsid w:val="002E2EED"/>
    <w:rsid w:val="002E2F19"/>
    <w:rsid w:val="002E3076"/>
    <w:rsid w:val="002E30B9"/>
    <w:rsid w:val="002E3201"/>
    <w:rsid w:val="002E324B"/>
    <w:rsid w:val="002E3255"/>
    <w:rsid w:val="002E3315"/>
    <w:rsid w:val="002E3394"/>
    <w:rsid w:val="002E33A4"/>
    <w:rsid w:val="002E34C6"/>
    <w:rsid w:val="002E3551"/>
    <w:rsid w:val="002E358D"/>
    <w:rsid w:val="002E35DA"/>
    <w:rsid w:val="002E3845"/>
    <w:rsid w:val="002E3883"/>
    <w:rsid w:val="002E3967"/>
    <w:rsid w:val="002E3A17"/>
    <w:rsid w:val="002E3A7D"/>
    <w:rsid w:val="002E3A7F"/>
    <w:rsid w:val="002E3AF8"/>
    <w:rsid w:val="002E3B89"/>
    <w:rsid w:val="002E3BA6"/>
    <w:rsid w:val="002E3BBC"/>
    <w:rsid w:val="002E3E49"/>
    <w:rsid w:val="002E3ECE"/>
    <w:rsid w:val="002E410C"/>
    <w:rsid w:val="002E4184"/>
    <w:rsid w:val="002E41A2"/>
    <w:rsid w:val="002E41E2"/>
    <w:rsid w:val="002E4239"/>
    <w:rsid w:val="002E4352"/>
    <w:rsid w:val="002E4371"/>
    <w:rsid w:val="002E465A"/>
    <w:rsid w:val="002E481B"/>
    <w:rsid w:val="002E48A8"/>
    <w:rsid w:val="002E48AC"/>
    <w:rsid w:val="002E4A1F"/>
    <w:rsid w:val="002E4A4C"/>
    <w:rsid w:val="002E4B10"/>
    <w:rsid w:val="002E4BC2"/>
    <w:rsid w:val="002E4BD4"/>
    <w:rsid w:val="002E4C42"/>
    <w:rsid w:val="002E4DC9"/>
    <w:rsid w:val="002E4DE3"/>
    <w:rsid w:val="002E4EA2"/>
    <w:rsid w:val="002E4FA6"/>
    <w:rsid w:val="002E5088"/>
    <w:rsid w:val="002E50A4"/>
    <w:rsid w:val="002E50B0"/>
    <w:rsid w:val="002E5381"/>
    <w:rsid w:val="002E539F"/>
    <w:rsid w:val="002E5416"/>
    <w:rsid w:val="002E5480"/>
    <w:rsid w:val="002E5498"/>
    <w:rsid w:val="002E54CB"/>
    <w:rsid w:val="002E54EA"/>
    <w:rsid w:val="002E56F3"/>
    <w:rsid w:val="002E57D4"/>
    <w:rsid w:val="002E5817"/>
    <w:rsid w:val="002E5820"/>
    <w:rsid w:val="002E585D"/>
    <w:rsid w:val="002E5868"/>
    <w:rsid w:val="002E5885"/>
    <w:rsid w:val="002E59C4"/>
    <w:rsid w:val="002E5AD5"/>
    <w:rsid w:val="002E5BA6"/>
    <w:rsid w:val="002E5BAC"/>
    <w:rsid w:val="002E5D08"/>
    <w:rsid w:val="002E5D82"/>
    <w:rsid w:val="002E5D92"/>
    <w:rsid w:val="002E5DDE"/>
    <w:rsid w:val="002E5E8A"/>
    <w:rsid w:val="002E5F38"/>
    <w:rsid w:val="002E5F9D"/>
    <w:rsid w:val="002E5FDE"/>
    <w:rsid w:val="002E6088"/>
    <w:rsid w:val="002E60BF"/>
    <w:rsid w:val="002E6161"/>
    <w:rsid w:val="002E61B4"/>
    <w:rsid w:val="002E626D"/>
    <w:rsid w:val="002E6358"/>
    <w:rsid w:val="002E6482"/>
    <w:rsid w:val="002E6541"/>
    <w:rsid w:val="002E6557"/>
    <w:rsid w:val="002E65C5"/>
    <w:rsid w:val="002E67C0"/>
    <w:rsid w:val="002E67E7"/>
    <w:rsid w:val="002E67FF"/>
    <w:rsid w:val="002E688F"/>
    <w:rsid w:val="002E69C6"/>
    <w:rsid w:val="002E69CB"/>
    <w:rsid w:val="002E6A59"/>
    <w:rsid w:val="002E6A69"/>
    <w:rsid w:val="002E6B61"/>
    <w:rsid w:val="002E6B97"/>
    <w:rsid w:val="002E6BE6"/>
    <w:rsid w:val="002E6C43"/>
    <w:rsid w:val="002E6CB2"/>
    <w:rsid w:val="002E6F5C"/>
    <w:rsid w:val="002E6FF9"/>
    <w:rsid w:val="002E7004"/>
    <w:rsid w:val="002E7180"/>
    <w:rsid w:val="002E7314"/>
    <w:rsid w:val="002E7494"/>
    <w:rsid w:val="002E77BD"/>
    <w:rsid w:val="002E7892"/>
    <w:rsid w:val="002E7898"/>
    <w:rsid w:val="002E78DE"/>
    <w:rsid w:val="002E78F6"/>
    <w:rsid w:val="002E7A9E"/>
    <w:rsid w:val="002E7AB6"/>
    <w:rsid w:val="002E7BA2"/>
    <w:rsid w:val="002E7C5D"/>
    <w:rsid w:val="002E7C9D"/>
    <w:rsid w:val="002E7D01"/>
    <w:rsid w:val="002E7D69"/>
    <w:rsid w:val="002E7D97"/>
    <w:rsid w:val="002E7F9B"/>
    <w:rsid w:val="002F00FC"/>
    <w:rsid w:val="002F0134"/>
    <w:rsid w:val="002F014A"/>
    <w:rsid w:val="002F023F"/>
    <w:rsid w:val="002F027C"/>
    <w:rsid w:val="002F02F6"/>
    <w:rsid w:val="002F0355"/>
    <w:rsid w:val="002F0363"/>
    <w:rsid w:val="002F0670"/>
    <w:rsid w:val="002F07B8"/>
    <w:rsid w:val="002F07CE"/>
    <w:rsid w:val="002F0854"/>
    <w:rsid w:val="002F0894"/>
    <w:rsid w:val="002F0A04"/>
    <w:rsid w:val="002F0B8E"/>
    <w:rsid w:val="002F0C99"/>
    <w:rsid w:val="002F0D4D"/>
    <w:rsid w:val="002F0DA1"/>
    <w:rsid w:val="002F0E17"/>
    <w:rsid w:val="002F0E62"/>
    <w:rsid w:val="002F0E9D"/>
    <w:rsid w:val="002F0ED9"/>
    <w:rsid w:val="002F105D"/>
    <w:rsid w:val="002F11C0"/>
    <w:rsid w:val="002F11C9"/>
    <w:rsid w:val="002F11DB"/>
    <w:rsid w:val="002F127B"/>
    <w:rsid w:val="002F12E4"/>
    <w:rsid w:val="002F1319"/>
    <w:rsid w:val="002F131D"/>
    <w:rsid w:val="002F14FB"/>
    <w:rsid w:val="002F1637"/>
    <w:rsid w:val="002F170D"/>
    <w:rsid w:val="002F1824"/>
    <w:rsid w:val="002F1906"/>
    <w:rsid w:val="002F1A09"/>
    <w:rsid w:val="002F1A1D"/>
    <w:rsid w:val="002F1A78"/>
    <w:rsid w:val="002F1AC3"/>
    <w:rsid w:val="002F1B26"/>
    <w:rsid w:val="002F1B32"/>
    <w:rsid w:val="002F1B67"/>
    <w:rsid w:val="002F1BE2"/>
    <w:rsid w:val="002F1BE9"/>
    <w:rsid w:val="002F1BF8"/>
    <w:rsid w:val="002F1D08"/>
    <w:rsid w:val="002F1F13"/>
    <w:rsid w:val="002F202F"/>
    <w:rsid w:val="002F2333"/>
    <w:rsid w:val="002F23B4"/>
    <w:rsid w:val="002F23B6"/>
    <w:rsid w:val="002F23F3"/>
    <w:rsid w:val="002F24DA"/>
    <w:rsid w:val="002F2518"/>
    <w:rsid w:val="002F2637"/>
    <w:rsid w:val="002F264A"/>
    <w:rsid w:val="002F26C8"/>
    <w:rsid w:val="002F2736"/>
    <w:rsid w:val="002F2766"/>
    <w:rsid w:val="002F27E2"/>
    <w:rsid w:val="002F2930"/>
    <w:rsid w:val="002F29DB"/>
    <w:rsid w:val="002F2A6E"/>
    <w:rsid w:val="002F2A89"/>
    <w:rsid w:val="002F2B69"/>
    <w:rsid w:val="002F2C78"/>
    <w:rsid w:val="002F2CB1"/>
    <w:rsid w:val="002F2E07"/>
    <w:rsid w:val="002F2E5B"/>
    <w:rsid w:val="002F2EE3"/>
    <w:rsid w:val="002F2F1F"/>
    <w:rsid w:val="002F2F87"/>
    <w:rsid w:val="002F2FAE"/>
    <w:rsid w:val="002F30B2"/>
    <w:rsid w:val="002F30DF"/>
    <w:rsid w:val="002F3283"/>
    <w:rsid w:val="002F33BA"/>
    <w:rsid w:val="002F35A3"/>
    <w:rsid w:val="002F36CF"/>
    <w:rsid w:val="002F37F0"/>
    <w:rsid w:val="002F396E"/>
    <w:rsid w:val="002F39E7"/>
    <w:rsid w:val="002F3AA1"/>
    <w:rsid w:val="002F3BD3"/>
    <w:rsid w:val="002F3D39"/>
    <w:rsid w:val="002F3D9F"/>
    <w:rsid w:val="002F3E6A"/>
    <w:rsid w:val="002F3EEC"/>
    <w:rsid w:val="002F3F55"/>
    <w:rsid w:val="002F3FFA"/>
    <w:rsid w:val="002F400A"/>
    <w:rsid w:val="002F4033"/>
    <w:rsid w:val="002F413D"/>
    <w:rsid w:val="002F4248"/>
    <w:rsid w:val="002F4324"/>
    <w:rsid w:val="002F4400"/>
    <w:rsid w:val="002F445C"/>
    <w:rsid w:val="002F4586"/>
    <w:rsid w:val="002F45F8"/>
    <w:rsid w:val="002F4601"/>
    <w:rsid w:val="002F4623"/>
    <w:rsid w:val="002F46F1"/>
    <w:rsid w:val="002F47CD"/>
    <w:rsid w:val="002F47D6"/>
    <w:rsid w:val="002F48A6"/>
    <w:rsid w:val="002F49E0"/>
    <w:rsid w:val="002F4A2C"/>
    <w:rsid w:val="002F4A8F"/>
    <w:rsid w:val="002F4BBA"/>
    <w:rsid w:val="002F4BBF"/>
    <w:rsid w:val="002F4C07"/>
    <w:rsid w:val="002F4DA4"/>
    <w:rsid w:val="002F4E20"/>
    <w:rsid w:val="002F5000"/>
    <w:rsid w:val="002F5055"/>
    <w:rsid w:val="002F5164"/>
    <w:rsid w:val="002F51F9"/>
    <w:rsid w:val="002F52B1"/>
    <w:rsid w:val="002F542C"/>
    <w:rsid w:val="002F54AD"/>
    <w:rsid w:val="002F5554"/>
    <w:rsid w:val="002F5563"/>
    <w:rsid w:val="002F55BE"/>
    <w:rsid w:val="002F5676"/>
    <w:rsid w:val="002F56C6"/>
    <w:rsid w:val="002F56E9"/>
    <w:rsid w:val="002F573C"/>
    <w:rsid w:val="002F577F"/>
    <w:rsid w:val="002F57A5"/>
    <w:rsid w:val="002F587F"/>
    <w:rsid w:val="002F58D0"/>
    <w:rsid w:val="002F5924"/>
    <w:rsid w:val="002F59B9"/>
    <w:rsid w:val="002F5BE2"/>
    <w:rsid w:val="002F5DD9"/>
    <w:rsid w:val="002F5E6C"/>
    <w:rsid w:val="002F5EBB"/>
    <w:rsid w:val="002F5EE4"/>
    <w:rsid w:val="002F5F42"/>
    <w:rsid w:val="002F6135"/>
    <w:rsid w:val="002F630E"/>
    <w:rsid w:val="002F63B1"/>
    <w:rsid w:val="002F644B"/>
    <w:rsid w:val="002F6485"/>
    <w:rsid w:val="002F64D8"/>
    <w:rsid w:val="002F667E"/>
    <w:rsid w:val="002F6764"/>
    <w:rsid w:val="002F68B8"/>
    <w:rsid w:val="002F695A"/>
    <w:rsid w:val="002F6C2B"/>
    <w:rsid w:val="002F6C86"/>
    <w:rsid w:val="002F6D37"/>
    <w:rsid w:val="002F6D7C"/>
    <w:rsid w:val="002F6E17"/>
    <w:rsid w:val="002F6E58"/>
    <w:rsid w:val="002F6EC4"/>
    <w:rsid w:val="002F6F53"/>
    <w:rsid w:val="002F6F8D"/>
    <w:rsid w:val="002F6FB5"/>
    <w:rsid w:val="002F6FED"/>
    <w:rsid w:val="002F703C"/>
    <w:rsid w:val="002F707E"/>
    <w:rsid w:val="002F71B5"/>
    <w:rsid w:val="002F72F6"/>
    <w:rsid w:val="002F7314"/>
    <w:rsid w:val="002F7426"/>
    <w:rsid w:val="002F74F6"/>
    <w:rsid w:val="002F75A3"/>
    <w:rsid w:val="002F761D"/>
    <w:rsid w:val="002F7635"/>
    <w:rsid w:val="002F76E8"/>
    <w:rsid w:val="002F7719"/>
    <w:rsid w:val="002F784F"/>
    <w:rsid w:val="002F7A7B"/>
    <w:rsid w:val="002F7AB4"/>
    <w:rsid w:val="002F7B5D"/>
    <w:rsid w:val="002F7D2A"/>
    <w:rsid w:val="002F7DD1"/>
    <w:rsid w:val="002F7E7F"/>
    <w:rsid w:val="002F7EB9"/>
    <w:rsid w:val="0030015E"/>
    <w:rsid w:val="0030026A"/>
    <w:rsid w:val="003003C0"/>
    <w:rsid w:val="003004E1"/>
    <w:rsid w:val="00300507"/>
    <w:rsid w:val="00300551"/>
    <w:rsid w:val="00300592"/>
    <w:rsid w:val="003006AB"/>
    <w:rsid w:val="0030070B"/>
    <w:rsid w:val="003007DC"/>
    <w:rsid w:val="003008AA"/>
    <w:rsid w:val="003008F0"/>
    <w:rsid w:val="00300905"/>
    <w:rsid w:val="00300943"/>
    <w:rsid w:val="00300A67"/>
    <w:rsid w:val="00300B1C"/>
    <w:rsid w:val="00300BE0"/>
    <w:rsid w:val="00300C00"/>
    <w:rsid w:val="00300CB0"/>
    <w:rsid w:val="00300D21"/>
    <w:rsid w:val="00300E0B"/>
    <w:rsid w:val="00300E87"/>
    <w:rsid w:val="00300ECB"/>
    <w:rsid w:val="00300FE4"/>
    <w:rsid w:val="0030114B"/>
    <w:rsid w:val="0030115C"/>
    <w:rsid w:val="00301189"/>
    <w:rsid w:val="00301249"/>
    <w:rsid w:val="003012A1"/>
    <w:rsid w:val="003012A6"/>
    <w:rsid w:val="00301381"/>
    <w:rsid w:val="00301384"/>
    <w:rsid w:val="00301397"/>
    <w:rsid w:val="00301413"/>
    <w:rsid w:val="00301675"/>
    <w:rsid w:val="00301708"/>
    <w:rsid w:val="00301763"/>
    <w:rsid w:val="00301812"/>
    <w:rsid w:val="00301829"/>
    <w:rsid w:val="0030185A"/>
    <w:rsid w:val="00301A80"/>
    <w:rsid w:val="00301B99"/>
    <w:rsid w:val="00301CC8"/>
    <w:rsid w:val="00301D9A"/>
    <w:rsid w:val="00301E77"/>
    <w:rsid w:val="00301E82"/>
    <w:rsid w:val="00301EDE"/>
    <w:rsid w:val="00301F37"/>
    <w:rsid w:val="00301F8A"/>
    <w:rsid w:val="0030208D"/>
    <w:rsid w:val="0030217B"/>
    <w:rsid w:val="00302191"/>
    <w:rsid w:val="003022E0"/>
    <w:rsid w:val="003024D9"/>
    <w:rsid w:val="0030251E"/>
    <w:rsid w:val="00302528"/>
    <w:rsid w:val="00302535"/>
    <w:rsid w:val="00302604"/>
    <w:rsid w:val="00302631"/>
    <w:rsid w:val="0030264E"/>
    <w:rsid w:val="003026B2"/>
    <w:rsid w:val="00302A64"/>
    <w:rsid w:val="00302A66"/>
    <w:rsid w:val="00302AA0"/>
    <w:rsid w:val="00302B02"/>
    <w:rsid w:val="00302B11"/>
    <w:rsid w:val="00302CA6"/>
    <w:rsid w:val="00302DE3"/>
    <w:rsid w:val="00302DFB"/>
    <w:rsid w:val="00302E07"/>
    <w:rsid w:val="00302E48"/>
    <w:rsid w:val="00302E5E"/>
    <w:rsid w:val="00302EDA"/>
    <w:rsid w:val="00302EF1"/>
    <w:rsid w:val="00302FC5"/>
    <w:rsid w:val="00302FE2"/>
    <w:rsid w:val="00303107"/>
    <w:rsid w:val="0030318B"/>
    <w:rsid w:val="003031EF"/>
    <w:rsid w:val="003033D9"/>
    <w:rsid w:val="003034C6"/>
    <w:rsid w:val="003034E1"/>
    <w:rsid w:val="0030359D"/>
    <w:rsid w:val="00303812"/>
    <w:rsid w:val="00303889"/>
    <w:rsid w:val="0030391D"/>
    <w:rsid w:val="00303944"/>
    <w:rsid w:val="00303A57"/>
    <w:rsid w:val="00303A98"/>
    <w:rsid w:val="00303B0D"/>
    <w:rsid w:val="00303B3C"/>
    <w:rsid w:val="00303CC3"/>
    <w:rsid w:val="0030405E"/>
    <w:rsid w:val="003040CE"/>
    <w:rsid w:val="0030427A"/>
    <w:rsid w:val="00304288"/>
    <w:rsid w:val="003042DC"/>
    <w:rsid w:val="00304395"/>
    <w:rsid w:val="00304455"/>
    <w:rsid w:val="0030459C"/>
    <w:rsid w:val="003045B9"/>
    <w:rsid w:val="00304720"/>
    <w:rsid w:val="0030486A"/>
    <w:rsid w:val="00304965"/>
    <w:rsid w:val="003049DC"/>
    <w:rsid w:val="003049FE"/>
    <w:rsid w:val="00304A3E"/>
    <w:rsid w:val="00304A6D"/>
    <w:rsid w:val="00304AFD"/>
    <w:rsid w:val="00304BCE"/>
    <w:rsid w:val="00304BF0"/>
    <w:rsid w:val="00304C67"/>
    <w:rsid w:val="00304C98"/>
    <w:rsid w:val="00304DE3"/>
    <w:rsid w:val="00304E4E"/>
    <w:rsid w:val="00304FDB"/>
    <w:rsid w:val="00305098"/>
    <w:rsid w:val="003050B7"/>
    <w:rsid w:val="003050CE"/>
    <w:rsid w:val="003053C6"/>
    <w:rsid w:val="003055A1"/>
    <w:rsid w:val="00305744"/>
    <w:rsid w:val="0030575B"/>
    <w:rsid w:val="00305774"/>
    <w:rsid w:val="0030584B"/>
    <w:rsid w:val="0030587D"/>
    <w:rsid w:val="00305B24"/>
    <w:rsid w:val="00305BC3"/>
    <w:rsid w:val="00305BCE"/>
    <w:rsid w:val="00305BEF"/>
    <w:rsid w:val="00305C6B"/>
    <w:rsid w:val="00305DF1"/>
    <w:rsid w:val="00305EBF"/>
    <w:rsid w:val="00305F05"/>
    <w:rsid w:val="00305F0A"/>
    <w:rsid w:val="00306104"/>
    <w:rsid w:val="003061C2"/>
    <w:rsid w:val="00306329"/>
    <w:rsid w:val="0030633C"/>
    <w:rsid w:val="003064D3"/>
    <w:rsid w:val="00306564"/>
    <w:rsid w:val="0030657D"/>
    <w:rsid w:val="00306596"/>
    <w:rsid w:val="0030662C"/>
    <w:rsid w:val="00306866"/>
    <w:rsid w:val="00306910"/>
    <w:rsid w:val="00306958"/>
    <w:rsid w:val="003069B5"/>
    <w:rsid w:val="00306A38"/>
    <w:rsid w:val="00306B97"/>
    <w:rsid w:val="00306BCB"/>
    <w:rsid w:val="00306D6E"/>
    <w:rsid w:val="00306DB2"/>
    <w:rsid w:val="00306E66"/>
    <w:rsid w:val="00306F37"/>
    <w:rsid w:val="00306F91"/>
    <w:rsid w:val="00306FA4"/>
    <w:rsid w:val="00307159"/>
    <w:rsid w:val="0030723D"/>
    <w:rsid w:val="0030728B"/>
    <w:rsid w:val="00307367"/>
    <w:rsid w:val="003074F6"/>
    <w:rsid w:val="00307562"/>
    <w:rsid w:val="003075D1"/>
    <w:rsid w:val="003076A7"/>
    <w:rsid w:val="003076B3"/>
    <w:rsid w:val="003076E1"/>
    <w:rsid w:val="0030780A"/>
    <w:rsid w:val="0030786A"/>
    <w:rsid w:val="003078A5"/>
    <w:rsid w:val="003078AD"/>
    <w:rsid w:val="0030792C"/>
    <w:rsid w:val="003079BE"/>
    <w:rsid w:val="003079DB"/>
    <w:rsid w:val="00307B37"/>
    <w:rsid w:val="00307BEE"/>
    <w:rsid w:val="00307C26"/>
    <w:rsid w:val="00307C41"/>
    <w:rsid w:val="00307CFE"/>
    <w:rsid w:val="00307D19"/>
    <w:rsid w:val="00307D47"/>
    <w:rsid w:val="00307D8A"/>
    <w:rsid w:val="00307E0B"/>
    <w:rsid w:val="00307F83"/>
    <w:rsid w:val="0031002B"/>
    <w:rsid w:val="003101CE"/>
    <w:rsid w:val="00310225"/>
    <w:rsid w:val="003102E3"/>
    <w:rsid w:val="003103B7"/>
    <w:rsid w:val="003103BF"/>
    <w:rsid w:val="003104F4"/>
    <w:rsid w:val="0031055C"/>
    <w:rsid w:val="003105D2"/>
    <w:rsid w:val="003107DA"/>
    <w:rsid w:val="003108E6"/>
    <w:rsid w:val="00310A3D"/>
    <w:rsid w:val="00310C4C"/>
    <w:rsid w:val="00310C7D"/>
    <w:rsid w:val="00310CC5"/>
    <w:rsid w:val="00310E45"/>
    <w:rsid w:val="0031102F"/>
    <w:rsid w:val="00311088"/>
    <w:rsid w:val="003111BC"/>
    <w:rsid w:val="003111DE"/>
    <w:rsid w:val="0031137A"/>
    <w:rsid w:val="0031151E"/>
    <w:rsid w:val="00311575"/>
    <w:rsid w:val="003117BD"/>
    <w:rsid w:val="00311963"/>
    <w:rsid w:val="003119DA"/>
    <w:rsid w:val="00311A14"/>
    <w:rsid w:val="00311ACE"/>
    <w:rsid w:val="00311AF3"/>
    <w:rsid w:val="00311B24"/>
    <w:rsid w:val="00311C58"/>
    <w:rsid w:val="00311D21"/>
    <w:rsid w:val="00311D93"/>
    <w:rsid w:val="00311E50"/>
    <w:rsid w:val="00311FD2"/>
    <w:rsid w:val="00312105"/>
    <w:rsid w:val="003121D5"/>
    <w:rsid w:val="0031224C"/>
    <w:rsid w:val="003122AF"/>
    <w:rsid w:val="003122D2"/>
    <w:rsid w:val="003122F5"/>
    <w:rsid w:val="0031234D"/>
    <w:rsid w:val="00312383"/>
    <w:rsid w:val="00312488"/>
    <w:rsid w:val="00312516"/>
    <w:rsid w:val="0031254A"/>
    <w:rsid w:val="003126AC"/>
    <w:rsid w:val="00312797"/>
    <w:rsid w:val="00312A1D"/>
    <w:rsid w:val="00312B21"/>
    <w:rsid w:val="00312BB5"/>
    <w:rsid w:val="00312BD5"/>
    <w:rsid w:val="00312BE4"/>
    <w:rsid w:val="00312C0A"/>
    <w:rsid w:val="00312C61"/>
    <w:rsid w:val="00312C7B"/>
    <w:rsid w:val="00312CA5"/>
    <w:rsid w:val="00312CE7"/>
    <w:rsid w:val="00312D23"/>
    <w:rsid w:val="00312D88"/>
    <w:rsid w:val="00312EC4"/>
    <w:rsid w:val="00312F36"/>
    <w:rsid w:val="0031301D"/>
    <w:rsid w:val="00313045"/>
    <w:rsid w:val="00313112"/>
    <w:rsid w:val="00313188"/>
    <w:rsid w:val="003131E5"/>
    <w:rsid w:val="00313262"/>
    <w:rsid w:val="003133F0"/>
    <w:rsid w:val="003134B4"/>
    <w:rsid w:val="0031351E"/>
    <w:rsid w:val="003135BE"/>
    <w:rsid w:val="00313684"/>
    <w:rsid w:val="003136C8"/>
    <w:rsid w:val="00313734"/>
    <w:rsid w:val="003137AB"/>
    <w:rsid w:val="003137B7"/>
    <w:rsid w:val="0031380E"/>
    <w:rsid w:val="0031396B"/>
    <w:rsid w:val="003139D5"/>
    <w:rsid w:val="003139EE"/>
    <w:rsid w:val="00313E7C"/>
    <w:rsid w:val="00313F85"/>
    <w:rsid w:val="0031411D"/>
    <w:rsid w:val="0031417E"/>
    <w:rsid w:val="003141B6"/>
    <w:rsid w:val="003141C1"/>
    <w:rsid w:val="0031430D"/>
    <w:rsid w:val="003143EE"/>
    <w:rsid w:val="003143FB"/>
    <w:rsid w:val="00314495"/>
    <w:rsid w:val="003144B4"/>
    <w:rsid w:val="003144E5"/>
    <w:rsid w:val="0031466B"/>
    <w:rsid w:val="003146DE"/>
    <w:rsid w:val="003148D3"/>
    <w:rsid w:val="00314B69"/>
    <w:rsid w:val="00314BD7"/>
    <w:rsid w:val="00314C4A"/>
    <w:rsid w:val="00314D41"/>
    <w:rsid w:val="00314F37"/>
    <w:rsid w:val="00314F69"/>
    <w:rsid w:val="00314FBD"/>
    <w:rsid w:val="00314FC4"/>
    <w:rsid w:val="0031505C"/>
    <w:rsid w:val="00315063"/>
    <w:rsid w:val="003150BD"/>
    <w:rsid w:val="003151A9"/>
    <w:rsid w:val="0031521A"/>
    <w:rsid w:val="00315336"/>
    <w:rsid w:val="00315414"/>
    <w:rsid w:val="00315475"/>
    <w:rsid w:val="003154C0"/>
    <w:rsid w:val="003154EF"/>
    <w:rsid w:val="00315548"/>
    <w:rsid w:val="0031557D"/>
    <w:rsid w:val="003155B2"/>
    <w:rsid w:val="0031565C"/>
    <w:rsid w:val="003156D7"/>
    <w:rsid w:val="0031571D"/>
    <w:rsid w:val="003158DA"/>
    <w:rsid w:val="00315A51"/>
    <w:rsid w:val="00315ADE"/>
    <w:rsid w:val="00315B7C"/>
    <w:rsid w:val="00315C83"/>
    <w:rsid w:val="00315CE0"/>
    <w:rsid w:val="00315D5C"/>
    <w:rsid w:val="00315E1C"/>
    <w:rsid w:val="00315EA0"/>
    <w:rsid w:val="00315EDF"/>
    <w:rsid w:val="00315F3A"/>
    <w:rsid w:val="00315FB7"/>
    <w:rsid w:val="00315FD7"/>
    <w:rsid w:val="00315FE0"/>
    <w:rsid w:val="00316065"/>
    <w:rsid w:val="0031613C"/>
    <w:rsid w:val="00316144"/>
    <w:rsid w:val="003164B9"/>
    <w:rsid w:val="00316526"/>
    <w:rsid w:val="003165A1"/>
    <w:rsid w:val="003166E4"/>
    <w:rsid w:val="0031695C"/>
    <w:rsid w:val="003169E6"/>
    <w:rsid w:val="00316A4C"/>
    <w:rsid w:val="00316B58"/>
    <w:rsid w:val="00316C46"/>
    <w:rsid w:val="00316CAE"/>
    <w:rsid w:val="00316DFA"/>
    <w:rsid w:val="00316EAE"/>
    <w:rsid w:val="00316F0B"/>
    <w:rsid w:val="00316F6E"/>
    <w:rsid w:val="00316F8D"/>
    <w:rsid w:val="00316FBB"/>
    <w:rsid w:val="00316FF7"/>
    <w:rsid w:val="003171E1"/>
    <w:rsid w:val="00317254"/>
    <w:rsid w:val="00317358"/>
    <w:rsid w:val="003173CC"/>
    <w:rsid w:val="003173F7"/>
    <w:rsid w:val="00317452"/>
    <w:rsid w:val="003174C0"/>
    <w:rsid w:val="0031759B"/>
    <w:rsid w:val="003175B0"/>
    <w:rsid w:val="003175E9"/>
    <w:rsid w:val="003177B1"/>
    <w:rsid w:val="003177CB"/>
    <w:rsid w:val="003177DF"/>
    <w:rsid w:val="0031780B"/>
    <w:rsid w:val="003178C5"/>
    <w:rsid w:val="0031791F"/>
    <w:rsid w:val="0031794A"/>
    <w:rsid w:val="00317A22"/>
    <w:rsid w:val="00317A49"/>
    <w:rsid w:val="00317AA9"/>
    <w:rsid w:val="00317B40"/>
    <w:rsid w:val="00317C45"/>
    <w:rsid w:val="00317C67"/>
    <w:rsid w:val="00317CC1"/>
    <w:rsid w:val="00317DC6"/>
    <w:rsid w:val="00317E23"/>
    <w:rsid w:val="00317F0A"/>
    <w:rsid w:val="00317FBF"/>
    <w:rsid w:val="00317FD6"/>
    <w:rsid w:val="00320003"/>
    <w:rsid w:val="003201F4"/>
    <w:rsid w:val="00320276"/>
    <w:rsid w:val="00320317"/>
    <w:rsid w:val="0032040C"/>
    <w:rsid w:val="0032057A"/>
    <w:rsid w:val="003205CB"/>
    <w:rsid w:val="00320680"/>
    <w:rsid w:val="00320721"/>
    <w:rsid w:val="00320783"/>
    <w:rsid w:val="00320796"/>
    <w:rsid w:val="00320966"/>
    <w:rsid w:val="00320A5D"/>
    <w:rsid w:val="00320AF7"/>
    <w:rsid w:val="00320B9B"/>
    <w:rsid w:val="00320BD0"/>
    <w:rsid w:val="00320BED"/>
    <w:rsid w:val="00320C4B"/>
    <w:rsid w:val="00320C82"/>
    <w:rsid w:val="00320D43"/>
    <w:rsid w:val="00320D6F"/>
    <w:rsid w:val="00320E08"/>
    <w:rsid w:val="00320E68"/>
    <w:rsid w:val="00320E86"/>
    <w:rsid w:val="00320E99"/>
    <w:rsid w:val="00320F65"/>
    <w:rsid w:val="00320F8D"/>
    <w:rsid w:val="00321053"/>
    <w:rsid w:val="003210F7"/>
    <w:rsid w:val="00321207"/>
    <w:rsid w:val="0032123D"/>
    <w:rsid w:val="00321282"/>
    <w:rsid w:val="0032163F"/>
    <w:rsid w:val="00321663"/>
    <w:rsid w:val="0032178F"/>
    <w:rsid w:val="003217C6"/>
    <w:rsid w:val="00321807"/>
    <w:rsid w:val="0032194D"/>
    <w:rsid w:val="00321A27"/>
    <w:rsid w:val="00321AAC"/>
    <w:rsid w:val="00321B52"/>
    <w:rsid w:val="00321BF4"/>
    <w:rsid w:val="00321D19"/>
    <w:rsid w:val="00321D1C"/>
    <w:rsid w:val="00321E8C"/>
    <w:rsid w:val="00321EAA"/>
    <w:rsid w:val="00321EFA"/>
    <w:rsid w:val="00321F3E"/>
    <w:rsid w:val="00321FAC"/>
    <w:rsid w:val="0032207F"/>
    <w:rsid w:val="00322103"/>
    <w:rsid w:val="0032227C"/>
    <w:rsid w:val="00322399"/>
    <w:rsid w:val="00322476"/>
    <w:rsid w:val="00322482"/>
    <w:rsid w:val="003224BF"/>
    <w:rsid w:val="00322559"/>
    <w:rsid w:val="003225F3"/>
    <w:rsid w:val="00322729"/>
    <w:rsid w:val="00322840"/>
    <w:rsid w:val="00322983"/>
    <w:rsid w:val="003229B5"/>
    <w:rsid w:val="003229BB"/>
    <w:rsid w:val="00322AA7"/>
    <w:rsid w:val="00322D30"/>
    <w:rsid w:val="00322D5D"/>
    <w:rsid w:val="00322DC2"/>
    <w:rsid w:val="00322DDD"/>
    <w:rsid w:val="00322EB6"/>
    <w:rsid w:val="00322EE9"/>
    <w:rsid w:val="00322F75"/>
    <w:rsid w:val="00323010"/>
    <w:rsid w:val="0032306D"/>
    <w:rsid w:val="00323263"/>
    <w:rsid w:val="00323349"/>
    <w:rsid w:val="0032351D"/>
    <w:rsid w:val="00323630"/>
    <w:rsid w:val="00323640"/>
    <w:rsid w:val="003236A3"/>
    <w:rsid w:val="003236F0"/>
    <w:rsid w:val="003237F1"/>
    <w:rsid w:val="00323874"/>
    <w:rsid w:val="0032392B"/>
    <w:rsid w:val="0032399D"/>
    <w:rsid w:val="00323A0C"/>
    <w:rsid w:val="00323DDE"/>
    <w:rsid w:val="00323E60"/>
    <w:rsid w:val="00323ED3"/>
    <w:rsid w:val="00323F3A"/>
    <w:rsid w:val="003240DD"/>
    <w:rsid w:val="0032418E"/>
    <w:rsid w:val="00324464"/>
    <w:rsid w:val="0032446A"/>
    <w:rsid w:val="003244C2"/>
    <w:rsid w:val="0032458B"/>
    <w:rsid w:val="0032465C"/>
    <w:rsid w:val="00324775"/>
    <w:rsid w:val="00324842"/>
    <w:rsid w:val="003249B2"/>
    <w:rsid w:val="00324A1B"/>
    <w:rsid w:val="00324A79"/>
    <w:rsid w:val="00324B0E"/>
    <w:rsid w:val="00324B28"/>
    <w:rsid w:val="00324B6A"/>
    <w:rsid w:val="00324BEF"/>
    <w:rsid w:val="00324C05"/>
    <w:rsid w:val="00324C51"/>
    <w:rsid w:val="00324D0A"/>
    <w:rsid w:val="00324D7F"/>
    <w:rsid w:val="00324EE2"/>
    <w:rsid w:val="00324F3D"/>
    <w:rsid w:val="00325074"/>
    <w:rsid w:val="00325079"/>
    <w:rsid w:val="00325098"/>
    <w:rsid w:val="003250D2"/>
    <w:rsid w:val="003250FB"/>
    <w:rsid w:val="003252E4"/>
    <w:rsid w:val="00325404"/>
    <w:rsid w:val="0032543F"/>
    <w:rsid w:val="003254A6"/>
    <w:rsid w:val="003254D5"/>
    <w:rsid w:val="00325547"/>
    <w:rsid w:val="0032563F"/>
    <w:rsid w:val="00325641"/>
    <w:rsid w:val="003258F4"/>
    <w:rsid w:val="003259B2"/>
    <w:rsid w:val="003259F2"/>
    <w:rsid w:val="00325CEE"/>
    <w:rsid w:val="00325E06"/>
    <w:rsid w:val="00325E41"/>
    <w:rsid w:val="00325F31"/>
    <w:rsid w:val="00325F9B"/>
    <w:rsid w:val="00326062"/>
    <w:rsid w:val="003260B8"/>
    <w:rsid w:val="003260E3"/>
    <w:rsid w:val="00326135"/>
    <w:rsid w:val="00326197"/>
    <w:rsid w:val="0032621F"/>
    <w:rsid w:val="00326236"/>
    <w:rsid w:val="003262BF"/>
    <w:rsid w:val="003263DB"/>
    <w:rsid w:val="003263F0"/>
    <w:rsid w:val="003264AC"/>
    <w:rsid w:val="003264BF"/>
    <w:rsid w:val="003265B3"/>
    <w:rsid w:val="003267E9"/>
    <w:rsid w:val="00326960"/>
    <w:rsid w:val="00326996"/>
    <w:rsid w:val="00326BD1"/>
    <w:rsid w:val="00326BFE"/>
    <w:rsid w:val="00326C35"/>
    <w:rsid w:val="00326D24"/>
    <w:rsid w:val="00326E86"/>
    <w:rsid w:val="00326EF5"/>
    <w:rsid w:val="00326F23"/>
    <w:rsid w:val="00327039"/>
    <w:rsid w:val="003272C0"/>
    <w:rsid w:val="00327348"/>
    <w:rsid w:val="0032737B"/>
    <w:rsid w:val="0032745F"/>
    <w:rsid w:val="0032748E"/>
    <w:rsid w:val="00327578"/>
    <w:rsid w:val="00327579"/>
    <w:rsid w:val="003275C0"/>
    <w:rsid w:val="0032761D"/>
    <w:rsid w:val="00327778"/>
    <w:rsid w:val="003277C8"/>
    <w:rsid w:val="00327814"/>
    <w:rsid w:val="003279F0"/>
    <w:rsid w:val="00327A3E"/>
    <w:rsid w:val="00327A5D"/>
    <w:rsid w:val="00327A65"/>
    <w:rsid w:val="00327AB2"/>
    <w:rsid w:val="00327BBD"/>
    <w:rsid w:val="00327BFC"/>
    <w:rsid w:val="00327C0A"/>
    <w:rsid w:val="00327CA4"/>
    <w:rsid w:val="00327CE1"/>
    <w:rsid w:val="00327DDB"/>
    <w:rsid w:val="00327E01"/>
    <w:rsid w:val="00327E62"/>
    <w:rsid w:val="00327EBC"/>
    <w:rsid w:val="00327FAC"/>
    <w:rsid w:val="00330098"/>
    <w:rsid w:val="003300C3"/>
    <w:rsid w:val="003300EA"/>
    <w:rsid w:val="0033012E"/>
    <w:rsid w:val="00330181"/>
    <w:rsid w:val="003301E9"/>
    <w:rsid w:val="003302A6"/>
    <w:rsid w:val="0033033B"/>
    <w:rsid w:val="00330382"/>
    <w:rsid w:val="003303B5"/>
    <w:rsid w:val="00330439"/>
    <w:rsid w:val="003304CB"/>
    <w:rsid w:val="00330532"/>
    <w:rsid w:val="0033072D"/>
    <w:rsid w:val="00330778"/>
    <w:rsid w:val="003308E9"/>
    <w:rsid w:val="00330B0C"/>
    <w:rsid w:val="00330C4F"/>
    <w:rsid w:val="00330C65"/>
    <w:rsid w:val="00330D2E"/>
    <w:rsid w:val="00330E2C"/>
    <w:rsid w:val="00331239"/>
    <w:rsid w:val="00331279"/>
    <w:rsid w:val="00331341"/>
    <w:rsid w:val="003313AE"/>
    <w:rsid w:val="0033141E"/>
    <w:rsid w:val="0033150C"/>
    <w:rsid w:val="0033150E"/>
    <w:rsid w:val="00331553"/>
    <w:rsid w:val="00331640"/>
    <w:rsid w:val="0033166F"/>
    <w:rsid w:val="0033171D"/>
    <w:rsid w:val="003317AB"/>
    <w:rsid w:val="0033184E"/>
    <w:rsid w:val="003318C3"/>
    <w:rsid w:val="00331B2E"/>
    <w:rsid w:val="00331D67"/>
    <w:rsid w:val="00331D7C"/>
    <w:rsid w:val="00331EBD"/>
    <w:rsid w:val="00331EFE"/>
    <w:rsid w:val="0033207A"/>
    <w:rsid w:val="003320EF"/>
    <w:rsid w:val="0033246C"/>
    <w:rsid w:val="00332490"/>
    <w:rsid w:val="003324E2"/>
    <w:rsid w:val="0033255C"/>
    <w:rsid w:val="00332734"/>
    <w:rsid w:val="0033279D"/>
    <w:rsid w:val="00332820"/>
    <w:rsid w:val="00332925"/>
    <w:rsid w:val="003329A8"/>
    <w:rsid w:val="00332A58"/>
    <w:rsid w:val="00332B24"/>
    <w:rsid w:val="00332C64"/>
    <w:rsid w:val="00332CEB"/>
    <w:rsid w:val="00332E57"/>
    <w:rsid w:val="00332EE2"/>
    <w:rsid w:val="00332EFE"/>
    <w:rsid w:val="00333051"/>
    <w:rsid w:val="00333077"/>
    <w:rsid w:val="00333086"/>
    <w:rsid w:val="003330DF"/>
    <w:rsid w:val="00333109"/>
    <w:rsid w:val="00333130"/>
    <w:rsid w:val="003331C1"/>
    <w:rsid w:val="00333279"/>
    <w:rsid w:val="00333321"/>
    <w:rsid w:val="003333A4"/>
    <w:rsid w:val="003335CE"/>
    <w:rsid w:val="003335EC"/>
    <w:rsid w:val="00333613"/>
    <w:rsid w:val="00333646"/>
    <w:rsid w:val="00333690"/>
    <w:rsid w:val="003336E3"/>
    <w:rsid w:val="0033373A"/>
    <w:rsid w:val="003338FC"/>
    <w:rsid w:val="003339CA"/>
    <w:rsid w:val="00333A2C"/>
    <w:rsid w:val="00333A31"/>
    <w:rsid w:val="00333A4F"/>
    <w:rsid w:val="00333BE2"/>
    <w:rsid w:val="00333C20"/>
    <w:rsid w:val="00333C27"/>
    <w:rsid w:val="00333D21"/>
    <w:rsid w:val="00333E38"/>
    <w:rsid w:val="00333EF1"/>
    <w:rsid w:val="00334019"/>
    <w:rsid w:val="00334026"/>
    <w:rsid w:val="003340AE"/>
    <w:rsid w:val="003340B1"/>
    <w:rsid w:val="00334134"/>
    <w:rsid w:val="00334143"/>
    <w:rsid w:val="003341C7"/>
    <w:rsid w:val="00334214"/>
    <w:rsid w:val="00334352"/>
    <w:rsid w:val="003343B2"/>
    <w:rsid w:val="003343DD"/>
    <w:rsid w:val="003346CA"/>
    <w:rsid w:val="0033472F"/>
    <w:rsid w:val="00334760"/>
    <w:rsid w:val="003349DA"/>
    <w:rsid w:val="00334B73"/>
    <w:rsid w:val="00334BBC"/>
    <w:rsid w:val="00334BC6"/>
    <w:rsid w:val="00334D66"/>
    <w:rsid w:val="00334EA0"/>
    <w:rsid w:val="00334F1D"/>
    <w:rsid w:val="00335111"/>
    <w:rsid w:val="00335153"/>
    <w:rsid w:val="003351F5"/>
    <w:rsid w:val="00335201"/>
    <w:rsid w:val="00335221"/>
    <w:rsid w:val="003352F6"/>
    <w:rsid w:val="003354AA"/>
    <w:rsid w:val="00335511"/>
    <w:rsid w:val="00335631"/>
    <w:rsid w:val="00335AD4"/>
    <w:rsid w:val="00335B33"/>
    <w:rsid w:val="00335BAB"/>
    <w:rsid w:val="00335CE4"/>
    <w:rsid w:val="00335EA7"/>
    <w:rsid w:val="00335EFC"/>
    <w:rsid w:val="00335F13"/>
    <w:rsid w:val="00335FF4"/>
    <w:rsid w:val="00336172"/>
    <w:rsid w:val="00336363"/>
    <w:rsid w:val="003365CB"/>
    <w:rsid w:val="00336635"/>
    <w:rsid w:val="00336682"/>
    <w:rsid w:val="003367F7"/>
    <w:rsid w:val="0033680E"/>
    <w:rsid w:val="0033686C"/>
    <w:rsid w:val="00336A67"/>
    <w:rsid w:val="00336B8E"/>
    <w:rsid w:val="00336C92"/>
    <w:rsid w:val="00336D5E"/>
    <w:rsid w:val="00336F6A"/>
    <w:rsid w:val="0033716F"/>
    <w:rsid w:val="00337211"/>
    <w:rsid w:val="00337278"/>
    <w:rsid w:val="0033743D"/>
    <w:rsid w:val="0033747D"/>
    <w:rsid w:val="00337496"/>
    <w:rsid w:val="00337510"/>
    <w:rsid w:val="0033756D"/>
    <w:rsid w:val="003376DE"/>
    <w:rsid w:val="003376DF"/>
    <w:rsid w:val="003377C5"/>
    <w:rsid w:val="00337822"/>
    <w:rsid w:val="0033789A"/>
    <w:rsid w:val="003379EA"/>
    <w:rsid w:val="00337A6F"/>
    <w:rsid w:val="00337A9D"/>
    <w:rsid w:val="00337B3C"/>
    <w:rsid w:val="00337C5B"/>
    <w:rsid w:val="00337D5A"/>
    <w:rsid w:val="00337E29"/>
    <w:rsid w:val="00337EB5"/>
    <w:rsid w:val="00337EBA"/>
    <w:rsid w:val="0034022E"/>
    <w:rsid w:val="00340405"/>
    <w:rsid w:val="00340582"/>
    <w:rsid w:val="003405F5"/>
    <w:rsid w:val="0034060E"/>
    <w:rsid w:val="00340625"/>
    <w:rsid w:val="00340728"/>
    <w:rsid w:val="00340789"/>
    <w:rsid w:val="003407B3"/>
    <w:rsid w:val="0034095B"/>
    <w:rsid w:val="00340970"/>
    <w:rsid w:val="00340979"/>
    <w:rsid w:val="003409EA"/>
    <w:rsid w:val="00340AC2"/>
    <w:rsid w:val="00340B9F"/>
    <w:rsid w:val="00340C5C"/>
    <w:rsid w:val="00340D4F"/>
    <w:rsid w:val="00340E05"/>
    <w:rsid w:val="003410D4"/>
    <w:rsid w:val="00341110"/>
    <w:rsid w:val="0034128F"/>
    <w:rsid w:val="00341399"/>
    <w:rsid w:val="003413DD"/>
    <w:rsid w:val="00341533"/>
    <w:rsid w:val="0034156B"/>
    <w:rsid w:val="003415DA"/>
    <w:rsid w:val="00341679"/>
    <w:rsid w:val="003416B5"/>
    <w:rsid w:val="003416F3"/>
    <w:rsid w:val="003417AE"/>
    <w:rsid w:val="003417E8"/>
    <w:rsid w:val="00341A6E"/>
    <w:rsid w:val="00341AF2"/>
    <w:rsid w:val="00341C97"/>
    <w:rsid w:val="00341CAA"/>
    <w:rsid w:val="00341DDF"/>
    <w:rsid w:val="00341DFD"/>
    <w:rsid w:val="00341E8D"/>
    <w:rsid w:val="00341F99"/>
    <w:rsid w:val="00341FCF"/>
    <w:rsid w:val="00342010"/>
    <w:rsid w:val="003421DD"/>
    <w:rsid w:val="0034225E"/>
    <w:rsid w:val="00342286"/>
    <w:rsid w:val="003424F4"/>
    <w:rsid w:val="00342849"/>
    <w:rsid w:val="003428A0"/>
    <w:rsid w:val="00342913"/>
    <w:rsid w:val="00342B2B"/>
    <w:rsid w:val="00342B3F"/>
    <w:rsid w:val="00342C01"/>
    <w:rsid w:val="00342C8B"/>
    <w:rsid w:val="00342D8F"/>
    <w:rsid w:val="00342E8D"/>
    <w:rsid w:val="00342EAA"/>
    <w:rsid w:val="00342F24"/>
    <w:rsid w:val="00342F67"/>
    <w:rsid w:val="00342F8D"/>
    <w:rsid w:val="00343017"/>
    <w:rsid w:val="00343185"/>
    <w:rsid w:val="003431A3"/>
    <w:rsid w:val="00343283"/>
    <w:rsid w:val="003432CF"/>
    <w:rsid w:val="00343331"/>
    <w:rsid w:val="0034362C"/>
    <w:rsid w:val="00343684"/>
    <w:rsid w:val="003436C9"/>
    <w:rsid w:val="0034372D"/>
    <w:rsid w:val="00343796"/>
    <w:rsid w:val="003437AF"/>
    <w:rsid w:val="00343909"/>
    <w:rsid w:val="00343917"/>
    <w:rsid w:val="00343A12"/>
    <w:rsid w:val="00343A44"/>
    <w:rsid w:val="00343A9A"/>
    <w:rsid w:val="00343BCC"/>
    <w:rsid w:val="00343C6C"/>
    <w:rsid w:val="00343D74"/>
    <w:rsid w:val="00343F5E"/>
    <w:rsid w:val="00343F8D"/>
    <w:rsid w:val="00343FCA"/>
    <w:rsid w:val="00343FD9"/>
    <w:rsid w:val="00343FE4"/>
    <w:rsid w:val="0034405E"/>
    <w:rsid w:val="003441D2"/>
    <w:rsid w:val="003441E2"/>
    <w:rsid w:val="0034426C"/>
    <w:rsid w:val="0034443C"/>
    <w:rsid w:val="003444A9"/>
    <w:rsid w:val="00344566"/>
    <w:rsid w:val="0034465B"/>
    <w:rsid w:val="0034470E"/>
    <w:rsid w:val="0034476F"/>
    <w:rsid w:val="00344781"/>
    <w:rsid w:val="003447CE"/>
    <w:rsid w:val="003447E6"/>
    <w:rsid w:val="00344878"/>
    <w:rsid w:val="003449D9"/>
    <w:rsid w:val="003449FA"/>
    <w:rsid w:val="00344AD2"/>
    <w:rsid w:val="00344B36"/>
    <w:rsid w:val="00344D56"/>
    <w:rsid w:val="00344D7F"/>
    <w:rsid w:val="00344E1F"/>
    <w:rsid w:val="0034500F"/>
    <w:rsid w:val="0034506F"/>
    <w:rsid w:val="003450CE"/>
    <w:rsid w:val="0034517E"/>
    <w:rsid w:val="003451FB"/>
    <w:rsid w:val="00345238"/>
    <w:rsid w:val="003452A5"/>
    <w:rsid w:val="003453A0"/>
    <w:rsid w:val="0034545C"/>
    <w:rsid w:val="00345471"/>
    <w:rsid w:val="003454CA"/>
    <w:rsid w:val="00345508"/>
    <w:rsid w:val="0034551C"/>
    <w:rsid w:val="0034558D"/>
    <w:rsid w:val="003456C6"/>
    <w:rsid w:val="003457B0"/>
    <w:rsid w:val="003457FA"/>
    <w:rsid w:val="0034583A"/>
    <w:rsid w:val="00345A7B"/>
    <w:rsid w:val="00345B3B"/>
    <w:rsid w:val="00345CB6"/>
    <w:rsid w:val="00345D90"/>
    <w:rsid w:val="00345E28"/>
    <w:rsid w:val="00346038"/>
    <w:rsid w:val="003460B2"/>
    <w:rsid w:val="00346158"/>
    <w:rsid w:val="00346194"/>
    <w:rsid w:val="003462D0"/>
    <w:rsid w:val="003463F8"/>
    <w:rsid w:val="003464E9"/>
    <w:rsid w:val="003465E5"/>
    <w:rsid w:val="00346650"/>
    <w:rsid w:val="00346793"/>
    <w:rsid w:val="003468B9"/>
    <w:rsid w:val="003469AD"/>
    <w:rsid w:val="00346A2E"/>
    <w:rsid w:val="00346B90"/>
    <w:rsid w:val="00346B99"/>
    <w:rsid w:val="00346C21"/>
    <w:rsid w:val="00346C93"/>
    <w:rsid w:val="00346D51"/>
    <w:rsid w:val="00346DE2"/>
    <w:rsid w:val="00346E81"/>
    <w:rsid w:val="00346F47"/>
    <w:rsid w:val="00346F81"/>
    <w:rsid w:val="00346FA1"/>
    <w:rsid w:val="0034704F"/>
    <w:rsid w:val="003470B1"/>
    <w:rsid w:val="0034714D"/>
    <w:rsid w:val="00347161"/>
    <w:rsid w:val="00347181"/>
    <w:rsid w:val="00347199"/>
    <w:rsid w:val="00347289"/>
    <w:rsid w:val="00347413"/>
    <w:rsid w:val="0034743E"/>
    <w:rsid w:val="0034765D"/>
    <w:rsid w:val="003476B1"/>
    <w:rsid w:val="003476CB"/>
    <w:rsid w:val="0034770C"/>
    <w:rsid w:val="00347727"/>
    <w:rsid w:val="00347925"/>
    <w:rsid w:val="00347AD0"/>
    <w:rsid w:val="00347AEF"/>
    <w:rsid w:val="00347BD2"/>
    <w:rsid w:val="00347C1B"/>
    <w:rsid w:val="00347CE9"/>
    <w:rsid w:val="00347D27"/>
    <w:rsid w:val="00347E1E"/>
    <w:rsid w:val="0035008C"/>
    <w:rsid w:val="003500B8"/>
    <w:rsid w:val="003500F2"/>
    <w:rsid w:val="003501CA"/>
    <w:rsid w:val="003502C4"/>
    <w:rsid w:val="0035032F"/>
    <w:rsid w:val="003503CB"/>
    <w:rsid w:val="00350486"/>
    <w:rsid w:val="003504CF"/>
    <w:rsid w:val="0035054C"/>
    <w:rsid w:val="00350580"/>
    <w:rsid w:val="003505DA"/>
    <w:rsid w:val="00350662"/>
    <w:rsid w:val="00350861"/>
    <w:rsid w:val="0035095A"/>
    <w:rsid w:val="00350968"/>
    <w:rsid w:val="003509F7"/>
    <w:rsid w:val="00350AA7"/>
    <w:rsid w:val="00350B0C"/>
    <w:rsid w:val="00350B59"/>
    <w:rsid w:val="00350BB7"/>
    <w:rsid w:val="00350BC7"/>
    <w:rsid w:val="00350C27"/>
    <w:rsid w:val="00350D8C"/>
    <w:rsid w:val="00350F21"/>
    <w:rsid w:val="00350FEE"/>
    <w:rsid w:val="003510B6"/>
    <w:rsid w:val="00351134"/>
    <w:rsid w:val="0035119E"/>
    <w:rsid w:val="003511F0"/>
    <w:rsid w:val="0035121B"/>
    <w:rsid w:val="00351323"/>
    <w:rsid w:val="00351330"/>
    <w:rsid w:val="00351373"/>
    <w:rsid w:val="003513F6"/>
    <w:rsid w:val="00351469"/>
    <w:rsid w:val="003515D2"/>
    <w:rsid w:val="003515D9"/>
    <w:rsid w:val="0035165A"/>
    <w:rsid w:val="003516EE"/>
    <w:rsid w:val="0035180E"/>
    <w:rsid w:val="00351902"/>
    <w:rsid w:val="00351A31"/>
    <w:rsid w:val="00351A4F"/>
    <w:rsid w:val="00351A84"/>
    <w:rsid w:val="00351AC7"/>
    <w:rsid w:val="00351AD5"/>
    <w:rsid w:val="00351AE8"/>
    <w:rsid w:val="00351B36"/>
    <w:rsid w:val="00351BDB"/>
    <w:rsid w:val="00351C4A"/>
    <w:rsid w:val="00351C73"/>
    <w:rsid w:val="00351CB1"/>
    <w:rsid w:val="00351CFA"/>
    <w:rsid w:val="00351F16"/>
    <w:rsid w:val="00351F37"/>
    <w:rsid w:val="00352030"/>
    <w:rsid w:val="00352072"/>
    <w:rsid w:val="003521CD"/>
    <w:rsid w:val="0035225E"/>
    <w:rsid w:val="00352269"/>
    <w:rsid w:val="003525B8"/>
    <w:rsid w:val="00352800"/>
    <w:rsid w:val="00352820"/>
    <w:rsid w:val="00352950"/>
    <w:rsid w:val="00352A08"/>
    <w:rsid w:val="00352A29"/>
    <w:rsid w:val="00352AE2"/>
    <w:rsid w:val="00352C2A"/>
    <w:rsid w:val="00352D7A"/>
    <w:rsid w:val="00352DE4"/>
    <w:rsid w:val="00352EC1"/>
    <w:rsid w:val="0035302F"/>
    <w:rsid w:val="003530A3"/>
    <w:rsid w:val="003532A2"/>
    <w:rsid w:val="003534B6"/>
    <w:rsid w:val="00353536"/>
    <w:rsid w:val="003535DD"/>
    <w:rsid w:val="00353618"/>
    <w:rsid w:val="00353663"/>
    <w:rsid w:val="00353679"/>
    <w:rsid w:val="003536F5"/>
    <w:rsid w:val="00353895"/>
    <w:rsid w:val="003538BC"/>
    <w:rsid w:val="00353A27"/>
    <w:rsid w:val="00353A2C"/>
    <w:rsid w:val="00353B4C"/>
    <w:rsid w:val="00353BAF"/>
    <w:rsid w:val="00353DF3"/>
    <w:rsid w:val="00354044"/>
    <w:rsid w:val="00354177"/>
    <w:rsid w:val="003541FB"/>
    <w:rsid w:val="003542AE"/>
    <w:rsid w:val="003542B1"/>
    <w:rsid w:val="00354327"/>
    <w:rsid w:val="003543C9"/>
    <w:rsid w:val="003546FA"/>
    <w:rsid w:val="0035479A"/>
    <w:rsid w:val="0035493C"/>
    <w:rsid w:val="00354B34"/>
    <w:rsid w:val="00354CC8"/>
    <w:rsid w:val="00354E7F"/>
    <w:rsid w:val="00354E83"/>
    <w:rsid w:val="00354ED9"/>
    <w:rsid w:val="00354F47"/>
    <w:rsid w:val="00354F68"/>
    <w:rsid w:val="003550F7"/>
    <w:rsid w:val="00355107"/>
    <w:rsid w:val="00355123"/>
    <w:rsid w:val="0035532C"/>
    <w:rsid w:val="0035533B"/>
    <w:rsid w:val="00355386"/>
    <w:rsid w:val="00355575"/>
    <w:rsid w:val="0035557A"/>
    <w:rsid w:val="003557C4"/>
    <w:rsid w:val="00355814"/>
    <w:rsid w:val="0035590A"/>
    <w:rsid w:val="00355A30"/>
    <w:rsid w:val="00355AEE"/>
    <w:rsid w:val="00355BA9"/>
    <w:rsid w:val="00355C03"/>
    <w:rsid w:val="00355C85"/>
    <w:rsid w:val="00355CE7"/>
    <w:rsid w:val="00355E06"/>
    <w:rsid w:val="00355E72"/>
    <w:rsid w:val="00355F20"/>
    <w:rsid w:val="0035603F"/>
    <w:rsid w:val="003561EA"/>
    <w:rsid w:val="00356205"/>
    <w:rsid w:val="003562A4"/>
    <w:rsid w:val="003563EC"/>
    <w:rsid w:val="00356401"/>
    <w:rsid w:val="0035657C"/>
    <w:rsid w:val="003567D0"/>
    <w:rsid w:val="00356955"/>
    <w:rsid w:val="00356987"/>
    <w:rsid w:val="003569ED"/>
    <w:rsid w:val="00356AB1"/>
    <w:rsid w:val="00356BF2"/>
    <w:rsid w:val="00356C36"/>
    <w:rsid w:val="00356CBF"/>
    <w:rsid w:val="00356CC4"/>
    <w:rsid w:val="00356CD9"/>
    <w:rsid w:val="00356D4B"/>
    <w:rsid w:val="00356DA8"/>
    <w:rsid w:val="00356EA8"/>
    <w:rsid w:val="00356F8C"/>
    <w:rsid w:val="00356FA9"/>
    <w:rsid w:val="00356FAC"/>
    <w:rsid w:val="00357097"/>
    <w:rsid w:val="003570C7"/>
    <w:rsid w:val="0035719E"/>
    <w:rsid w:val="0035723F"/>
    <w:rsid w:val="003572CF"/>
    <w:rsid w:val="003574A2"/>
    <w:rsid w:val="0035769C"/>
    <w:rsid w:val="003576AD"/>
    <w:rsid w:val="0035779F"/>
    <w:rsid w:val="0035792E"/>
    <w:rsid w:val="00357974"/>
    <w:rsid w:val="003579DC"/>
    <w:rsid w:val="003579EB"/>
    <w:rsid w:val="00357A0F"/>
    <w:rsid w:val="00357B7F"/>
    <w:rsid w:val="00357C08"/>
    <w:rsid w:val="00357D67"/>
    <w:rsid w:val="00357DF3"/>
    <w:rsid w:val="00357E05"/>
    <w:rsid w:val="00357E29"/>
    <w:rsid w:val="00357F57"/>
    <w:rsid w:val="0036001A"/>
    <w:rsid w:val="0036020D"/>
    <w:rsid w:val="00360216"/>
    <w:rsid w:val="0036024E"/>
    <w:rsid w:val="003602E2"/>
    <w:rsid w:val="00360442"/>
    <w:rsid w:val="0036051A"/>
    <w:rsid w:val="00360540"/>
    <w:rsid w:val="003605FF"/>
    <w:rsid w:val="003606BA"/>
    <w:rsid w:val="00360763"/>
    <w:rsid w:val="0036081C"/>
    <w:rsid w:val="0036083C"/>
    <w:rsid w:val="003609DF"/>
    <w:rsid w:val="00360B3C"/>
    <w:rsid w:val="00360B99"/>
    <w:rsid w:val="00360C26"/>
    <w:rsid w:val="00360C54"/>
    <w:rsid w:val="00360D33"/>
    <w:rsid w:val="00360DA6"/>
    <w:rsid w:val="00360F84"/>
    <w:rsid w:val="00360FDC"/>
    <w:rsid w:val="0036105F"/>
    <w:rsid w:val="003610BB"/>
    <w:rsid w:val="0036122C"/>
    <w:rsid w:val="00361313"/>
    <w:rsid w:val="00361376"/>
    <w:rsid w:val="003613DF"/>
    <w:rsid w:val="0036144D"/>
    <w:rsid w:val="00361543"/>
    <w:rsid w:val="0036156C"/>
    <w:rsid w:val="00361616"/>
    <w:rsid w:val="0036167E"/>
    <w:rsid w:val="003617CD"/>
    <w:rsid w:val="0036188B"/>
    <w:rsid w:val="003619D8"/>
    <w:rsid w:val="00361A09"/>
    <w:rsid w:val="00361BB7"/>
    <w:rsid w:val="00361C31"/>
    <w:rsid w:val="00361CCC"/>
    <w:rsid w:val="00361DB8"/>
    <w:rsid w:val="00362011"/>
    <w:rsid w:val="00362106"/>
    <w:rsid w:val="003621DC"/>
    <w:rsid w:val="003621FA"/>
    <w:rsid w:val="00362252"/>
    <w:rsid w:val="003623CB"/>
    <w:rsid w:val="00362488"/>
    <w:rsid w:val="00362496"/>
    <w:rsid w:val="0036261D"/>
    <w:rsid w:val="003626D0"/>
    <w:rsid w:val="003626EF"/>
    <w:rsid w:val="0036274F"/>
    <w:rsid w:val="00362889"/>
    <w:rsid w:val="0036288F"/>
    <w:rsid w:val="003628D3"/>
    <w:rsid w:val="00362964"/>
    <w:rsid w:val="0036297D"/>
    <w:rsid w:val="003629C1"/>
    <w:rsid w:val="00362A7C"/>
    <w:rsid w:val="00362AC4"/>
    <w:rsid w:val="00362CF1"/>
    <w:rsid w:val="00362D47"/>
    <w:rsid w:val="00362D4A"/>
    <w:rsid w:val="00362DF6"/>
    <w:rsid w:val="00362DFF"/>
    <w:rsid w:val="00362F1E"/>
    <w:rsid w:val="00363063"/>
    <w:rsid w:val="0036325F"/>
    <w:rsid w:val="00363284"/>
    <w:rsid w:val="00363306"/>
    <w:rsid w:val="00363404"/>
    <w:rsid w:val="00363436"/>
    <w:rsid w:val="0036349E"/>
    <w:rsid w:val="003635B7"/>
    <w:rsid w:val="003635EE"/>
    <w:rsid w:val="00363600"/>
    <w:rsid w:val="003636AA"/>
    <w:rsid w:val="0036379C"/>
    <w:rsid w:val="003637A9"/>
    <w:rsid w:val="00363824"/>
    <w:rsid w:val="00363854"/>
    <w:rsid w:val="003638EB"/>
    <w:rsid w:val="0036393D"/>
    <w:rsid w:val="003639F2"/>
    <w:rsid w:val="00363A18"/>
    <w:rsid w:val="00363A1C"/>
    <w:rsid w:val="00363AE9"/>
    <w:rsid w:val="00363BA7"/>
    <w:rsid w:val="00363C65"/>
    <w:rsid w:val="00363E42"/>
    <w:rsid w:val="00363E49"/>
    <w:rsid w:val="00363E60"/>
    <w:rsid w:val="00363EB5"/>
    <w:rsid w:val="00363FFD"/>
    <w:rsid w:val="00364057"/>
    <w:rsid w:val="0036418B"/>
    <w:rsid w:val="00364207"/>
    <w:rsid w:val="0036425A"/>
    <w:rsid w:val="003643D6"/>
    <w:rsid w:val="003643F5"/>
    <w:rsid w:val="00364503"/>
    <w:rsid w:val="003646A6"/>
    <w:rsid w:val="003647C4"/>
    <w:rsid w:val="0036485F"/>
    <w:rsid w:val="003648B1"/>
    <w:rsid w:val="003649A5"/>
    <w:rsid w:val="00364A7D"/>
    <w:rsid w:val="00364B0D"/>
    <w:rsid w:val="00364CAF"/>
    <w:rsid w:val="00364D3D"/>
    <w:rsid w:val="00364E65"/>
    <w:rsid w:val="00364ED0"/>
    <w:rsid w:val="00364F28"/>
    <w:rsid w:val="00365027"/>
    <w:rsid w:val="00365097"/>
    <w:rsid w:val="0036522B"/>
    <w:rsid w:val="00365240"/>
    <w:rsid w:val="003652DF"/>
    <w:rsid w:val="00365317"/>
    <w:rsid w:val="00365318"/>
    <w:rsid w:val="00365395"/>
    <w:rsid w:val="003653A6"/>
    <w:rsid w:val="003654B5"/>
    <w:rsid w:val="003656FA"/>
    <w:rsid w:val="00365706"/>
    <w:rsid w:val="0036573A"/>
    <w:rsid w:val="00365826"/>
    <w:rsid w:val="0036589A"/>
    <w:rsid w:val="003658A0"/>
    <w:rsid w:val="003658E5"/>
    <w:rsid w:val="00365A16"/>
    <w:rsid w:val="00365A57"/>
    <w:rsid w:val="00365AEA"/>
    <w:rsid w:val="00365B17"/>
    <w:rsid w:val="00365B7C"/>
    <w:rsid w:val="00365BEA"/>
    <w:rsid w:val="00365C7C"/>
    <w:rsid w:val="00365D11"/>
    <w:rsid w:val="00365D3D"/>
    <w:rsid w:val="00365E14"/>
    <w:rsid w:val="00365E67"/>
    <w:rsid w:val="00366059"/>
    <w:rsid w:val="003660E5"/>
    <w:rsid w:val="0036610A"/>
    <w:rsid w:val="0036624B"/>
    <w:rsid w:val="003664D2"/>
    <w:rsid w:val="00366578"/>
    <w:rsid w:val="0036657B"/>
    <w:rsid w:val="00366657"/>
    <w:rsid w:val="00366865"/>
    <w:rsid w:val="003668A0"/>
    <w:rsid w:val="003669E0"/>
    <w:rsid w:val="00366A48"/>
    <w:rsid w:val="00366AB0"/>
    <w:rsid w:val="00366B7E"/>
    <w:rsid w:val="00366FC8"/>
    <w:rsid w:val="003670F7"/>
    <w:rsid w:val="0036711B"/>
    <w:rsid w:val="003671B9"/>
    <w:rsid w:val="00367228"/>
    <w:rsid w:val="0036724D"/>
    <w:rsid w:val="00367421"/>
    <w:rsid w:val="00367521"/>
    <w:rsid w:val="00367688"/>
    <w:rsid w:val="0036778F"/>
    <w:rsid w:val="003678BB"/>
    <w:rsid w:val="003678E6"/>
    <w:rsid w:val="00367AE0"/>
    <w:rsid w:val="00367AF8"/>
    <w:rsid w:val="00367AFF"/>
    <w:rsid w:val="00367B3D"/>
    <w:rsid w:val="00367B53"/>
    <w:rsid w:val="00367C35"/>
    <w:rsid w:val="00367D80"/>
    <w:rsid w:val="00367DC8"/>
    <w:rsid w:val="00367DD4"/>
    <w:rsid w:val="00367E21"/>
    <w:rsid w:val="00367E5D"/>
    <w:rsid w:val="00367F2B"/>
    <w:rsid w:val="00367FBA"/>
    <w:rsid w:val="0037000C"/>
    <w:rsid w:val="003701B3"/>
    <w:rsid w:val="003701DB"/>
    <w:rsid w:val="003702FC"/>
    <w:rsid w:val="00370300"/>
    <w:rsid w:val="003703CF"/>
    <w:rsid w:val="0037046E"/>
    <w:rsid w:val="003704D6"/>
    <w:rsid w:val="0037053C"/>
    <w:rsid w:val="00370950"/>
    <w:rsid w:val="00370969"/>
    <w:rsid w:val="00370A35"/>
    <w:rsid w:val="00370A40"/>
    <w:rsid w:val="00370AB5"/>
    <w:rsid w:val="00370C38"/>
    <w:rsid w:val="00370CB6"/>
    <w:rsid w:val="00370D0C"/>
    <w:rsid w:val="00370D7A"/>
    <w:rsid w:val="00370E21"/>
    <w:rsid w:val="00370EA7"/>
    <w:rsid w:val="00370F43"/>
    <w:rsid w:val="00370F4D"/>
    <w:rsid w:val="00371080"/>
    <w:rsid w:val="003710BD"/>
    <w:rsid w:val="003710C1"/>
    <w:rsid w:val="00371183"/>
    <w:rsid w:val="003711AC"/>
    <w:rsid w:val="0037120F"/>
    <w:rsid w:val="0037127F"/>
    <w:rsid w:val="0037136F"/>
    <w:rsid w:val="0037137F"/>
    <w:rsid w:val="003713D2"/>
    <w:rsid w:val="00371521"/>
    <w:rsid w:val="0037154C"/>
    <w:rsid w:val="003715DD"/>
    <w:rsid w:val="00371661"/>
    <w:rsid w:val="003717A5"/>
    <w:rsid w:val="00371B67"/>
    <w:rsid w:val="00371B7D"/>
    <w:rsid w:val="00371BC4"/>
    <w:rsid w:val="00371C97"/>
    <w:rsid w:val="00371D69"/>
    <w:rsid w:val="00371E5C"/>
    <w:rsid w:val="00371E96"/>
    <w:rsid w:val="00371EA1"/>
    <w:rsid w:val="00371EE1"/>
    <w:rsid w:val="00371F9B"/>
    <w:rsid w:val="00371FF6"/>
    <w:rsid w:val="0037217E"/>
    <w:rsid w:val="003721DC"/>
    <w:rsid w:val="00372203"/>
    <w:rsid w:val="00372254"/>
    <w:rsid w:val="003722D5"/>
    <w:rsid w:val="00372357"/>
    <w:rsid w:val="003723CC"/>
    <w:rsid w:val="003723D7"/>
    <w:rsid w:val="00372492"/>
    <w:rsid w:val="00372516"/>
    <w:rsid w:val="003725C8"/>
    <w:rsid w:val="00372647"/>
    <w:rsid w:val="003729AA"/>
    <w:rsid w:val="003729CA"/>
    <w:rsid w:val="00372AB7"/>
    <w:rsid w:val="00372B29"/>
    <w:rsid w:val="00372B9D"/>
    <w:rsid w:val="00372BCB"/>
    <w:rsid w:val="00372C39"/>
    <w:rsid w:val="00372C93"/>
    <w:rsid w:val="00372E7F"/>
    <w:rsid w:val="00372F16"/>
    <w:rsid w:val="00372FDD"/>
    <w:rsid w:val="00373001"/>
    <w:rsid w:val="00373071"/>
    <w:rsid w:val="00373075"/>
    <w:rsid w:val="003730C1"/>
    <w:rsid w:val="003730D6"/>
    <w:rsid w:val="00373132"/>
    <w:rsid w:val="00373433"/>
    <w:rsid w:val="00373658"/>
    <w:rsid w:val="003736B6"/>
    <w:rsid w:val="00373729"/>
    <w:rsid w:val="003737A8"/>
    <w:rsid w:val="00373957"/>
    <w:rsid w:val="00373A6D"/>
    <w:rsid w:val="00373BEC"/>
    <w:rsid w:val="00373BFF"/>
    <w:rsid w:val="00373C92"/>
    <w:rsid w:val="00373D41"/>
    <w:rsid w:val="00373D66"/>
    <w:rsid w:val="00373DD2"/>
    <w:rsid w:val="00373E89"/>
    <w:rsid w:val="00373EF0"/>
    <w:rsid w:val="00373EF7"/>
    <w:rsid w:val="00373F25"/>
    <w:rsid w:val="00373FBE"/>
    <w:rsid w:val="00374060"/>
    <w:rsid w:val="00374070"/>
    <w:rsid w:val="003743D8"/>
    <w:rsid w:val="003744AA"/>
    <w:rsid w:val="003745BF"/>
    <w:rsid w:val="003746D4"/>
    <w:rsid w:val="0037477E"/>
    <w:rsid w:val="0037479E"/>
    <w:rsid w:val="003748CD"/>
    <w:rsid w:val="003748FE"/>
    <w:rsid w:val="00374901"/>
    <w:rsid w:val="0037492D"/>
    <w:rsid w:val="00374AB2"/>
    <w:rsid w:val="00374B19"/>
    <w:rsid w:val="00374C77"/>
    <w:rsid w:val="00374CAD"/>
    <w:rsid w:val="00374D65"/>
    <w:rsid w:val="00374E29"/>
    <w:rsid w:val="00374E93"/>
    <w:rsid w:val="00374EEB"/>
    <w:rsid w:val="00374F04"/>
    <w:rsid w:val="00374F21"/>
    <w:rsid w:val="00374F25"/>
    <w:rsid w:val="00374F61"/>
    <w:rsid w:val="00374FA4"/>
    <w:rsid w:val="00375141"/>
    <w:rsid w:val="003752C4"/>
    <w:rsid w:val="00375338"/>
    <w:rsid w:val="00375351"/>
    <w:rsid w:val="0037536D"/>
    <w:rsid w:val="003753FC"/>
    <w:rsid w:val="00375459"/>
    <w:rsid w:val="003754C4"/>
    <w:rsid w:val="0037551D"/>
    <w:rsid w:val="0037562D"/>
    <w:rsid w:val="0037575C"/>
    <w:rsid w:val="00375809"/>
    <w:rsid w:val="003759EB"/>
    <w:rsid w:val="00375BA4"/>
    <w:rsid w:val="00375C5E"/>
    <w:rsid w:val="00375CBF"/>
    <w:rsid w:val="00375EFC"/>
    <w:rsid w:val="00375F27"/>
    <w:rsid w:val="00375F5C"/>
    <w:rsid w:val="003760D2"/>
    <w:rsid w:val="003761F1"/>
    <w:rsid w:val="00376207"/>
    <w:rsid w:val="003763BD"/>
    <w:rsid w:val="0037646F"/>
    <w:rsid w:val="003764A4"/>
    <w:rsid w:val="0037657C"/>
    <w:rsid w:val="0037659B"/>
    <w:rsid w:val="003765A3"/>
    <w:rsid w:val="003765A6"/>
    <w:rsid w:val="0037665B"/>
    <w:rsid w:val="00376674"/>
    <w:rsid w:val="003766BB"/>
    <w:rsid w:val="0037698D"/>
    <w:rsid w:val="003769DF"/>
    <w:rsid w:val="00376A60"/>
    <w:rsid w:val="00376C55"/>
    <w:rsid w:val="00376C58"/>
    <w:rsid w:val="00376E05"/>
    <w:rsid w:val="00376F13"/>
    <w:rsid w:val="00376FF8"/>
    <w:rsid w:val="003770C4"/>
    <w:rsid w:val="00377104"/>
    <w:rsid w:val="003771B3"/>
    <w:rsid w:val="00377223"/>
    <w:rsid w:val="00377299"/>
    <w:rsid w:val="003773CC"/>
    <w:rsid w:val="0037740D"/>
    <w:rsid w:val="0037761B"/>
    <w:rsid w:val="0037776C"/>
    <w:rsid w:val="0037777D"/>
    <w:rsid w:val="003777A2"/>
    <w:rsid w:val="00377919"/>
    <w:rsid w:val="0037793C"/>
    <w:rsid w:val="00377A61"/>
    <w:rsid w:val="00377D74"/>
    <w:rsid w:val="00377EFE"/>
    <w:rsid w:val="00377F3D"/>
    <w:rsid w:val="0038021D"/>
    <w:rsid w:val="00380260"/>
    <w:rsid w:val="0038026B"/>
    <w:rsid w:val="003802BF"/>
    <w:rsid w:val="0038034C"/>
    <w:rsid w:val="003803DA"/>
    <w:rsid w:val="00380493"/>
    <w:rsid w:val="003804A0"/>
    <w:rsid w:val="003805C8"/>
    <w:rsid w:val="003805F5"/>
    <w:rsid w:val="00380750"/>
    <w:rsid w:val="003807F6"/>
    <w:rsid w:val="00380944"/>
    <w:rsid w:val="003809BC"/>
    <w:rsid w:val="00380A36"/>
    <w:rsid w:val="00380AEE"/>
    <w:rsid w:val="00380B3B"/>
    <w:rsid w:val="00380CD6"/>
    <w:rsid w:val="00380D6B"/>
    <w:rsid w:val="00380D7B"/>
    <w:rsid w:val="00380E80"/>
    <w:rsid w:val="00381048"/>
    <w:rsid w:val="003812A7"/>
    <w:rsid w:val="0038132D"/>
    <w:rsid w:val="0038139C"/>
    <w:rsid w:val="00381453"/>
    <w:rsid w:val="00381796"/>
    <w:rsid w:val="00381851"/>
    <w:rsid w:val="003818D6"/>
    <w:rsid w:val="0038197C"/>
    <w:rsid w:val="00381992"/>
    <w:rsid w:val="00381A4B"/>
    <w:rsid w:val="00381D43"/>
    <w:rsid w:val="00381EE3"/>
    <w:rsid w:val="00381EF6"/>
    <w:rsid w:val="00382109"/>
    <w:rsid w:val="00382233"/>
    <w:rsid w:val="003822E7"/>
    <w:rsid w:val="00382424"/>
    <w:rsid w:val="0038243B"/>
    <w:rsid w:val="00382551"/>
    <w:rsid w:val="003825B1"/>
    <w:rsid w:val="00382676"/>
    <w:rsid w:val="003826DC"/>
    <w:rsid w:val="003826F3"/>
    <w:rsid w:val="003828CF"/>
    <w:rsid w:val="00382928"/>
    <w:rsid w:val="00382967"/>
    <w:rsid w:val="00382A89"/>
    <w:rsid w:val="00382B5A"/>
    <w:rsid w:val="00382C33"/>
    <w:rsid w:val="00382C5F"/>
    <w:rsid w:val="00382D05"/>
    <w:rsid w:val="00382FE0"/>
    <w:rsid w:val="00383149"/>
    <w:rsid w:val="003831E0"/>
    <w:rsid w:val="003832C2"/>
    <w:rsid w:val="003832CC"/>
    <w:rsid w:val="00383509"/>
    <w:rsid w:val="0038350A"/>
    <w:rsid w:val="00383561"/>
    <w:rsid w:val="00383594"/>
    <w:rsid w:val="003835CA"/>
    <w:rsid w:val="003837CC"/>
    <w:rsid w:val="003837EC"/>
    <w:rsid w:val="00383810"/>
    <w:rsid w:val="00383A52"/>
    <w:rsid w:val="00383A9A"/>
    <w:rsid w:val="00383BC6"/>
    <w:rsid w:val="00383C11"/>
    <w:rsid w:val="00383C5C"/>
    <w:rsid w:val="00383CA3"/>
    <w:rsid w:val="00383D94"/>
    <w:rsid w:val="00383E7B"/>
    <w:rsid w:val="00383EAC"/>
    <w:rsid w:val="00383EF0"/>
    <w:rsid w:val="00383F75"/>
    <w:rsid w:val="0038400D"/>
    <w:rsid w:val="00384026"/>
    <w:rsid w:val="003840FF"/>
    <w:rsid w:val="003842EA"/>
    <w:rsid w:val="00384542"/>
    <w:rsid w:val="00384559"/>
    <w:rsid w:val="003845C6"/>
    <w:rsid w:val="00384645"/>
    <w:rsid w:val="003846AA"/>
    <w:rsid w:val="003846D4"/>
    <w:rsid w:val="0038473E"/>
    <w:rsid w:val="003847BF"/>
    <w:rsid w:val="003848A1"/>
    <w:rsid w:val="00384931"/>
    <w:rsid w:val="003849C4"/>
    <w:rsid w:val="003849E8"/>
    <w:rsid w:val="003849EC"/>
    <w:rsid w:val="00384A61"/>
    <w:rsid w:val="00384A9D"/>
    <w:rsid w:val="00384AB8"/>
    <w:rsid w:val="00384B36"/>
    <w:rsid w:val="00384B43"/>
    <w:rsid w:val="00384BE2"/>
    <w:rsid w:val="00384BEB"/>
    <w:rsid w:val="00384CAB"/>
    <w:rsid w:val="00384DB8"/>
    <w:rsid w:val="00384E24"/>
    <w:rsid w:val="00384E9C"/>
    <w:rsid w:val="00385048"/>
    <w:rsid w:val="003850DA"/>
    <w:rsid w:val="00385150"/>
    <w:rsid w:val="003852FC"/>
    <w:rsid w:val="003853BE"/>
    <w:rsid w:val="00385557"/>
    <w:rsid w:val="00385723"/>
    <w:rsid w:val="003857B2"/>
    <w:rsid w:val="003857E7"/>
    <w:rsid w:val="003857EE"/>
    <w:rsid w:val="00385860"/>
    <w:rsid w:val="00385865"/>
    <w:rsid w:val="00385875"/>
    <w:rsid w:val="00385A1A"/>
    <w:rsid w:val="00385A5A"/>
    <w:rsid w:val="00385AB9"/>
    <w:rsid w:val="00385B0D"/>
    <w:rsid w:val="00385B60"/>
    <w:rsid w:val="00385C03"/>
    <w:rsid w:val="00385C66"/>
    <w:rsid w:val="00385C80"/>
    <w:rsid w:val="00385CE8"/>
    <w:rsid w:val="00385D2D"/>
    <w:rsid w:val="00385E48"/>
    <w:rsid w:val="00385FAB"/>
    <w:rsid w:val="00385FB2"/>
    <w:rsid w:val="00385FD5"/>
    <w:rsid w:val="0038645A"/>
    <w:rsid w:val="003864BD"/>
    <w:rsid w:val="00386620"/>
    <w:rsid w:val="003866EC"/>
    <w:rsid w:val="00386705"/>
    <w:rsid w:val="00386797"/>
    <w:rsid w:val="003867E8"/>
    <w:rsid w:val="0038687F"/>
    <w:rsid w:val="00386AA8"/>
    <w:rsid w:val="00386C6C"/>
    <w:rsid w:val="00386CA9"/>
    <w:rsid w:val="00386DEB"/>
    <w:rsid w:val="00386E07"/>
    <w:rsid w:val="00386EF1"/>
    <w:rsid w:val="00386F6E"/>
    <w:rsid w:val="00386FAF"/>
    <w:rsid w:val="00387018"/>
    <w:rsid w:val="00387152"/>
    <w:rsid w:val="003871B9"/>
    <w:rsid w:val="0038725C"/>
    <w:rsid w:val="0038733D"/>
    <w:rsid w:val="00387382"/>
    <w:rsid w:val="00387392"/>
    <w:rsid w:val="003873A6"/>
    <w:rsid w:val="003873AE"/>
    <w:rsid w:val="00387529"/>
    <w:rsid w:val="00387552"/>
    <w:rsid w:val="0038758D"/>
    <w:rsid w:val="00387686"/>
    <w:rsid w:val="00387697"/>
    <w:rsid w:val="0038770F"/>
    <w:rsid w:val="003877FF"/>
    <w:rsid w:val="00387905"/>
    <w:rsid w:val="00387AB4"/>
    <w:rsid w:val="00387B55"/>
    <w:rsid w:val="00387BA6"/>
    <w:rsid w:val="00387C6D"/>
    <w:rsid w:val="00387D05"/>
    <w:rsid w:val="00387E52"/>
    <w:rsid w:val="00387EC8"/>
    <w:rsid w:val="00390006"/>
    <w:rsid w:val="0039001A"/>
    <w:rsid w:val="003902EA"/>
    <w:rsid w:val="00390307"/>
    <w:rsid w:val="00390328"/>
    <w:rsid w:val="00390379"/>
    <w:rsid w:val="0039044D"/>
    <w:rsid w:val="003904B9"/>
    <w:rsid w:val="003904D6"/>
    <w:rsid w:val="00390530"/>
    <w:rsid w:val="003905B8"/>
    <w:rsid w:val="00390653"/>
    <w:rsid w:val="003906F9"/>
    <w:rsid w:val="00390751"/>
    <w:rsid w:val="003908C5"/>
    <w:rsid w:val="00390994"/>
    <w:rsid w:val="003909C1"/>
    <w:rsid w:val="00390AA3"/>
    <w:rsid w:val="00390AC9"/>
    <w:rsid w:val="00390B6C"/>
    <w:rsid w:val="00390B85"/>
    <w:rsid w:val="00390BEC"/>
    <w:rsid w:val="00390BED"/>
    <w:rsid w:val="00390C3D"/>
    <w:rsid w:val="00390DA9"/>
    <w:rsid w:val="00390ED1"/>
    <w:rsid w:val="00390F2C"/>
    <w:rsid w:val="0039114F"/>
    <w:rsid w:val="003911A5"/>
    <w:rsid w:val="00391234"/>
    <w:rsid w:val="003912B1"/>
    <w:rsid w:val="003913DF"/>
    <w:rsid w:val="0039165F"/>
    <w:rsid w:val="003916A1"/>
    <w:rsid w:val="00391711"/>
    <w:rsid w:val="00391739"/>
    <w:rsid w:val="0039173D"/>
    <w:rsid w:val="00391815"/>
    <w:rsid w:val="00391869"/>
    <w:rsid w:val="00391872"/>
    <w:rsid w:val="0039187E"/>
    <w:rsid w:val="003918AE"/>
    <w:rsid w:val="00391A36"/>
    <w:rsid w:val="00391A6B"/>
    <w:rsid w:val="00391AA3"/>
    <w:rsid w:val="00392053"/>
    <w:rsid w:val="003921E9"/>
    <w:rsid w:val="003923D2"/>
    <w:rsid w:val="00392442"/>
    <w:rsid w:val="0039254C"/>
    <w:rsid w:val="00392617"/>
    <w:rsid w:val="0039265A"/>
    <w:rsid w:val="003927BB"/>
    <w:rsid w:val="003927CD"/>
    <w:rsid w:val="0039294F"/>
    <w:rsid w:val="003929DA"/>
    <w:rsid w:val="00392A48"/>
    <w:rsid w:val="00392A4D"/>
    <w:rsid w:val="00392E44"/>
    <w:rsid w:val="00392FD7"/>
    <w:rsid w:val="00393035"/>
    <w:rsid w:val="003930C2"/>
    <w:rsid w:val="003930C5"/>
    <w:rsid w:val="003931F9"/>
    <w:rsid w:val="003932FE"/>
    <w:rsid w:val="00393366"/>
    <w:rsid w:val="00393369"/>
    <w:rsid w:val="0039336C"/>
    <w:rsid w:val="0039347D"/>
    <w:rsid w:val="003934FE"/>
    <w:rsid w:val="0039350B"/>
    <w:rsid w:val="00393555"/>
    <w:rsid w:val="003936D4"/>
    <w:rsid w:val="00393755"/>
    <w:rsid w:val="003937D1"/>
    <w:rsid w:val="00393843"/>
    <w:rsid w:val="003939CF"/>
    <w:rsid w:val="00393A6B"/>
    <w:rsid w:val="00393B54"/>
    <w:rsid w:val="00393B75"/>
    <w:rsid w:val="00393B88"/>
    <w:rsid w:val="00393C3C"/>
    <w:rsid w:val="00393D6D"/>
    <w:rsid w:val="00393DC0"/>
    <w:rsid w:val="00393E42"/>
    <w:rsid w:val="00393FA9"/>
    <w:rsid w:val="00393FDC"/>
    <w:rsid w:val="00394056"/>
    <w:rsid w:val="003940F7"/>
    <w:rsid w:val="00394187"/>
    <w:rsid w:val="0039422F"/>
    <w:rsid w:val="003942FE"/>
    <w:rsid w:val="00394357"/>
    <w:rsid w:val="00394395"/>
    <w:rsid w:val="0039442F"/>
    <w:rsid w:val="00394437"/>
    <w:rsid w:val="00394457"/>
    <w:rsid w:val="003945D2"/>
    <w:rsid w:val="0039467E"/>
    <w:rsid w:val="00394698"/>
    <w:rsid w:val="003946CE"/>
    <w:rsid w:val="003946DE"/>
    <w:rsid w:val="00394A87"/>
    <w:rsid w:val="00394A9F"/>
    <w:rsid w:val="00394B3C"/>
    <w:rsid w:val="00394B59"/>
    <w:rsid w:val="00394C98"/>
    <w:rsid w:val="00394CD5"/>
    <w:rsid w:val="00394D36"/>
    <w:rsid w:val="00394F0E"/>
    <w:rsid w:val="00394F29"/>
    <w:rsid w:val="00394F96"/>
    <w:rsid w:val="00394FD1"/>
    <w:rsid w:val="0039508B"/>
    <w:rsid w:val="003950BF"/>
    <w:rsid w:val="00395179"/>
    <w:rsid w:val="0039518C"/>
    <w:rsid w:val="003952AA"/>
    <w:rsid w:val="003955AD"/>
    <w:rsid w:val="00395640"/>
    <w:rsid w:val="00395701"/>
    <w:rsid w:val="003957B1"/>
    <w:rsid w:val="00395862"/>
    <w:rsid w:val="00395922"/>
    <w:rsid w:val="00395A01"/>
    <w:rsid w:val="00395AA1"/>
    <w:rsid w:val="00395BE4"/>
    <w:rsid w:val="00395C6C"/>
    <w:rsid w:val="00395CFE"/>
    <w:rsid w:val="00395D2D"/>
    <w:rsid w:val="00395DEC"/>
    <w:rsid w:val="00395E98"/>
    <w:rsid w:val="00395EEF"/>
    <w:rsid w:val="00395EF2"/>
    <w:rsid w:val="00395F20"/>
    <w:rsid w:val="00395FA8"/>
    <w:rsid w:val="00395FE2"/>
    <w:rsid w:val="003960A1"/>
    <w:rsid w:val="003960AB"/>
    <w:rsid w:val="003961EC"/>
    <w:rsid w:val="00396203"/>
    <w:rsid w:val="0039621E"/>
    <w:rsid w:val="00396262"/>
    <w:rsid w:val="00396414"/>
    <w:rsid w:val="0039648E"/>
    <w:rsid w:val="003964A9"/>
    <w:rsid w:val="003964C4"/>
    <w:rsid w:val="003965D9"/>
    <w:rsid w:val="003965DC"/>
    <w:rsid w:val="003965F5"/>
    <w:rsid w:val="00396653"/>
    <w:rsid w:val="00396917"/>
    <w:rsid w:val="00396980"/>
    <w:rsid w:val="003969D0"/>
    <w:rsid w:val="00396B69"/>
    <w:rsid w:val="00396BE0"/>
    <w:rsid w:val="00396C23"/>
    <w:rsid w:val="00396C4B"/>
    <w:rsid w:val="00396C8C"/>
    <w:rsid w:val="00396DAF"/>
    <w:rsid w:val="00396E5D"/>
    <w:rsid w:val="00396EC5"/>
    <w:rsid w:val="00396F6D"/>
    <w:rsid w:val="00396F97"/>
    <w:rsid w:val="00397007"/>
    <w:rsid w:val="00397082"/>
    <w:rsid w:val="00397332"/>
    <w:rsid w:val="0039733C"/>
    <w:rsid w:val="0039736E"/>
    <w:rsid w:val="003973E0"/>
    <w:rsid w:val="003974AF"/>
    <w:rsid w:val="003974F3"/>
    <w:rsid w:val="00397584"/>
    <w:rsid w:val="003976DE"/>
    <w:rsid w:val="0039789B"/>
    <w:rsid w:val="00397977"/>
    <w:rsid w:val="00397C81"/>
    <w:rsid w:val="00397D00"/>
    <w:rsid w:val="00397D7C"/>
    <w:rsid w:val="00397DDE"/>
    <w:rsid w:val="00397E96"/>
    <w:rsid w:val="00397F6F"/>
    <w:rsid w:val="00397F7D"/>
    <w:rsid w:val="00397FF8"/>
    <w:rsid w:val="003A0046"/>
    <w:rsid w:val="003A00F0"/>
    <w:rsid w:val="003A015E"/>
    <w:rsid w:val="003A023C"/>
    <w:rsid w:val="003A0240"/>
    <w:rsid w:val="003A0384"/>
    <w:rsid w:val="003A04BB"/>
    <w:rsid w:val="003A0573"/>
    <w:rsid w:val="003A0670"/>
    <w:rsid w:val="003A06AE"/>
    <w:rsid w:val="003A0753"/>
    <w:rsid w:val="003A07CA"/>
    <w:rsid w:val="003A081F"/>
    <w:rsid w:val="003A0828"/>
    <w:rsid w:val="003A0923"/>
    <w:rsid w:val="003A0A7D"/>
    <w:rsid w:val="003A0D99"/>
    <w:rsid w:val="003A0E67"/>
    <w:rsid w:val="003A0F1A"/>
    <w:rsid w:val="003A0FC1"/>
    <w:rsid w:val="003A0FD2"/>
    <w:rsid w:val="003A1224"/>
    <w:rsid w:val="003A12AA"/>
    <w:rsid w:val="003A12AF"/>
    <w:rsid w:val="003A134C"/>
    <w:rsid w:val="003A1368"/>
    <w:rsid w:val="003A137E"/>
    <w:rsid w:val="003A13CB"/>
    <w:rsid w:val="003A1500"/>
    <w:rsid w:val="003A1515"/>
    <w:rsid w:val="003A15AF"/>
    <w:rsid w:val="003A15E2"/>
    <w:rsid w:val="003A15F9"/>
    <w:rsid w:val="003A16E1"/>
    <w:rsid w:val="003A17AB"/>
    <w:rsid w:val="003A17BF"/>
    <w:rsid w:val="003A17C4"/>
    <w:rsid w:val="003A17D4"/>
    <w:rsid w:val="003A17FB"/>
    <w:rsid w:val="003A18D5"/>
    <w:rsid w:val="003A1932"/>
    <w:rsid w:val="003A1B10"/>
    <w:rsid w:val="003A1B8E"/>
    <w:rsid w:val="003A1B9A"/>
    <w:rsid w:val="003A1BE0"/>
    <w:rsid w:val="003A1CC5"/>
    <w:rsid w:val="003A1CF9"/>
    <w:rsid w:val="003A1D4C"/>
    <w:rsid w:val="003A1E2A"/>
    <w:rsid w:val="003A1F03"/>
    <w:rsid w:val="003A1FAA"/>
    <w:rsid w:val="003A20BD"/>
    <w:rsid w:val="003A20C0"/>
    <w:rsid w:val="003A20EC"/>
    <w:rsid w:val="003A21AF"/>
    <w:rsid w:val="003A21B0"/>
    <w:rsid w:val="003A229D"/>
    <w:rsid w:val="003A2748"/>
    <w:rsid w:val="003A27E5"/>
    <w:rsid w:val="003A2834"/>
    <w:rsid w:val="003A295E"/>
    <w:rsid w:val="003A2999"/>
    <w:rsid w:val="003A29D8"/>
    <w:rsid w:val="003A2B45"/>
    <w:rsid w:val="003A2B5A"/>
    <w:rsid w:val="003A2CB8"/>
    <w:rsid w:val="003A2CFF"/>
    <w:rsid w:val="003A2D05"/>
    <w:rsid w:val="003A2D11"/>
    <w:rsid w:val="003A3045"/>
    <w:rsid w:val="003A30F3"/>
    <w:rsid w:val="003A317B"/>
    <w:rsid w:val="003A322F"/>
    <w:rsid w:val="003A3237"/>
    <w:rsid w:val="003A3315"/>
    <w:rsid w:val="003A3328"/>
    <w:rsid w:val="003A340D"/>
    <w:rsid w:val="003A3719"/>
    <w:rsid w:val="003A39B7"/>
    <w:rsid w:val="003A39CF"/>
    <w:rsid w:val="003A3A35"/>
    <w:rsid w:val="003A3B61"/>
    <w:rsid w:val="003A413D"/>
    <w:rsid w:val="003A4144"/>
    <w:rsid w:val="003A41AF"/>
    <w:rsid w:val="003A4353"/>
    <w:rsid w:val="003A4472"/>
    <w:rsid w:val="003A45D7"/>
    <w:rsid w:val="003A46C9"/>
    <w:rsid w:val="003A46CC"/>
    <w:rsid w:val="003A47B7"/>
    <w:rsid w:val="003A482B"/>
    <w:rsid w:val="003A4844"/>
    <w:rsid w:val="003A4929"/>
    <w:rsid w:val="003A4981"/>
    <w:rsid w:val="003A4AF2"/>
    <w:rsid w:val="003A4BD0"/>
    <w:rsid w:val="003A4BE6"/>
    <w:rsid w:val="003A4D30"/>
    <w:rsid w:val="003A4DBA"/>
    <w:rsid w:val="003A4FC3"/>
    <w:rsid w:val="003A51B9"/>
    <w:rsid w:val="003A521B"/>
    <w:rsid w:val="003A525B"/>
    <w:rsid w:val="003A536F"/>
    <w:rsid w:val="003A5375"/>
    <w:rsid w:val="003A541D"/>
    <w:rsid w:val="003A5456"/>
    <w:rsid w:val="003A54BD"/>
    <w:rsid w:val="003A555D"/>
    <w:rsid w:val="003A5623"/>
    <w:rsid w:val="003A5686"/>
    <w:rsid w:val="003A5827"/>
    <w:rsid w:val="003A583C"/>
    <w:rsid w:val="003A5846"/>
    <w:rsid w:val="003A5969"/>
    <w:rsid w:val="003A59CD"/>
    <w:rsid w:val="003A59F1"/>
    <w:rsid w:val="003A5A41"/>
    <w:rsid w:val="003A5A47"/>
    <w:rsid w:val="003A5AA6"/>
    <w:rsid w:val="003A5B84"/>
    <w:rsid w:val="003A5C63"/>
    <w:rsid w:val="003A5D04"/>
    <w:rsid w:val="003A5DDC"/>
    <w:rsid w:val="003A5E96"/>
    <w:rsid w:val="003A5EAF"/>
    <w:rsid w:val="003A5F28"/>
    <w:rsid w:val="003A6102"/>
    <w:rsid w:val="003A62AC"/>
    <w:rsid w:val="003A62B2"/>
    <w:rsid w:val="003A639A"/>
    <w:rsid w:val="003A64E0"/>
    <w:rsid w:val="003A6555"/>
    <w:rsid w:val="003A65AC"/>
    <w:rsid w:val="003A665F"/>
    <w:rsid w:val="003A66E8"/>
    <w:rsid w:val="003A672D"/>
    <w:rsid w:val="003A6990"/>
    <w:rsid w:val="003A6B61"/>
    <w:rsid w:val="003A6BB6"/>
    <w:rsid w:val="003A6D7D"/>
    <w:rsid w:val="003A6E47"/>
    <w:rsid w:val="003A6EC8"/>
    <w:rsid w:val="003A7001"/>
    <w:rsid w:val="003A7067"/>
    <w:rsid w:val="003A70D0"/>
    <w:rsid w:val="003A713F"/>
    <w:rsid w:val="003A733D"/>
    <w:rsid w:val="003A7342"/>
    <w:rsid w:val="003A740B"/>
    <w:rsid w:val="003A7583"/>
    <w:rsid w:val="003A7649"/>
    <w:rsid w:val="003A770C"/>
    <w:rsid w:val="003A77AD"/>
    <w:rsid w:val="003A7903"/>
    <w:rsid w:val="003A791A"/>
    <w:rsid w:val="003A7947"/>
    <w:rsid w:val="003A79CC"/>
    <w:rsid w:val="003A7A27"/>
    <w:rsid w:val="003A7AFC"/>
    <w:rsid w:val="003A7BA4"/>
    <w:rsid w:val="003A7BF9"/>
    <w:rsid w:val="003A7D68"/>
    <w:rsid w:val="003A7DCF"/>
    <w:rsid w:val="003A7E0B"/>
    <w:rsid w:val="003A7E31"/>
    <w:rsid w:val="003A7E75"/>
    <w:rsid w:val="003A7ED3"/>
    <w:rsid w:val="003A7EF4"/>
    <w:rsid w:val="003A7F9E"/>
    <w:rsid w:val="003A7FE9"/>
    <w:rsid w:val="003B000A"/>
    <w:rsid w:val="003B00EF"/>
    <w:rsid w:val="003B0373"/>
    <w:rsid w:val="003B04C7"/>
    <w:rsid w:val="003B0767"/>
    <w:rsid w:val="003B08C7"/>
    <w:rsid w:val="003B096A"/>
    <w:rsid w:val="003B0982"/>
    <w:rsid w:val="003B0991"/>
    <w:rsid w:val="003B0A3B"/>
    <w:rsid w:val="003B0AEF"/>
    <w:rsid w:val="003B0B20"/>
    <w:rsid w:val="003B0B75"/>
    <w:rsid w:val="003B0BAE"/>
    <w:rsid w:val="003B0C98"/>
    <w:rsid w:val="003B0DCC"/>
    <w:rsid w:val="003B0DF1"/>
    <w:rsid w:val="003B0EDB"/>
    <w:rsid w:val="003B0F52"/>
    <w:rsid w:val="003B0F97"/>
    <w:rsid w:val="003B104A"/>
    <w:rsid w:val="003B1091"/>
    <w:rsid w:val="003B109F"/>
    <w:rsid w:val="003B1103"/>
    <w:rsid w:val="003B1307"/>
    <w:rsid w:val="003B145E"/>
    <w:rsid w:val="003B14C2"/>
    <w:rsid w:val="003B15A6"/>
    <w:rsid w:val="003B18CB"/>
    <w:rsid w:val="003B1AC9"/>
    <w:rsid w:val="003B1B4C"/>
    <w:rsid w:val="003B1E71"/>
    <w:rsid w:val="003B1ECA"/>
    <w:rsid w:val="003B1F22"/>
    <w:rsid w:val="003B2138"/>
    <w:rsid w:val="003B217B"/>
    <w:rsid w:val="003B227C"/>
    <w:rsid w:val="003B22D0"/>
    <w:rsid w:val="003B2342"/>
    <w:rsid w:val="003B25CC"/>
    <w:rsid w:val="003B268C"/>
    <w:rsid w:val="003B26CC"/>
    <w:rsid w:val="003B2718"/>
    <w:rsid w:val="003B2730"/>
    <w:rsid w:val="003B28C3"/>
    <w:rsid w:val="003B29DA"/>
    <w:rsid w:val="003B2A7C"/>
    <w:rsid w:val="003B2CA0"/>
    <w:rsid w:val="003B2E20"/>
    <w:rsid w:val="003B3078"/>
    <w:rsid w:val="003B307C"/>
    <w:rsid w:val="003B309C"/>
    <w:rsid w:val="003B314F"/>
    <w:rsid w:val="003B31D6"/>
    <w:rsid w:val="003B337D"/>
    <w:rsid w:val="003B3427"/>
    <w:rsid w:val="003B352F"/>
    <w:rsid w:val="003B35AD"/>
    <w:rsid w:val="003B360D"/>
    <w:rsid w:val="003B3674"/>
    <w:rsid w:val="003B37E1"/>
    <w:rsid w:val="003B3818"/>
    <w:rsid w:val="003B3828"/>
    <w:rsid w:val="003B38EE"/>
    <w:rsid w:val="003B3924"/>
    <w:rsid w:val="003B3A42"/>
    <w:rsid w:val="003B3A53"/>
    <w:rsid w:val="003B3B19"/>
    <w:rsid w:val="003B3B1E"/>
    <w:rsid w:val="003B3C0A"/>
    <w:rsid w:val="003B3D78"/>
    <w:rsid w:val="003B3E97"/>
    <w:rsid w:val="003B3EB9"/>
    <w:rsid w:val="003B3F11"/>
    <w:rsid w:val="003B3FDB"/>
    <w:rsid w:val="003B4005"/>
    <w:rsid w:val="003B4198"/>
    <w:rsid w:val="003B41C0"/>
    <w:rsid w:val="003B420F"/>
    <w:rsid w:val="003B4378"/>
    <w:rsid w:val="003B440A"/>
    <w:rsid w:val="003B45C5"/>
    <w:rsid w:val="003B4612"/>
    <w:rsid w:val="003B47EF"/>
    <w:rsid w:val="003B497B"/>
    <w:rsid w:val="003B4AD1"/>
    <w:rsid w:val="003B4B19"/>
    <w:rsid w:val="003B4CF0"/>
    <w:rsid w:val="003B4D00"/>
    <w:rsid w:val="003B4DA7"/>
    <w:rsid w:val="003B4DFB"/>
    <w:rsid w:val="003B4E2A"/>
    <w:rsid w:val="003B4E58"/>
    <w:rsid w:val="003B4EB8"/>
    <w:rsid w:val="003B4F05"/>
    <w:rsid w:val="003B501F"/>
    <w:rsid w:val="003B503B"/>
    <w:rsid w:val="003B504C"/>
    <w:rsid w:val="003B505A"/>
    <w:rsid w:val="003B511C"/>
    <w:rsid w:val="003B518F"/>
    <w:rsid w:val="003B529D"/>
    <w:rsid w:val="003B5312"/>
    <w:rsid w:val="003B5361"/>
    <w:rsid w:val="003B5363"/>
    <w:rsid w:val="003B5419"/>
    <w:rsid w:val="003B5443"/>
    <w:rsid w:val="003B5451"/>
    <w:rsid w:val="003B5498"/>
    <w:rsid w:val="003B551D"/>
    <w:rsid w:val="003B55D1"/>
    <w:rsid w:val="003B568D"/>
    <w:rsid w:val="003B573B"/>
    <w:rsid w:val="003B57AD"/>
    <w:rsid w:val="003B5829"/>
    <w:rsid w:val="003B589A"/>
    <w:rsid w:val="003B589E"/>
    <w:rsid w:val="003B58C2"/>
    <w:rsid w:val="003B58D1"/>
    <w:rsid w:val="003B5964"/>
    <w:rsid w:val="003B5A46"/>
    <w:rsid w:val="003B5B09"/>
    <w:rsid w:val="003B5B29"/>
    <w:rsid w:val="003B5B80"/>
    <w:rsid w:val="003B5BE7"/>
    <w:rsid w:val="003B5EFA"/>
    <w:rsid w:val="003B5F7A"/>
    <w:rsid w:val="003B5FF4"/>
    <w:rsid w:val="003B6089"/>
    <w:rsid w:val="003B60DB"/>
    <w:rsid w:val="003B6324"/>
    <w:rsid w:val="003B6337"/>
    <w:rsid w:val="003B6349"/>
    <w:rsid w:val="003B634F"/>
    <w:rsid w:val="003B638B"/>
    <w:rsid w:val="003B64AD"/>
    <w:rsid w:val="003B64F8"/>
    <w:rsid w:val="003B65AA"/>
    <w:rsid w:val="003B6638"/>
    <w:rsid w:val="003B6658"/>
    <w:rsid w:val="003B6694"/>
    <w:rsid w:val="003B66EF"/>
    <w:rsid w:val="003B673D"/>
    <w:rsid w:val="003B6760"/>
    <w:rsid w:val="003B6885"/>
    <w:rsid w:val="003B6937"/>
    <w:rsid w:val="003B694A"/>
    <w:rsid w:val="003B6962"/>
    <w:rsid w:val="003B6B6E"/>
    <w:rsid w:val="003B6B71"/>
    <w:rsid w:val="003B6BFC"/>
    <w:rsid w:val="003B6CB5"/>
    <w:rsid w:val="003B6E60"/>
    <w:rsid w:val="003B6F0B"/>
    <w:rsid w:val="003B6F9F"/>
    <w:rsid w:val="003B70FA"/>
    <w:rsid w:val="003B70FB"/>
    <w:rsid w:val="003B7113"/>
    <w:rsid w:val="003B7115"/>
    <w:rsid w:val="003B717F"/>
    <w:rsid w:val="003B725F"/>
    <w:rsid w:val="003B7274"/>
    <w:rsid w:val="003B7333"/>
    <w:rsid w:val="003B7395"/>
    <w:rsid w:val="003B73E0"/>
    <w:rsid w:val="003B743B"/>
    <w:rsid w:val="003B748B"/>
    <w:rsid w:val="003B75D3"/>
    <w:rsid w:val="003B76C4"/>
    <w:rsid w:val="003B773C"/>
    <w:rsid w:val="003B7797"/>
    <w:rsid w:val="003B796F"/>
    <w:rsid w:val="003B7A45"/>
    <w:rsid w:val="003B7BA2"/>
    <w:rsid w:val="003B7C3F"/>
    <w:rsid w:val="003B7C5D"/>
    <w:rsid w:val="003B7D5A"/>
    <w:rsid w:val="003B7ED5"/>
    <w:rsid w:val="003B7EDD"/>
    <w:rsid w:val="003B7EF7"/>
    <w:rsid w:val="003C0216"/>
    <w:rsid w:val="003C0435"/>
    <w:rsid w:val="003C04E3"/>
    <w:rsid w:val="003C0510"/>
    <w:rsid w:val="003C05D8"/>
    <w:rsid w:val="003C061E"/>
    <w:rsid w:val="003C06CF"/>
    <w:rsid w:val="003C078C"/>
    <w:rsid w:val="003C0814"/>
    <w:rsid w:val="003C0946"/>
    <w:rsid w:val="003C0AA8"/>
    <w:rsid w:val="003C0B91"/>
    <w:rsid w:val="003C0B9C"/>
    <w:rsid w:val="003C0C0C"/>
    <w:rsid w:val="003C0DD0"/>
    <w:rsid w:val="003C0E1E"/>
    <w:rsid w:val="003C0F5F"/>
    <w:rsid w:val="003C1162"/>
    <w:rsid w:val="003C117F"/>
    <w:rsid w:val="003C11DB"/>
    <w:rsid w:val="003C1268"/>
    <w:rsid w:val="003C132E"/>
    <w:rsid w:val="003C13BB"/>
    <w:rsid w:val="003C13D6"/>
    <w:rsid w:val="003C144C"/>
    <w:rsid w:val="003C16AD"/>
    <w:rsid w:val="003C1746"/>
    <w:rsid w:val="003C175F"/>
    <w:rsid w:val="003C17CC"/>
    <w:rsid w:val="003C1806"/>
    <w:rsid w:val="003C1992"/>
    <w:rsid w:val="003C1993"/>
    <w:rsid w:val="003C1CA2"/>
    <w:rsid w:val="003C1D27"/>
    <w:rsid w:val="003C1E58"/>
    <w:rsid w:val="003C1E8E"/>
    <w:rsid w:val="003C1ED4"/>
    <w:rsid w:val="003C1EDA"/>
    <w:rsid w:val="003C1F17"/>
    <w:rsid w:val="003C1FAB"/>
    <w:rsid w:val="003C1FDA"/>
    <w:rsid w:val="003C2127"/>
    <w:rsid w:val="003C2131"/>
    <w:rsid w:val="003C2154"/>
    <w:rsid w:val="003C2176"/>
    <w:rsid w:val="003C22F9"/>
    <w:rsid w:val="003C23D5"/>
    <w:rsid w:val="003C24A5"/>
    <w:rsid w:val="003C25BD"/>
    <w:rsid w:val="003C2606"/>
    <w:rsid w:val="003C262A"/>
    <w:rsid w:val="003C26FB"/>
    <w:rsid w:val="003C291C"/>
    <w:rsid w:val="003C2985"/>
    <w:rsid w:val="003C2A5F"/>
    <w:rsid w:val="003C2B80"/>
    <w:rsid w:val="003C2C73"/>
    <w:rsid w:val="003C2C80"/>
    <w:rsid w:val="003C2D85"/>
    <w:rsid w:val="003C2EB8"/>
    <w:rsid w:val="003C2FF6"/>
    <w:rsid w:val="003C3073"/>
    <w:rsid w:val="003C30CC"/>
    <w:rsid w:val="003C31A7"/>
    <w:rsid w:val="003C3342"/>
    <w:rsid w:val="003C33A3"/>
    <w:rsid w:val="003C3424"/>
    <w:rsid w:val="003C3446"/>
    <w:rsid w:val="003C3460"/>
    <w:rsid w:val="003C34B3"/>
    <w:rsid w:val="003C34F2"/>
    <w:rsid w:val="003C3505"/>
    <w:rsid w:val="003C373A"/>
    <w:rsid w:val="003C3770"/>
    <w:rsid w:val="003C3987"/>
    <w:rsid w:val="003C39F4"/>
    <w:rsid w:val="003C3A4C"/>
    <w:rsid w:val="003C3AF0"/>
    <w:rsid w:val="003C3AF4"/>
    <w:rsid w:val="003C3B80"/>
    <w:rsid w:val="003C3BDF"/>
    <w:rsid w:val="003C3C32"/>
    <w:rsid w:val="003C3C74"/>
    <w:rsid w:val="003C3DBA"/>
    <w:rsid w:val="003C4038"/>
    <w:rsid w:val="003C40A3"/>
    <w:rsid w:val="003C42EC"/>
    <w:rsid w:val="003C43E9"/>
    <w:rsid w:val="003C441C"/>
    <w:rsid w:val="003C4459"/>
    <w:rsid w:val="003C462D"/>
    <w:rsid w:val="003C473E"/>
    <w:rsid w:val="003C4990"/>
    <w:rsid w:val="003C4A24"/>
    <w:rsid w:val="003C4A25"/>
    <w:rsid w:val="003C4B19"/>
    <w:rsid w:val="003C4B2F"/>
    <w:rsid w:val="003C4B6B"/>
    <w:rsid w:val="003C4C09"/>
    <w:rsid w:val="003C4C1F"/>
    <w:rsid w:val="003C4C5C"/>
    <w:rsid w:val="003C4E42"/>
    <w:rsid w:val="003C5214"/>
    <w:rsid w:val="003C543E"/>
    <w:rsid w:val="003C5584"/>
    <w:rsid w:val="003C5607"/>
    <w:rsid w:val="003C567F"/>
    <w:rsid w:val="003C570B"/>
    <w:rsid w:val="003C5800"/>
    <w:rsid w:val="003C58AC"/>
    <w:rsid w:val="003C58BA"/>
    <w:rsid w:val="003C5939"/>
    <w:rsid w:val="003C597C"/>
    <w:rsid w:val="003C5995"/>
    <w:rsid w:val="003C59B8"/>
    <w:rsid w:val="003C5A6C"/>
    <w:rsid w:val="003C5F8B"/>
    <w:rsid w:val="003C605E"/>
    <w:rsid w:val="003C6111"/>
    <w:rsid w:val="003C641D"/>
    <w:rsid w:val="003C66C7"/>
    <w:rsid w:val="003C6711"/>
    <w:rsid w:val="003C683E"/>
    <w:rsid w:val="003C687F"/>
    <w:rsid w:val="003C6980"/>
    <w:rsid w:val="003C69CD"/>
    <w:rsid w:val="003C69D0"/>
    <w:rsid w:val="003C69EF"/>
    <w:rsid w:val="003C6A1B"/>
    <w:rsid w:val="003C6A9D"/>
    <w:rsid w:val="003C6B74"/>
    <w:rsid w:val="003C6D96"/>
    <w:rsid w:val="003C6D99"/>
    <w:rsid w:val="003C6DF7"/>
    <w:rsid w:val="003C6E48"/>
    <w:rsid w:val="003C6E81"/>
    <w:rsid w:val="003C6F8B"/>
    <w:rsid w:val="003C7122"/>
    <w:rsid w:val="003C72D1"/>
    <w:rsid w:val="003C73AB"/>
    <w:rsid w:val="003C7447"/>
    <w:rsid w:val="003C75A5"/>
    <w:rsid w:val="003C7619"/>
    <w:rsid w:val="003C768D"/>
    <w:rsid w:val="003C76D7"/>
    <w:rsid w:val="003C784E"/>
    <w:rsid w:val="003C7868"/>
    <w:rsid w:val="003C791B"/>
    <w:rsid w:val="003C7AFB"/>
    <w:rsid w:val="003C7C1A"/>
    <w:rsid w:val="003C7CD4"/>
    <w:rsid w:val="003C7D16"/>
    <w:rsid w:val="003C7D92"/>
    <w:rsid w:val="003C7D9F"/>
    <w:rsid w:val="003C7DC2"/>
    <w:rsid w:val="003C7E2C"/>
    <w:rsid w:val="003C7F32"/>
    <w:rsid w:val="003C7FC4"/>
    <w:rsid w:val="003D0068"/>
    <w:rsid w:val="003D0260"/>
    <w:rsid w:val="003D0396"/>
    <w:rsid w:val="003D0446"/>
    <w:rsid w:val="003D04A6"/>
    <w:rsid w:val="003D04CD"/>
    <w:rsid w:val="003D0553"/>
    <w:rsid w:val="003D060F"/>
    <w:rsid w:val="003D0653"/>
    <w:rsid w:val="003D066E"/>
    <w:rsid w:val="003D06A5"/>
    <w:rsid w:val="003D06F7"/>
    <w:rsid w:val="003D07C5"/>
    <w:rsid w:val="003D08B9"/>
    <w:rsid w:val="003D08F0"/>
    <w:rsid w:val="003D0B6B"/>
    <w:rsid w:val="003D0CA6"/>
    <w:rsid w:val="003D0F26"/>
    <w:rsid w:val="003D1031"/>
    <w:rsid w:val="003D11DA"/>
    <w:rsid w:val="003D1215"/>
    <w:rsid w:val="003D1298"/>
    <w:rsid w:val="003D12EF"/>
    <w:rsid w:val="003D1366"/>
    <w:rsid w:val="003D13BE"/>
    <w:rsid w:val="003D14F1"/>
    <w:rsid w:val="003D16BE"/>
    <w:rsid w:val="003D1706"/>
    <w:rsid w:val="003D1732"/>
    <w:rsid w:val="003D19B6"/>
    <w:rsid w:val="003D19FA"/>
    <w:rsid w:val="003D19FB"/>
    <w:rsid w:val="003D1A68"/>
    <w:rsid w:val="003D1AE1"/>
    <w:rsid w:val="003D1CD0"/>
    <w:rsid w:val="003D1DBA"/>
    <w:rsid w:val="003D1F3D"/>
    <w:rsid w:val="003D1FD9"/>
    <w:rsid w:val="003D2007"/>
    <w:rsid w:val="003D2009"/>
    <w:rsid w:val="003D2181"/>
    <w:rsid w:val="003D2285"/>
    <w:rsid w:val="003D22C5"/>
    <w:rsid w:val="003D22E4"/>
    <w:rsid w:val="003D233D"/>
    <w:rsid w:val="003D2358"/>
    <w:rsid w:val="003D2551"/>
    <w:rsid w:val="003D25BE"/>
    <w:rsid w:val="003D271C"/>
    <w:rsid w:val="003D29F4"/>
    <w:rsid w:val="003D2A7B"/>
    <w:rsid w:val="003D2A7F"/>
    <w:rsid w:val="003D2AE3"/>
    <w:rsid w:val="003D2B7E"/>
    <w:rsid w:val="003D2B81"/>
    <w:rsid w:val="003D2B8E"/>
    <w:rsid w:val="003D2F8B"/>
    <w:rsid w:val="003D2FC4"/>
    <w:rsid w:val="003D317B"/>
    <w:rsid w:val="003D33D4"/>
    <w:rsid w:val="003D350E"/>
    <w:rsid w:val="003D3537"/>
    <w:rsid w:val="003D35D6"/>
    <w:rsid w:val="003D3818"/>
    <w:rsid w:val="003D385B"/>
    <w:rsid w:val="003D3904"/>
    <w:rsid w:val="003D3913"/>
    <w:rsid w:val="003D396C"/>
    <w:rsid w:val="003D3B42"/>
    <w:rsid w:val="003D3BC4"/>
    <w:rsid w:val="003D3BF0"/>
    <w:rsid w:val="003D3C7E"/>
    <w:rsid w:val="003D3E8B"/>
    <w:rsid w:val="003D3ED6"/>
    <w:rsid w:val="003D3EDC"/>
    <w:rsid w:val="003D3F51"/>
    <w:rsid w:val="003D41FD"/>
    <w:rsid w:val="003D4266"/>
    <w:rsid w:val="003D44B4"/>
    <w:rsid w:val="003D4521"/>
    <w:rsid w:val="003D47AD"/>
    <w:rsid w:val="003D4832"/>
    <w:rsid w:val="003D495E"/>
    <w:rsid w:val="003D4B00"/>
    <w:rsid w:val="003D4B5D"/>
    <w:rsid w:val="003D4C01"/>
    <w:rsid w:val="003D4C3A"/>
    <w:rsid w:val="003D4D60"/>
    <w:rsid w:val="003D4DB5"/>
    <w:rsid w:val="003D4DC1"/>
    <w:rsid w:val="003D4DD7"/>
    <w:rsid w:val="003D4E7A"/>
    <w:rsid w:val="003D4FD0"/>
    <w:rsid w:val="003D5124"/>
    <w:rsid w:val="003D5164"/>
    <w:rsid w:val="003D52B9"/>
    <w:rsid w:val="003D5329"/>
    <w:rsid w:val="003D550B"/>
    <w:rsid w:val="003D5517"/>
    <w:rsid w:val="003D55F4"/>
    <w:rsid w:val="003D5674"/>
    <w:rsid w:val="003D57E4"/>
    <w:rsid w:val="003D586C"/>
    <w:rsid w:val="003D5878"/>
    <w:rsid w:val="003D591A"/>
    <w:rsid w:val="003D593B"/>
    <w:rsid w:val="003D59E6"/>
    <w:rsid w:val="003D5B12"/>
    <w:rsid w:val="003D5C7E"/>
    <w:rsid w:val="003D5C86"/>
    <w:rsid w:val="003D5CCE"/>
    <w:rsid w:val="003D5D7A"/>
    <w:rsid w:val="003D5E04"/>
    <w:rsid w:val="003D5E1B"/>
    <w:rsid w:val="003D5F21"/>
    <w:rsid w:val="003D5F84"/>
    <w:rsid w:val="003D5FA1"/>
    <w:rsid w:val="003D5FB9"/>
    <w:rsid w:val="003D6025"/>
    <w:rsid w:val="003D607E"/>
    <w:rsid w:val="003D60EB"/>
    <w:rsid w:val="003D622D"/>
    <w:rsid w:val="003D631B"/>
    <w:rsid w:val="003D63FB"/>
    <w:rsid w:val="003D65CB"/>
    <w:rsid w:val="003D66C3"/>
    <w:rsid w:val="003D66C9"/>
    <w:rsid w:val="003D66CB"/>
    <w:rsid w:val="003D6717"/>
    <w:rsid w:val="003D68B7"/>
    <w:rsid w:val="003D6A27"/>
    <w:rsid w:val="003D6BDF"/>
    <w:rsid w:val="003D6BE6"/>
    <w:rsid w:val="003D6D5E"/>
    <w:rsid w:val="003D6E3F"/>
    <w:rsid w:val="003D6F64"/>
    <w:rsid w:val="003D6F73"/>
    <w:rsid w:val="003D6FF0"/>
    <w:rsid w:val="003D7081"/>
    <w:rsid w:val="003D7217"/>
    <w:rsid w:val="003D72DE"/>
    <w:rsid w:val="003D74C6"/>
    <w:rsid w:val="003D764B"/>
    <w:rsid w:val="003D76F1"/>
    <w:rsid w:val="003D777B"/>
    <w:rsid w:val="003D77BC"/>
    <w:rsid w:val="003D7838"/>
    <w:rsid w:val="003D7892"/>
    <w:rsid w:val="003D7B27"/>
    <w:rsid w:val="003D7B78"/>
    <w:rsid w:val="003D7BFF"/>
    <w:rsid w:val="003D7C72"/>
    <w:rsid w:val="003D7D48"/>
    <w:rsid w:val="003D7D9E"/>
    <w:rsid w:val="003D7E1F"/>
    <w:rsid w:val="003D7E29"/>
    <w:rsid w:val="003D7EF0"/>
    <w:rsid w:val="003D7FF3"/>
    <w:rsid w:val="003E0197"/>
    <w:rsid w:val="003E031D"/>
    <w:rsid w:val="003E0384"/>
    <w:rsid w:val="003E03F4"/>
    <w:rsid w:val="003E0421"/>
    <w:rsid w:val="003E042A"/>
    <w:rsid w:val="003E0476"/>
    <w:rsid w:val="003E0523"/>
    <w:rsid w:val="003E0716"/>
    <w:rsid w:val="003E0856"/>
    <w:rsid w:val="003E085E"/>
    <w:rsid w:val="003E086F"/>
    <w:rsid w:val="003E0916"/>
    <w:rsid w:val="003E0945"/>
    <w:rsid w:val="003E0999"/>
    <w:rsid w:val="003E0B7E"/>
    <w:rsid w:val="003E0B9E"/>
    <w:rsid w:val="003E0C20"/>
    <w:rsid w:val="003E0CC5"/>
    <w:rsid w:val="003E0D97"/>
    <w:rsid w:val="003E0DCB"/>
    <w:rsid w:val="003E0E51"/>
    <w:rsid w:val="003E0E6E"/>
    <w:rsid w:val="003E0EF6"/>
    <w:rsid w:val="003E0F49"/>
    <w:rsid w:val="003E0FB3"/>
    <w:rsid w:val="003E1023"/>
    <w:rsid w:val="003E1063"/>
    <w:rsid w:val="003E112F"/>
    <w:rsid w:val="003E11F8"/>
    <w:rsid w:val="003E1323"/>
    <w:rsid w:val="003E1375"/>
    <w:rsid w:val="003E14CE"/>
    <w:rsid w:val="003E157F"/>
    <w:rsid w:val="003E1658"/>
    <w:rsid w:val="003E166E"/>
    <w:rsid w:val="003E16AD"/>
    <w:rsid w:val="003E1733"/>
    <w:rsid w:val="003E1794"/>
    <w:rsid w:val="003E19BE"/>
    <w:rsid w:val="003E1A5A"/>
    <w:rsid w:val="003E1A91"/>
    <w:rsid w:val="003E1AD7"/>
    <w:rsid w:val="003E1AE6"/>
    <w:rsid w:val="003E1B85"/>
    <w:rsid w:val="003E1C5E"/>
    <w:rsid w:val="003E1C6A"/>
    <w:rsid w:val="003E1CB0"/>
    <w:rsid w:val="003E1DA9"/>
    <w:rsid w:val="003E1F03"/>
    <w:rsid w:val="003E1FE8"/>
    <w:rsid w:val="003E2017"/>
    <w:rsid w:val="003E22C9"/>
    <w:rsid w:val="003E22FD"/>
    <w:rsid w:val="003E2345"/>
    <w:rsid w:val="003E238A"/>
    <w:rsid w:val="003E2431"/>
    <w:rsid w:val="003E24A8"/>
    <w:rsid w:val="003E2522"/>
    <w:rsid w:val="003E255B"/>
    <w:rsid w:val="003E258F"/>
    <w:rsid w:val="003E25A1"/>
    <w:rsid w:val="003E2653"/>
    <w:rsid w:val="003E26DF"/>
    <w:rsid w:val="003E2A82"/>
    <w:rsid w:val="003E2A86"/>
    <w:rsid w:val="003E2C20"/>
    <w:rsid w:val="003E2CBA"/>
    <w:rsid w:val="003E2CD1"/>
    <w:rsid w:val="003E2E21"/>
    <w:rsid w:val="003E2E30"/>
    <w:rsid w:val="003E2E36"/>
    <w:rsid w:val="003E2EA4"/>
    <w:rsid w:val="003E3083"/>
    <w:rsid w:val="003E308A"/>
    <w:rsid w:val="003E3214"/>
    <w:rsid w:val="003E3395"/>
    <w:rsid w:val="003E3539"/>
    <w:rsid w:val="003E35DB"/>
    <w:rsid w:val="003E3682"/>
    <w:rsid w:val="003E36A8"/>
    <w:rsid w:val="003E36AB"/>
    <w:rsid w:val="003E36C9"/>
    <w:rsid w:val="003E377E"/>
    <w:rsid w:val="003E37CE"/>
    <w:rsid w:val="003E3832"/>
    <w:rsid w:val="003E3854"/>
    <w:rsid w:val="003E388F"/>
    <w:rsid w:val="003E3891"/>
    <w:rsid w:val="003E38A6"/>
    <w:rsid w:val="003E398B"/>
    <w:rsid w:val="003E3A37"/>
    <w:rsid w:val="003E3A43"/>
    <w:rsid w:val="003E3D6C"/>
    <w:rsid w:val="003E3E5D"/>
    <w:rsid w:val="003E3E5E"/>
    <w:rsid w:val="003E3EDF"/>
    <w:rsid w:val="003E3F80"/>
    <w:rsid w:val="003E3F84"/>
    <w:rsid w:val="003E3FAD"/>
    <w:rsid w:val="003E401E"/>
    <w:rsid w:val="003E405E"/>
    <w:rsid w:val="003E4093"/>
    <w:rsid w:val="003E4117"/>
    <w:rsid w:val="003E418A"/>
    <w:rsid w:val="003E41F9"/>
    <w:rsid w:val="003E42AA"/>
    <w:rsid w:val="003E42E5"/>
    <w:rsid w:val="003E44E9"/>
    <w:rsid w:val="003E455E"/>
    <w:rsid w:val="003E45B6"/>
    <w:rsid w:val="003E45F2"/>
    <w:rsid w:val="003E4687"/>
    <w:rsid w:val="003E46B1"/>
    <w:rsid w:val="003E472D"/>
    <w:rsid w:val="003E4798"/>
    <w:rsid w:val="003E4874"/>
    <w:rsid w:val="003E4899"/>
    <w:rsid w:val="003E49BB"/>
    <w:rsid w:val="003E4BCC"/>
    <w:rsid w:val="003E4BD3"/>
    <w:rsid w:val="003E4E7F"/>
    <w:rsid w:val="003E4FD8"/>
    <w:rsid w:val="003E4FEE"/>
    <w:rsid w:val="003E5002"/>
    <w:rsid w:val="003E500C"/>
    <w:rsid w:val="003E50D7"/>
    <w:rsid w:val="003E522A"/>
    <w:rsid w:val="003E5256"/>
    <w:rsid w:val="003E52F2"/>
    <w:rsid w:val="003E549F"/>
    <w:rsid w:val="003E54AA"/>
    <w:rsid w:val="003E54B8"/>
    <w:rsid w:val="003E54FF"/>
    <w:rsid w:val="003E5523"/>
    <w:rsid w:val="003E5647"/>
    <w:rsid w:val="003E5696"/>
    <w:rsid w:val="003E5778"/>
    <w:rsid w:val="003E5801"/>
    <w:rsid w:val="003E58BB"/>
    <w:rsid w:val="003E5A93"/>
    <w:rsid w:val="003E5AB2"/>
    <w:rsid w:val="003E5BD2"/>
    <w:rsid w:val="003E5D1A"/>
    <w:rsid w:val="003E5DF6"/>
    <w:rsid w:val="003E5ED1"/>
    <w:rsid w:val="003E5FDB"/>
    <w:rsid w:val="003E5FFF"/>
    <w:rsid w:val="003E6013"/>
    <w:rsid w:val="003E6042"/>
    <w:rsid w:val="003E6080"/>
    <w:rsid w:val="003E60BD"/>
    <w:rsid w:val="003E60F3"/>
    <w:rsid w:val="003E615D"/>
    <w:rsid w:val="003E6234"/>
    <w:rsid w:val="003E6416"/>
    <w:rsid w:val="003E6423"/>
    <w:rsid w:val="003E64E4"/>
    <w:rsid w:val="003E6537"/>
    <w:rsid w:val="003E66A9"/>
    <w:rsid w:val="003E67BC"/>
    <w:rsid w:val="003E686A"/>
    <w:rsid w:val="003E694C"/>
    <w:rsid w:val="003E6A99"/>
    <w:rsid w:val="003E6AB4"/>
    <w:rsid w:val="003E6AF1"/>
    <w:rsid w:val="003E6B9B"/>
    <w:rsid w:val="003E6BAA"/>
    <w:rsid w:val="003E6C6F"/>
    <w:rsid w:val="003E6C8A"/>
    <w:rsid w:val="003E6CC1"/>
    <w:rsid w:val="003E6D4A"/>
    <w:rsid w:val="003E6F3F"/>
    <w:rsid w:val="003E6F4F"/>
    <w:rsid w:val="003E73A1"/>
    <w:rsid w:val="003E73D3"/>
    <w:rsid w:val="003E73F9"/>
    <w:rsid w:val="003E7419"/>
    <w:rsid w:val="003E75EC"/>
    <w:rsid w:val="003E76B0"/>
    <w:rsid w:val="003E7A1F"/>
    <w:rsid w:val="003E7B08"/>
    <w:rsid w:val="003E7B61"/>
    <w:rsid w:val="003E7BF0"/>
    <w:rsid w:val="003E7CC2"/>
    <w:rsid w:val="003E7CE5"/>
    <w:rsid w:val="003E7D42"/>
    <w:rsid w:val="003E7E2B"/>
    <w:rsid w:val="003E7E61"/>
    <w:rsid w:val="003E7F3D"/>
    <w:rsid w:val="003E7F7C"/>
    <w:rsid w:val="003F01D6"/>
    <w:rsid w:val="003F02B3"/>
    <w:rsid w:val="003F02F5"/>
    <w:rsid w:val="003F0429"/>
    <w:rsid w:val="003F0584"/>
    <w:rsid w:val="003F059A"/>
    <w:rsid w:val="003F07E5"/>
    <w:rsid w:val="003F0948"/>
    <w:rsid w:val="003F0A03"/>
    <w:rsid w:val="003F0AD9"/>
    <w:rsid w:val="003F0B5A"/>
    <w:rsid w:val="003F0B7D"/>
    <w:rsid w:val="003F0C95"/>
    <w:rsid w:val="003F0E9F"/>
    <w:rsid w:val="003F0ECC"/>
    <w:rsid w:val="003F0ED7"/>
    <w:rsid w:val="003F0FC7"/>
    <w:rsid w:val="003F0FF9"/>
    <w:rsid w:val="003F1093"/>
    <w:rsid w:val="003F1175"/>
    <w:rsid w:val="003F11D7"/>
    <w:rsid w:val="003F1224"/>
    <w:rsid w:val="003F126D"/>
    <w:rsid w:val="003F128D"/>
    <w:rsid w:val="003F1293"/>
    <w:rsid w:val="003F12F3"/>
    <w:rsid w:val="003F137A"/>
    <w:rsid w:val="003F13CA"/>
    <w:rsid w:val="003F146A"/>
    <w:rsid w:val="003F1500"/>
    <w:rsid w:val="003F1626"/>
    <w:rsid w:val="003F1641"/>
    <w:rsid w:val="003F16C5"/>
    <w:rsid w:val="003F17FF"/>
    <w:rsid w:val="003F183E"/>
    <w:rsid w:val="003F185A"/>
    <w:rsid w:val="003F1888"/>
    <w:rsid w:val="003F1928"/>
    <w:rsid w:val="003F1961"/>
    <w:rsid w:val="003F19C2"/>
    <w:rsid w:val="003F1A63"/>
    <w:rsid w:val="003F1B07"/>
    <w:rsid w:val="003F1B81"/>
    <w:rsid w:val="003F1FAB"/>
    <w:rsid w:val="003F1FDD"/>
    <w:rsid w:val="003F211E"/>
    <w:rsid w:val="003F21C0"/>
    <w:rsid w:val="003F266C"/>
    <w:rsid w:val="003F26AF"/>
    <w:rsid w:val="003F26C7"/>
    <w:rsid w:val="003F2790"/>
    <w:rsid w:val="003F2802"/>
    <w:rsid w:val="003F280C"/>
    <w:rsid w:val="003F286C"/>
    <w:rsid w:val="003F28DC"/>
    <w:rsid w:val="003F29CA"/>
    <w:rsid w:val="003F2A1F"/>
    <w:rsid w:val="003F2B91"/>
    <w:rsid w:val="003F2CCE"/>
    <w:rsid w:val="003F2D9B"/>
    <w:rsid w:val="003F2E18"/>
    <w:rsid w:val="003F2F07"/>
    <w:rsid w:val="003F303F"/>
    <w:rsid w:val="003F3086"/>
    <w:rsid w:val="003F31E0"/>
    <w:rsid w:val="003F3294"/>
    <w:rsid w:val="003F32BB"/>
    <w:rsid w:val="003F32EB"/>
    <w:rsid w:val="003F330E"/>
    <w:rsid w:val="003F3399"/>
    <w:rsid w:val="003F341C"/>
    <w:rsid w:val="003F3447"/>
    <w:rsid w:val="003F3494"/>
    <w:rsid w:val="003F34EF"/>
    <w:rsid w:val="003F3529"/>
    <w:rsid w:val="003F36AF"/>
    <w:rsid w:val="003F3806"/>
    <w:rsid w:val="003F3A27"/>
    <w:rsid w:val="003F3A7F"/>
    <w:rsid w:val="003F3AE6"/>
    <w:rsid w:val="003F3BCB"/>
    <w:rsid w:val="003F3C2E"/>
    <w:rsid w:val="003F3C6A"/>
    <w:rsid w:val="003F3C86"/>
    <w:rsid w:val="003F3C8C"/>
    <w:rsid w:val="003F3CD0"/>
    <w:rsid w:val="003F3D18"/>
    <w:rsid w:val="003F3D2E"/>
    <w:rsid w:val="003F3D53"/>
    <w:rsid w:val="003F3FC6"/>
    <w:rsid w:val="003F40C6"/>
    <w:rsid w:val="003F4169"/>
    <w:rsid w:val="003F426A"/>
    <w:rsid w:val="003F43B6"/>
    <w:rsid w:val="003F4487"/>
    <w:rsid w:val="003F4575"/>
    <w:rsid w:val="003F4576"/>
    <w:rsid w:val="003F4662"/>
    <w:rsid w:val="003F46A5"/>
    <w:rsid w:val="003F47EF"/>
    <w:rsid w:val="003F4AC1"/>
    <w:rsid w:val="003F4B5F"/>
    <w:rsid w:val="003F4BED"/>
    <w:rsid w:val="003F4BF3"/>
    <w:rsid w:val="003F4C50"/>
    <w:rsid w:val="003F4C57"/>
    <w:rsid w:val="003F4D8A"/>
    <w:rsid w:val="003F4DC2"/>
    <w:rsid w:val="003F4ECA"/>
    <w:rsid w:val="003F4F08"/>
    <w:rsid w:val="003F50D2"/>
    <w:rsid w:val="003F5164"/>
    <w:rsid w:val="003F5391"/>
    <w:rsid w:val="003F5477"/>
    <w:rsid w:val="003F54EB"/>
    <w:rsid w:val="003F554F"/>
    <w:rsid w:val="003F55D9"/>
    <w:rsid w:val="003F5690"/>
    <w:rsid w:val="003F5772"/>
    <w:rsid w:val="003F5874"/>
    <w:rsid w:val="003F58A1"/>
    <w:rsid w:val="003F58F0"/>
    <w:rsid w:val="003F5929"/>
    <w:rsid w:val="003F59A5"/>
    <w:rsid w:val="003F59D5"/>
    <w:rsid w:val="003F59FC"/>
    <w:rsid w:val="003F5A6E"/>
    <w:rsid w:val="003F5A75"/>
    <w:rsid w:val="003F5A9C"/>
    <w:rsid w:val="003F5B37"/>
    <w:rsid w:val="003F5B89"/>
    <w:rsid w:val="003F5C1D"/>
    <w:rsid w:val="003F5C5E"/>
    <w:rsid w:val="003F5D79"/>
    <w:rsid w:val="003F5EFC"/>
    <w:rsid w:val="003F5F5B"/>
    <w:rsid w:val="003F60AC"/>
    <w:rsid w:val="003F631B"/>
    <w:rsid w:val="003F639F"/>
    <w:rsid w:val="003F63FD"/>
    <w:rsid w:val="003F649B"/>
    <w:rsid w:val="003F65C7"/>
    <w:rsid w:val="003F668F"/>
    <w:rsid w:val="003F676B"/>
    <w:rsid w:val="003F6885"/>
    <w:rsid w:val="003F6997"/>
    <w:rsid w:val="003F6A32"/>
    <w:rsid w:val="003F6A40"/>
    <w:rsid w:val="003F6A61"/>
    <w:rsid w:val="003F6A8D"/>
    <w:rsid w:val="003F6A99"/>
    <w:rsid w:val="003F6AF7"/>
    <w:rsid w:val="003F6C0F"/>
    <w:rsid w:val="003F6C8D"/>
    <w:rsid w:val="003F6D6B"/>
    <w:rsid w:val="003F6D70"/>
    <w:rsid w:val="003F6E30"/>
    <w:rsid w:val="003F6E86"/>
    <w:rsid w:val="003F6EE6"/>
    <w:rsid w:val="003F6EF1"/>
    <w:rsid w:val="003F6FD7"/>
    <w:rsid w:val="003F7086"/>
    <w:rsid w:val="003F70BE"/>
    <w:rsid w:val="003F721E"/>
    <w:rsid w:val="003F72B5"/>
    <w:rsid w:val="003F72EB"/>
    <w:rsid w:val="003F735A"/>
    <w:rsid w:val="003F73BD"/>
    <w:rsid w:val="003F7413"/>
    <w:rsid w:val="003F7570"/>
    <w:rsid w:val="003F7678"/>
    <w:rsid w:val="003F76A4"/>
    <w:rsid w:val="003F76F2"/>
    <w:rsid w:val="003F780A"/>
    <w:rsid w:val="003F79DC"/>
    <w:rsid w:val="003F79EF"/>
    <w:rsid w:val="003F7A78"/>
    <w:rsid w:val="003F7B50"/>
    <w:rsid w:val="003F7BE4"/>
    <w:rsid w:val="003F7C6F"/>
    <w:rsid w:val="003F7D09"/>
    <w:rsid w:val="003F7D83"/>
    <w:rsid w:val="003F7EA4"/>
    <w:rsid w:val="004000CF"/>
    <w:rsid w:val="00400163"/>
    <w:rsid w:val="0040032C"/>
    <w:rsid w:val="00400366"/>
    <w:rsid w:val="004003A2"/>
    <w:rsid w:val="00400484"/>
    <w:rsid w:val="00400573"/>
    <w:rsid w:val="004006BE"/>
    <w:rsid w:val="004007A3"/>
    <w:rsid w:val="00400870"/>
    <w:rsid w:val="0040088E"/>
    <w:rsid w:val="00400AED"/>
    <w:rsid w:val="00400B06"/>
    <w:rsid w:val="00400C1C"/>
    <w:rsid w:val="00400C7B"/>
    <w:rsid w:val="00400C83"/>
    <w:rsid w:val="00400CC6"/>
    <w:rsid w:val="00400CF1"/>
    <w:rsid w:val="00400D11"/>
    <w:rsid w:val="00400D88"/>
    <w:rsid w:val="00400ECE"/>
    <w:rsid w:val="00400F70"/>
    <w:rsid w:val="00400F7F"/>
    <w:rsid w:val="00400FCB"/>
    <w:rsid w:val="00401002"/>
    <w:rsid w:val="0040105E"/>
    <w:rsid w:val="0040106A"/>
    <w:rsid w:val="004012DB"/>
    <w:rsid w:val="0040135D"/>
    <w:rsid w:val="00401508"/>
    <w:rsid w:val="0040150C"/>
    <w:rsid w:val="0040164E"/>
    <w:rsid w:val="0040167F"/>
    <w:rsid w:val="00401828"/>
    <w:rsid w:val="004018E6"/>
    <w:rsid w:val="004018FE"/>
    <w:rsid w:val="0040199A"/>
    <w:rsid w:val="00401A0E"/>
    <w:rsid w:val="00401B58"/>
    <w:rsid w:val="00401BD7"/>
    <w:rsid w:val="00401C7C"/>
    <w:rsid w:val="00401D9A"/>
    <w:rsid w:val="00401DA1"/>
    <w:rsid w:val="00401E6E"/>
    <w:rsid w:val="00401FDD"/>
    <w:rsid w:val="0040219B"/>
    <w:rsid w:val="0040232E"/>
    <w:rsid w:val="00402449"/>
    <w:rsid w:val="00402599"/>
    <w:rsid w:val="00402609"/>
    <w:rsid w:val="0040265D"/>
    <w:rsid w:val="004026C9"/>
    <w:rsid w:val="00402789"/>
    <w:rsid w:val="004027D3"/>
    <w:rsid w:val="004027EA"/>
    <w:rsid w:val="00402977"/>
    <w:rsid w:val="0040297C"/>
    <w:rsid w:val="00402A34"/>
    <w:rsid w:val="00402AC9"/>
    <w:rsid w:val="00402B41"/>
    <w:rsid w:val="00402BDF"/>
    <w:rsid w:val="00402BFC"/>
    <w:rsid w:val="00402C3A"/>
    <w:rsid w:val="00402C46"/>
    <w:rsid w:val="00402CB9"/>
    <w:rsid w:val="00402D3A"/>
    <w:rsid w:val="00402EBD"/>
    <w:rsid w:val="00402FF4"/>
    <w:rsid w:val="00403066"/>
    <w:rsid w:val="004030B8"/>
    <w:rsid w:val="004032A2"/>
    <w:rsid w:val="0040342E"/>
    <w:rsid w:val="00403450"/>
    <w:rsid w:val="00403487"/>
    <w:rsid w:val="0040353B"/>
    <w:rsid w:val="004035A3"/>
    <w:rsid w:val="004035AF"/>
    <w:rsid w:val="004036C4"/>
    <w:rsid w:val="00403741"/>
    <w:rsid w:val="004038C3"/>
    <w:rsid w:val="00403905"/>
    <w:rsid w:val="00403948"/>
    <w:rsid w:val="00403A10"/>
    <w:rsid w:val="00403A2F"/>
    <w:rsid w:val="00403AD2"/>
    <w:rsid w:val="00403AF1"/>
    <w:rsid w:val="00403BA5"/>
    <w:rsid w:val="00403BE9"/>
    <w:rsid w:val="00403C6C"/>
    <w:rsid w:val="00403CB7"/>
    <w:rsid w:val="00403D12"/>
    <w:rsid w:val="00403E05"/>
    <w:rsid w:val="00403EB7"/>
    <w:rsid w:val="00404073"/>
    <w:rsid w:val="004040C8"/>
    <w:rsid w:val="0040419C"/>
    <w:rsid w:val="00404202"/>
    <w:rsid w:val="00404259"/>
    <w:rsid w:val="004042C2"/>
    <w:rsid w:val="0040433E"/>
    <w:rsid w:val="00404630"/>
    <w:rsid w:val="00404649"/>
    <w:rsid w:val="00404852"/>
    <w:rsid w:val="00404879"/>
    <w:rsid w:val="0040493B"/>
    <w:rsid w:val="00404946"/>
    <w:rsid w:val="0040496B"/>
    <w:rsid w:val="004049B0"/>
    <w:rsid w:val="00404A50"/>
    <w:rsid w:val="00404A78"/>
    <w:rsid w:val="00404B71"/>
    <w:rsid w:val="00404B7C"/>
    <w:rsid w:val="00404B95"/>
    <w:rsid w:val="00404C92"/>
    <w:rsid w:val="00404D13"/>
    <w:rsid w:val="00404EA4"/>
    <w:rsid w:val="00404F54"/>
    <w:rsid w:val="0040505A"/>
    <w:rsid w:val="004050B0"/>
    <w:rsid w:val="00405548"/>
    <w:rsid w:val="004056D2"/>
    <w:rsid w:val="0040578B"/>
    <w:rsid w:val="0040583F"/>
    <w:rsid w:val="004059D7"/>
    <w:rsid w:val="004059DC"/>
    <w:rsid w:val="00405A38"/>
    <w:rsid w:val="00405C68"/>
    <w:rsid w:val="00405CEC"/>
    <w:rsid w:val="00405D43"/>
    <w:rsid w:val="00405DCD"/>
    <w:rsid w:val="00405E41"/>
    <w:rsid w:val="00405FB0"/>
    <w:rsid w:val="0040602D"/>
    <w:rsid w:val="00406093"/>
    <w:rsid w:val="004060FD"/>
    <w:rsid w:val="00406132"/>
    <w:rsid w:val="0040616C"/>
    <w:rsid w:val="004061EE"/>
    <w:rsid w:val="00406218"/>
    <w:rsid w:val="00406290"/>
    <w:rsid w:val="004062E3"/>
    <w:rsid w:val="004064B2"/>
    <w:rsid w:val="004064BA"/>
    <w:rsid w:val="004064CD"/>
    <w:rsid w:val="004065D1"/>
    <w:rsid w:val="0040664E"/>
    <w:rsid w:val="004066FA"/>
    <w:rsid w:val="004066FD"/>
    <w:rsid w:val="0040672E"/>
    <w:rsid w:val="00406764"/>
    <w:rsid w:val="0040690F"/>
    <w:rsid w:val="004069EE"/>
    <w:rsid w:val="00406A2A"/>
    <w:rsid w:val="00406A67"/>
    <w:rsid w:val="00406A8F"/>
    <w:rsid w:val="00406ACC"/>
    <w:rsid w:val="00406B38"/>
    <w:rsid w:val="00406BD3"/>
    <w:rsid w:val="00406C4B"/>
    <w:rsid w:val="00406C55"/>
    <w:rsid w:val="00406D0A"/>
    <w:rsid w:val="00406DDC"/>
    <w:rsid w:val="00406EAE"/>
    <w:rsid w:val="0040703D"/>
    <w:rsid w:val="00407114"/>
    <w:rsid w:val="004071DD"/>
    <w:rsid w:val="00407347"/>
    <w:rsid w:val="00407369"/>
    <w:rsid w:val="00407537"/>
    <w:rsid w:val="0040753E"/>
    <w:rsid w:val="004075C0"/>
    <w:rsid w:val="00407727"/>
    <w:rsid w:val="00407815"/>
    <w:rsid w:val="004078E6"/>
    <w:rsid w:val="00407A10"/>
    <w:rsid w:val="00407A5D"/>
    <w:rsid w:val="00407BF5"/>
    <w:rsid w:val="00407CEF"/>
    <w:rsid w:val="00407E2D"/>
    <w:rsid w:val="00407EC5"/>
    <w:rsid w:val="0041005E"/>
    <w:rsid w:val="004102D2"/>
    <w:rsid w:val="00410309"/>
    <w:rsid w:val="004103F8"/>
    <w:rsid w:val="00410539"/>
    <w:rsid w:val="00410586"/>
    <w:rsid w:val="004106A1"/>
    <w:rsid w:val="004106D3"/>
    <w:rsid w:val="004107AA"/>
    <w:rsid w:val="004107FF"/>
    <w:rsid w:val="00410815"/>
    <w:rsid w:val="00410871"/>
    <w:rsid w:val="00410BCB"/>
    <w:rsid w:val="00410BDE"/>
    <w:rsid w:val="00410C77"/>
    <w:rsid w:val="00410CC9"/>
    <w:rsid w:val="00410D15"/>
    <w:rsid w:val="00410DED"/>
    <w:rsid w:val="00410E2C"/>
    <w:rsid w:val="00410E43"/>
    <w:rsid w:val="00410E66"/>
    <w:rsid w:val="00410EEC"/>
    <w:rsid w:val="00410F52"/>
    <w:rsid w:val="00410F85"/>
    <w:rsid w:val="00410FD0"/>
    <w:rsid w:val="0041107F"/>
    <w:rsid w:val="004110C3"/>
    <w:rsid w:val="00411126"/>
    <w:rsid w:val="0041114E"/>
    <w:rsid w:val="00411317"/>
    <w:rsid w:val="00411328"/>
    <w:rsid w:val="00411351"/>
    <w:rsid w:val="0041149A"/>
    <w:rsid w:val="004115F8"/>
    <w:rsid w:val="00411642"/>
    <w:rsid w:val="00411892"/>
    <w:rsid w:val="00411AA8"/>
    <w:rsid w:val="00411B66"/>
    <w:rsid w:val="00411C14"/>
    <w:rsid w:val="00411DD9"/>
    <w:rsid w:val="00411EDD"/>
    <w:rsid w:val="00411F19"/>
    <w:rsid w:val="004120CF"/>
    <w:rsid w:val="0041213A"/>
    <w:rsid w:val="00412211"/>
    <w:rsid w:val="0041228F"/>
    <w:rsid w:val="004122C2"/>
    <w:rsid w:val="00412320"/>
    <w:rsid w:val="004123D9"/>
    <w:rsid w:val="0041243D"/>
    <w:rsid w:val="00412502"/>
    <w:rsid w:val="00412548"/>
    <w:rsid w:val="00412749"/>
    <w:rsid w:val="004127DE"/>
    <w:rsid w:val="00412929"/>
    <w:rsid w:val="00412977"/>
    <w:rsid w:val="0041298B"/>
    <w:rsid w:val="00412A3D"/>
    <w:rsid w:val="00412A40"/>
    <w:rsid w:val="00412BC5"/>
    <w:rsid w:val="00412BF6"/>
    <w:rsid w:val="00412C25"/>
    <w:rsid w:val="00412E65"/>
    <w:rsid w:val="00412E91"/>
    <w:rsid w:val="00412EEA"/>
    <w:rsid w:val="00412F65"/>
    <w:rsid w:val="00412F8B"/>
    <w:rsid w:val="00413105"/>
    <w:rsid w:val="00413253"/>
    <w:rsid w:val="004132AE"/>
    <w:rsid w:val="004132B0"/>
    <w:rsid w:val="004135AE"/>
    <w:rsid w:val="00413635"/>
    <w:rsid w:val="00413636"/>
    <w:rsid w:val="004136E6"/>
    <w:rsid w:val="004136EE"/>
    <w:rsid w:val="00413712"/>
    <w:rsid w:val="004137EC"/>
    <w:rsid w:val="0041383C"/>
    <w:rsid w:val="004138D4"/>
    <w:rsid w:val="00413977"/>
    <w:rsid w:val="00413A73"/>
    <w:rsid w:val="00413BEF"/>
    <w:rsid w:val="00413CB2"/>
    <w:rsid w:val="00413D39"/>
    <w:rsid w:val="00413D85"/>
    <w:rsid w:val="00413E74"/>
    <w:rsid w:val="00413F47"/>
    <w:rsid w:val="00413F4A"/>
    <w:rsid w:val="00413F4C"/>
    <w:rsid w:val="00413FBF"/>
    <w:rsid w:val="00414020"/>
    <w:rsid w:val="004140CF"/>
    <w:rsid w:val="004140E6"/>
    <w:rsid w:val="004141E9"/>
    <w:rsid w:val="004141FA"/>
    <w:rsid w:val="00414419"/>
    <w:rsid w:val="004144F7"/>
    <w:rsid w:val="00414585"/>
    <w:rsid w:val="004146AF"/>
    <w:rsid w:val="00414857"/>
    <w:rsid w:val="00414872"/>
    <w:rsid w:val="004148D0"/>
    <w:rsid w:val="00414976"/>
    <w:rsid w:val="00414AB9"/>
    <w:rsid w:val="00414AEC"/>
    <w:rsid w:val="00414BB3"/>
    <w:rsid w:val="00414C83"/>
    <w:rsid w:val="00414CE1"/>
    <w:rsid w:val="00414E78"/>
    <w:rsid w:val="00414E9B"/>
    <w:rsid w:val="00414EB7"/>
    <w:rsid w:val="00414FF5"/>
    <w:rsid w:val="00415008"/>
    <w:rsid w:val="0041502C"/>
    <w:rsid w:val="0041505A"/>
    <w:rsid w:val="004150C0"/>
    <w:rsid w:val="004150C5"/>
    <w:rsid w:val="0041538C"/>
    <w:rsid w:val="004153F8"/>
    <w:rsid w:val="0041561F"/>
    <w:rsid w:val="004156BF"/>
    <w:rsid w:val="00415815"/>
    <w:rsid w:val="00415A05"/>
    <w:rsid w:val="00415A2A"/>
    <w:rsid w:val="00415A99"/>
    <w:rsid w:val="00415BFE"/>
    <w:rsid w:val="00415C46"/>
    <w:rsid w:val="00415CBB"/>
    <w:rsid w:val="00415D49"/>
    <w:rsid w:val="00415E3C"/>
    <w:rsid w:val="0041611A"/>
    <w:rsid w:val="004161A8"/>
    <w:rsid w:val="004163C0"/>
    <w:rsid w:val="004163E6"/>
    <w:rsid w:val="00416522"/>
    <w:rsid w:val="00416583"/>
    <w:rsid w:val="004166BD"/>
    <w:rsid w:val="004166D4"/>
    <w:rsid w:val="004167C7"/>
    <w:rsid w:val="00416880"/>
    <w:rsid w:val="004169D1"/>
    <w:rsid w:val="00416AC5"/>
    <w:rsid w:val="00416B59"/>
    <w:rsid w:val="00416CD6"/>
    <w:rsid w:val="00416D31"/>
    <w:rsid w:val="00416E53"/>
    <w:rsid w:val="00416EB7"/>
    <w:rsid w:val="00417004"/>
    <w:rsid w:val="0041700D"/>
    <w:rsid w:val="00417089"/>
    <w:rsid w:val="004171DD"/>
    <w:rsid w:val="00417301"/>
    <w:rsid w:val="00417358"/>
    <w:rsid w:val="004173CE"/>
    <w:rsid w:val="004173DF"/>
    <w:rsid w:val="004173FA"/>
    <w:rsid w:val="0041756F"/>
    <w:rsid w:val="004176D2"/>
    <w:rsid w:val="004176F0"/>
    <w:rsid w:val="004177F2"/>
    <w:rsid w:val="004178DA"/>
    <w:rsid w:val="00417AEA"/>
    <w:rsid w:val="00417B1C"/>
    <w:rsid w:val="00417CC1"/>
    <w:rsid w:val="00417D87"/>
    <w:rsid w:val="00417E92"/>
    <w:rsid w:val="00417E9A"/>
    <w:rsid w:val="00417EE8"/>
    <w:rsid w:val="00417F1F"/>
    <w:rsid w:val="00417F63"/>
    <w:rsid w:val="00417F83"/>
    <w:rsid w:val="00417FBB"/>
    <w:rsid w:val="00417FE0"/>
    <w:rsid w:val="00417FE9"/>
    <w:rsid w:val="00420024"/>
    <w:rsid w:val="004201A9"/>
    <w:rsid w:val="00420308"/>
    <w:rsid w:val="00420371"/>
    <w:rsid w:val="00420389"/>
    <w:rsid w:val="004204AB"/>
    <w:rsid w:val="004205AF"/>
    <w:rsid w:val="004205DD"/>
    <w:rsid w:val="004207D9"/>
    <w:rsid w:val="0042081E"/>
    <w:rsid w:val="00420827"/>
    <w:rsid w:val="004209C6"/>
    <w:rsid w:val="004209E1"/>
    <w:rsid w:val="00420A9F"/>
    <w:rsid w:val="00420B53"/>
    <w:rsid w:val="00420D45"/>
    <w:rsid w:val="00420DE8"/>
    <w:rsid w:val="00420E82"/>
    <w:rsid w:val="00420E8B"/>
    <w:rsid w:val="00420FD7"/>
    <w:rsid w:val="00420FE4"/>
    <w:rsid w:val="004210A4"/>
    <w:rsid w:val="00421183"/>
    <w:rsid w:val="004211C8"/>
    <w:rsid w:val="00421235"/>
    <w:rsid w:val="00421243"/>
    <w:rsid w:val="0042126A"/>
    <w:rsid w:val="0042143E"/>
    <w:rsid w:val="004214AC"/>
    <w:rsid w:val="004214F8"/>
    <w:rsid w:val="00421A55"/>
    <w:rsid w:val="00421B93"/>
    <w:rsid w:val="00421C37"/>
    <w:rsid w:val="00421E84"/>
    <w:rsid w:val="00421F64"/>
    <w:rsid w:val="00421FC7"/>
    <w:rsid w:val="00421FDA"/>
    <w:rsid w:val="00421FEB"/>
    <w:rsid w:val="00421FF7"/>
    <w:rsid w:val="00422049"/>
    <w:rsid w:val="0042225A"/>
    <w:rsid w:val="0042237D"/>
    <w:rsid w:val="0042241A"/>
    <w:rsid w:val="004224BE"/>
    <w:rsid w:val="004224D5"/>
    <w:rsid w:val="00422618"/>
    <w:rsid w:val="00422665"/>
    <w:rsid w:val="004226A2"/>
    <w:rsid w:val="004226C7"/>
    <w:rsid w:val="004226D8"/>
    <w:rsid w:val="00422734"/>
    <w:rsid w:val="00422739"/>
    <w:rsid w:val="004227D8"/>
    <w:rsid w:val="00422839"/>
    <w:rsid w:val="00422977"/>
    <w:rsid w:val="00422AFC"/>
    <w:rsid w:val="00422CBB"/>
    <w:rsid w:val="00422D41"/>
    <w:rsid w:val="00422DDF"/>
    <w:rsid w:val="00422F45"/>
    <w:rsid w:val="00423293"/>
    <w:rsid w:val="00423299"/>
    <w:rsid w:val="0042329E"/>
    <w:rsid w:val="00423339"/>
    <w:rsid w:val="0042335E"/>
    <w:rsid w:val="0042336F"/>
    <w:rsid w:val="004233B3"/>
    <w:rsid w:val="00423466"/>
    <w:rsid w:val="0042350B"/>
    <w:rsid w:val="004235D8"/>
    <w:rsid w:val="004236A6"/>
    <w:rsid w:val="00423737"/>
    <w:rsid w:val="004237EF"/>
    <w:rsid w:val="004237F0"/>
    <w:rsid w:val="00423802"/>
    <w:rsid w:val="0042387D"/>
    <w:rsid w:val="00423892"/>
    <w:rsid w:val="004238AD"/>
    <w:rsid w:val="00423952"/>
    <w:rsid w:val="004239DC"/>
    <w:rsid w:val="00423B2C"/>
    <w:rsid w:val="00423BD5"/>
    <w:rsid w:val="00423BE6"/>
    <w:rsid w:val="00423C64"/>
    <w:rsid w:val="00423C88"/>
    <w:rsid w:val="00423D42"/>
    <w:rsid w:val="00423DD6"/>
    <w:rsid w:val="00423E5C"/>
    <w:rsid w:val="00423EB6"/>
    <w:rsid w:val="00423F53"/>
    <w:rsid w:val="00423F8C"/>
    <w:rsid w:val="004240B4"/>
    <w:rsid w:val="00424152"/>
    <w:rsid w:val="0042423C"/>
    <w:rsid w:val="00424297"/>
    <w:rsid w:val="00424299"/>
    <w:rsid w:val="00424357"/>
    <w:rsid w:val="00424380"/>
    <w:rsid w:val="0042452D"/>
    <w:rsid w:val="00424623"/>
    <w:rsid w:val="0042464A"/>
    <w:rsid w:val="004246E6"/>
    <w:rsid w:val="004246F1"/>
    <w:rsid w:val="004246F4"/>
    <w:rsid w:val="00424708"/>
    <w:rsid w:val="004247AB"/>
    <w:rsid w:val="004247DF"/>
    <w:rsid w:val="004247F0"/>
    <w:rsid w:val="004248E4"/>
    <w:rsid w:val="004249BC"/>
    <w:rsid w:val="004249F7"/>
    <w:rsid w:val="00424A9E"/>
    <w:rsid w:val="00424AB0"/>
    <w:rsid w:val="00424B04"/>
    <w:rsid w:val="00424B1A"/>
    <w:rsid w:val="00424B7A"/>
    <w:rsid w:val="00424BDB"/>
    <w:rsid w:val="00424C8C"/>
    <w:rsid w:val="00424D49"/>
    <w:rsid w:val="00424F81"/>
    <w:rsid w:val="00424F96"/>
    <w:rsid w:val="00424FD6"/>
    <w:rsid w:val="00425125"/>
    <w:rsid w:val="00425129"/>
    <w:rsid w:val="004253A7"/>
    <w:rsid w:val="004253F8"/>
    <w:rsid w:val="00425412"/>
    <w:rsid w:val="00425430"/>
    <w:rsid w:val="00425475"/>
    <w:rsid w:val="004254A3"/>
    <w:rsid w:val="0042563A"/>
    <w:rsid w:val="004256DC"/>
    <w:rsid w:val="004256E0"/>
    <w:rsid w:val="004256E1"/>
    <w:rsid w:val="004256F2"/>
    <w:rsid w:val="0042572E"/>
    <w:rsid w:val="004258A6"/>
    <w:rsid w:val="004258F9"/>
    <w:rsid w:val="0042591A"/>
    <w:rsid w:val="00425945"/>
    <w:rsid w:val="00425A78"/>
    <w:rsid w:val="00425C19"/>
    <w:rsid w:val="00425CA9"/>
    <w:rsid w:val="00425DC4"/>
    <w:rsid w:val="00425F68"/>
    <w:rsid w:val="00426016"/>
    <w:rsid w:val="00426246"/>
    <w:rsid w:val="0042635E"/>
    <w:rsid w:val="00426435"/>
    <w:rsid w:val="00426509"/>
    <w:rsid w:val="00426603"/>
    <w:rsid w:val="00426763"/>
    <w:rsid w:val="004267C3"/>
    <w:rsid w:val="004267DF"/>
    <w:rsid w:val="00426847"/>
    <w:rsid w:val="00426856"/>
    <w:rsid w:val="004268F0"/>
    <w:rsid w:val="0042691A"/>
    <w:rsid w:val="004269F1"/>
    <w:rsid w:val="00426B23"/>
    <w:rsid w:val="00426BDC"/>
    <w:rsid w:val="00426CEB"/>
    <w:rsid w:val="00426CFF"/>
    <w:rsid w:val="00426D5E"/>
    <w:rsid w:val="00426E7D"/>
    <w:rsid w:val="00426EEA"/>
    <w:rsid w:val="00426F31"/>
    <w:rsid w:val="00426F32"/>
    <w:rsid w:val="00427007"/>
    <w:rsid w:val="0042705E"/>
    <w:rsid w:val="004270C6"/>
    <w:rsid w:val="0042712B"/>
    <w:rsid w:val="004272F9"/>
    <w:rsid w:val="0042731C"/>
    <w:rsid w:val="004273BC"/>
    <w:rsid w:val="00427504"/>
    <w:rsid w:val="00427593"/>
    <w:rsid w:val="00427708"/>
    <w:rsid w:val="004278A1"/>
    <w:rsid w:val="00427971"/>
    <w:rsid w:val="00427A04"/>
    <w:rsid w:val="00427C32"/>
    <w:rsid w:val="00427C86"/>
    <w:rsid w:val="00427D02"/>
    <w:rsid w:val="00427DAD"/>
    <w:rsid w:val="00427DD5"/>
    <w:rsid w:val="00427DD6"/>
    <w:rsid w:val="00427DE1"/>
    <w:rsid w:val="00427E29"/>
    <w:rsid w:val="00427EDB"/>
    <w:rsid w:val="00427F67"/>
    <w:rsid w:val="00427FBE"/>
    <w:rsid w:val="00430022"/>
    <w:rsid w:val="004300DA"/>
    <w:rsid w:val="00430367"/>
    <w:rsid w:val="00430420"/>
    <w:rsid w:val="00430465"/>
    <w:rsid w:val="004304D7"/>
    <w:rsid w:val="0043052F"/>
    <w:rsid w:val="00430547"/>
    <w:rsid w:val="0043056D"/>
    <w:rsid w:val="00430634"/>
    <w:rsid w:val="00430656"/>
    <w:rsid w:val="0043065D"/>
    <w:rsid w:val="0043066B"/>
    <w:rsid w:val="004306DF"/>
    <w:rsid w:val="004306E5"/>
    <w:rsid w:val="00430850"/>
    <w:rsid w:val="004309B8"/>
    <w:rsid w:val="004309BF"/>
    <w:rsid w:val="00430A4D"/>
    <w:rsid w:val="00430B6E"/>
    <w:rsid w:val="00430BB0"/>
    <w:rsid w:val="00430C72"/>
    <w:rsid w:val="00430CF8"/>
    <w:rsid w:val="00430D07"/>
    <w:rsid w:val="00430DC7"/>
    <w:rsid w:val="00430E0D"/>
    <w:rsid w:val="00430E51"/>
    <w:rsid w:val="00430E60"/>
    <w:rsid w:val="00430EF0"/>
    <w:rsid w:val="00431033"/>
    <w:rsid w:val="00431062"/>
    <w:rsid w:val="00431088"/>
    <w:rsid w:val="0043120F"/>
    <w:rsid w:val="0043125B"/>
    <w:rsid w:val="0043132E"/>
    <w:rsid w:val="00431537"/>
    <w:rsid w:val="004315B1"/>
    <w:rsid w:val="004316E2"/>
    <w:rsid w:val="00431717"/>
    <w:rsid w:val="00431975"/>
    <w:rsid w:val="00431A61"/>
    <w:rsid w:val="00431A9C"/>
    <w:rsid w:val="00431ACB"/>
    <w:rsid w:val="00431B52"/>
    <w:rsid w:val="00431D89"/>
    <w:rsid w:val="00431EE1"/>
    <w:rsid w:val="00432168"/>
    <w:rsid w:val="00432192"/>
    <w:rsid w:val="004321B5"/>
    <w:rsid w:val="00432313"/>
    <w:rsid w:val="0043233A"/>
    <w:rsid w:val="004323FB"/>
    <w:rsid w:val="004324F8"/>
    <w:rsid w:val="0043254B"/>
    <w:rsid w:val="004325C5"/>
    <w:rsid w:val="00432695"/>
    <w:rsid w:val="004326F9"/>
    <w:rsid w:val="00432738"/>
    <w:rsid w:val="004327B6"/>
    <w:rsid w:val="00432892"/>
    <w:rsid w:val="00432AA0"/>
    <w:rsid w:val="00432AD6"/>
    <w:rsid w:val="00432B27"/>
    <w:rsid w:val="00432B83"/>
    <w:rsid w:val="00432B9D"/>
    <w:rsid w:val="00432BAC"/>
    <w:rsid w:val="00432C5A"/>
    <w:rsid w:val="00432DB7"/>
    <w:rsid w:val="00432E47"/>
    <w:rsid w:val="00432F0B"/>
    <w:rsid w:val="00433152"/>
    <w:rsid w:val="00433213"/>
    <w:rsid w:val="00433228"/>
    <w:rsid w:val="0043331A"/>
    <w:rsid w:val="0043335C"/>
    <w:rsid w:val="0043337C"/>
    <w:rsid w:val="00433380"/>
    <w:rsid w:val="00433383"/>
    <w:rsid w:val="004334BA"/>
    <w:rsid w:val="004335B0"/>
    <w:rsid w:val="00433626"/>
    <w:rsid w:val="00433672"/>
    <w:rsid w:val="00433718"/>
    <w:rsid w:val="00433833"/>
    <w:rsid w:val="0043394A"/>
    <w:rsid w:val="00433CEA"/>
    <w:rsid w:val="00433D71"/>
    <w:rsid w:val="00433DAC"/>
    <w:rsid w:val="00433F1B"/>
    <w:rsid w:val="00433F37"/>
    <w:rsid w:val="00433F4F"/>
    <w:rsid w:val="00433F6A"/>
    <w:rsid w:val="00433F90"/>
    <w:rsid w:val="00434029"/>
    <w:rsid w:val="00434054"/>
    <w:rsid w:val="004343E8"/>
    <w:rsid w:val="00434401"/>
    <w:rsid w:val="0043443E"/>
    <w:rsid w:val="0043459F"/>
    <w:rsid w:val="00434648"/>
    <w:rsid w:val="00434794"/>
    <w:rsid w:val="0043483D"/>
    <w:rsid w:val="00434894"/>
    <w:rsid w:val="004348E8"/>
    <w:rsid w:val="00434936"/>
    <w:rsid w:val="00434969"/>
    <w:rsid w:val="00434A16"/>
    <w:rsid w:val="00434AA7"/>
    <w:rsid w:val="00434B66"/>
    <w:rsid w:val="00434B74"/>
    <w:rsid w:val="00434CF1"/>
    <w:rsid w:val="00434D4F"/>
    <w:rsid w:val="00434EE5"/>
    <w:rsid w:val="00435053"/>
    <w:rsid w:val="004350E0"/>
    <w:rsid w:val="0043522A"/>
    <w:rsid w:val="0043526D"/>
    <w:rsid w:val="004352C1"/>
    <w:rsid w:val="004353D8"/>
    <w:rsid w:val="004356D9"/>
    <w:rsid w:val="004357FA"/>
    <w:rsid w:val="0043589D"/>
    <w:rsid w:val="004358FF"/>
    <w:rsid w:val="0043598C"/>
    <w:rsid w:val="00435A3F"/>
    <w:rsid w:val="00435B6C"/>
    <w:rsid w:val="00435C6F"/>
    <w:rsid w:val="00435C93"/>
    <w:rsid w:val="00435C94"/>
    <w:rsid w:val="00435EED"/>
    <w:rsid w:val="00435F72"/>
    <w:rsid w:val="00435F79"/>
    <w:rsid w:val="00435FC5"/>
    <w:rsid w:val="00436138"/>
    <w:rsid w:val="0043613C"/>
    <w:rsid w:val="004362D2"/>
    <w:rsid w:val="004364C7"/>
    <w:rsid w:val="0043650B"/>
    <w:rsid w:val="0043667C"/>
    <w:rsid w:val="00436804"/>
    <w:rsid w:val="004368C5"/>
    <w:rsid w:val="00436963"/>
    <w:rsid w:val="004369AD"/>
    <w:rsid w:val="004369E8"/>
    <w:rsid w:val="00436A4C"/>
    <w:rsid w:val="00436BA3"/>
    <w:rsid w:val="00436BD8"/>
    <w:rsid w:val="00436BEA"/>
    <w:rsid w:val="00436DB8"/>
    <w:rsid w:val="00436E04"/>
    <w:rsid w:val="00436E73"/>
    <w:rsid w:val="00437268"/>
    <w:rsid w:val="0043729E"/>
    <w:rsid w:val="00437419"/>
    <w:rsid w:val="0043743E"/>
    <w:rsid w:val="004374E8"/>
    <w:rsid w:val="0043754A"/>
    <w:rsid w:val="00437667"/>
    <w:rsid w:val="00437712"/>
    <w:rsid w:val="00437731"/>
    <w:rsid w:val="0043780B"/>
    <w:rsid w:val="0043782B"/>
    <w:rsid w:val="00437850"/>
    <w:rsid w:val="0043793C"/>
    <w:rsid w:val="00437B19"/>
    <w:rsid w:val="00437BB2"/>
    <w:rsid w:val="00437C34"/>
    <w:rsid w:val="00437E7C"/>
    <w:rsid w:val="00437ECA"/>
    <w:rsid w:val="00437F26"/>
    <w:rsid w:val="00437FAA"/>
    <w:rsid w:val="00437FC9"/>
    <w:rsid w:val="00437FE9"/>
    <w:rsid w:val="00440254"/>
    <w:rsid w:val="004403D5"/>
    <w:rsid w:val="00440422"/>
    <w:rsid w:val="00440442"/>
    <w:rsid w:val="0044045C"/>
    <w:rsid w:val="00440491"/>
    <w:rsid w:val="00440514"/>
    <w:rsid w:val="0044059B"/>
    <w:rsid w:val="0044062B"/>
    <w:rsid w:val="0044065D"/>
    <w:rsid w:val="0044067E"/>
    <w:rsid w:val="004406CF"/>
    <w:rsid w:val="00440766"/>
    <w:rsid w:val="00440961"/>
    <w:rsid w:val="004409DA"/>
    <w:rsid w:val="00440BAF"/>
    <w:rsid w:val="00440C52"/>
    <w:rsid w:val="00440C68"/>
    <w:rsid w:val="00440F0F"/>
    <w:rsid w:val="00440FE6"/>
    <w:rsid w:val="00441075"/>
    <w:rsid w:val="004410F5"/>
    <w:rsid w:val="00441110"/>
    <w:rsid w:val="00441253"/>
    <w:rsid w:val="00441346"/>
    <w:rsid w:val="004413F0"/>
    <w:rsid w:val="004416C9"/>
    <w:rsid w:val="004418AB"/>
    <w:rsid w:val="00441913"/>
    <w:rsid w:val="004419A2"/>
    <w:rsid w:val="00441A00"/>
    <w:rsid w:val="00441A61"/>
    <w:rsid w:val="00441AA3"/>
    <w:rsid w:val="00441C06"/>
    <w:rsid w:val="00441C6B"/>
    <w:rsid w:val="00441C71"/>
    <w:rsid w:val="00441C9E"/>
    <w:rsid w:val="00441CE3"/>
    <w:rsid w:val="00441DBD"/>
    <w:rsid w:val="00441DFB"/>
    <w:rsid w:val="00441E95"/>
    <w:rsid w:val="00441ED1"/>
    <w:rsid w:val="00441F71"/>
    <w:rsid w:val="00441FA5"/>
    <w:rsid w:val="00441FCC"/>
    <w:rsid w:val="00442010"/>
    <w:rsid w:val="00442092"/>
    <w:rsid w:val="004420A7"/>
    <w:rsid w:val="0044216D"/>
    <w:rsid w:val="00442171"/>
    <w:rsid w:val="00442489"/>
    <w:rsid w:val="004425E5"/>
    <w:rsid w:val="0044266A"/>
    <w:rsid w:val="00442790"/>
    <w:rsid w:val="00442902"/>
    <w:rsid w:val="00442A67"/>
    <w:rsid w:val="00442C8D"/>
    <w:rsid w:val="00442DF9"/>
    <w:rsid w:val="00442EB5"/>
    <w:rsid w:val="00442F58"/>
    <w:rsid w:val="004431F7"/>
    <w:rsid w:val="00443244"/>
    <w:rsid w:val="004432BE"/>
    <w:rsid w:val="004432C1"/>
    <w:rsid w:val="00443370"/>
    <w:rsid w:val="004433C3"/>
    <w:rsid w:val="0044340A"/>
    <w:rsid w:val="00443427"/>
    <w:rsid w:val="0044344B"/>
    <w:rsid w:val="00443568"/>
    <w:rsid w:val="00443572"/>
    <w:rsid w:val="004435C0"/>
    <w:rsid w:val="0044364C"/>
    <w:rsid w:val="004436C8"/>
    <w:rsid w:val="004436D4"/>
    <w:rsid w:val="004436EA"/>
    <w:rsid w:val="004437FC"/>
    <w:rsid w:val="0044383D"/>
    <w:rsid w:val="004438B7"/>
    <w:rsid w:val="004438E8"/>
    <w:rsid w:val="00443A47"/>
    <w:rsid w:val="00443A60"/>
    <w:rsid w:val="00443B2C"/>
    <w:rsid w:val="00443B39"/>
    <w:rsid w:val="00443D87"/>
    <w:rsid w:val="00443E34"/>
    <w:rsid w:val="00443E7E"/>
    <w:rsid w:val="00443EAA"/>
    <w:rsid w:val="00443EC5"/>
    <w:rsid w:val="00443EDA"/>
    <w:rsid w:val="00443EFD"/>
    <w:rsid w:val="00443FC0"/>
    <w:rsid w:val="004440C4"/>
    <w:rsid w:val="004441F0"/>
    <w:rsid w:val="00444251"/>
    <w:rsid w:val="00444259"/>
    <w:rsid w:val="00444269"/>
    <w:rsid w:val="00444296"/>
    <w:rsid w:val="004442F7"/>
    <w:rsid w:val="00444519"/>
    <w:rsid w:val="00444666"/>
    <w:rsid w:val="00444685"/>
    <w:rsid w:val="00444738"/>
    <w:rsid w:val="00444769"/>
    <w:rsid w:val="0044477B"/>
    <w:rsid w:val="0044492A"/>
    <w:rsid w:val="00444952"/>
    <w:rsid w:val="00444A5C"/>
    <w:rsid w:val="00444D37"/>
    <w:rsid w:val="00444E43"/>
    <w:rsid w:val="00444EB0"/>
    <w:rsid w:val="00444F7E"/>
    <w:rsid w:val="00445008"/>
    <w:rsid w:val="00445166"/>
    <w:rsid w:val="004451DC"/>
    <w:rsid w:val="004451EF"/>
    <w:rsid w:val="00445306"/>
    <w:rsid w:val="0044532E"/>
    <w:rsid w:val="0044548C"/>
    <w:rsid w:val="004454CB"/>
    <w:rsid w:val="00445534"/>
    <w:rsid w:val="0044562E"/>
    <w:rsid w:val="00445658"/>
    <w:rsid w:val="004456E6"/>
    <w:rsid w:val="004456F9"/>
    <w:rsid w:val="00445720"/>
    <w:rsid w:val="00445750"/>
    <w:rsid w:val="00445859"/>
    <w:rsid w:val="00445A12"/>
    <w:rsid w:val="00445AC2"/>
    <w:rsid w:val="00445AC5"/>
    <w:rsid w:val="00445B5A"/>
    <w:rsid w:val="00445C0F"/>
    <w:rsid w:val="00445CFC"/>
    <w:rsid w:val="00445D3F"/>
    <w:rsid w:val="00445DF1"/>
    <w:rsid w:val="00445F2B"/>
    <w:rsid w:val="00445F44"/>
    <w:rsid w:val="00446035"/>
    <w:rsid w:val="004461E0"/>
    <w:rsid w:val="004462A6"/>
    <w:rsid w:val="0044632C"/>
    <w:rsid w:val="004463A0"/>
    <w:rsid w:val="004463AB"/>
    <w:rsid w:val="004463E5"/>
    <w:rsid w:val="00446424"/>
    <w:rsid w:val="00446451"/>
    <w:rsid w:val="00446457"/>
    <w:rsid w:val="004464C0"/>
    <w:rsid w:val="0044652A"/>
    <w:rsid w:val="0044653A"/>
    <w:rsid w:val="00446647"/>
    <w:rsid w:val="00446745"/>
    <w:rsid w:val="00446845"/>
    <w:rsid w:val="00446890"/>
    <w:rsid w:val="004468AB"/>
    <w:rsid w:val="004469B8"/>
    <w:rsid w:val="004469FC"/>
    <w:rsid w:val="00446B34"/>
    <w:rsid w:val="00446BA9"/>
    <w:rsid w:val="00446BF1"/>
    <w:rsid w:val="00446C0A"/>
    <w:rsid w:val="00446C5C"/>
    <w:rsid w:val="00446C61"/>
    <w:rsid w:val="00446C8A"/>
    <w:rsid w:val="00446C9B"/>
    <w:rsid w:val="00446DB7"/>
    <w:rsid w:val="00446E86"/>
    <w:rsid w:val="00446FA2"/>
    <w:rsid w:val="00446FD6"/>
    <w:rsid w:val="004470A4"/>
    <w:rsid w:val="004470CD"/>
    <w:rsid w:val="00447199"/>
    <w:rsid w:val="004471A9"/>
    <w:rsid w:val="0044727A"/>
    <w:rsid w:val="004472F4"/>
    <w:rsid w:val="00447428"/>
    <w:rsid w:val="004475DC"/>
    <w:rsid w:val="004475DE"/>
    <w:rsid w:val="004477E0"/>
    <w:rsid w:val="00447860"/>
    <w:rsid w:val="00447877"/>
    <w:rsid w:val="00447953"/>
    <w:rsid w:val="00447997"/>
    <w:rsid w:val="004479CC"/>
    <w:rsid w:val="00447AB8"/>
    <w:rsid w:val="00447AD0"/>
    <w:rsid w:val="00447ADF"/>
    <w:rsid w:val="00447AE8"/>
    <w:rsid w:val="00447B41"/>
    <w:rsid w:val="00447D33"/>
    <w:rsid w:val="00447E03"/>
    <w:rsid w:val="00447ED8"/>
    <w:rsid w:val="00447F2B"/>
    <w:rsid w:val="00450009"/>
    <w:rsid w:val="004503DD"/>
    <w:rsid w:val="0045043D"/>
    <w:rsid w:val="004505D9"/>
    <w:rsid w:val="00450605"/>
    <w:rsid w:val="00450663"/>
    <w:rsid w:val="004506EB"/>
    <w:rsid w:val="00450714"/>
    <w:rsid w:val="00450779"/>
    <w:rsid w:val="00450813"/>
    <w:rsid w:val="00450940"/>
    <w:rsid w:val="004509EE"/>
    <w:rsid w:val="00450A08"/>
    <w:rsid w:val="00450A94"/>
    <w:rsid w:val="00450BDE"/>
    <w:rsid w:val="00450C16"/>
    <w:rsid w:val="00450C68"/>
    <w:rsid w:val="00450C89"/>
    <w:rsid w:val="00450F38"/>
    <w:rsid w:val="00450F6A"/>
    <w:rsid w:val="00450FBF"/>
    <w:rsid w:val="00451051"/>
    <w:rsid w:val="004510D4"/>
    <w:rsid w:val="00451231"/>
    <w:rsid w:val="00451267"/>
    <w:rsid w:val="00451461"/>
    <w:rsid w:val="00451492"/>
    <w:rsid w:val="004514CE"/>
    <w:rsid w:val="00451611"/>
    <w:rsid w:val="00451714"/>
    <w:rsid w:val="00451720"/>
    <w:rsid w:val="00451748"/>
    <w:rsid w:val="00451772"/>
    <w:rsid w:val="0045179A"/>
    <w:rsid w:val="004517B8"/>
    <w:rsid w:val="004517BB"/>
    <w:rsid w:val="00451827"/>
    <w:rsid w:val="00451929"/>
    <w:rsid w:val="00451B76"/>
    <w:rsid w:val="00451BEE"/>
    <w:rsid w:val="00451C80"/>
    <w:rsid w:val="00451E2E"/>
    <w:rsid w:val="00451E79"/>
    <w:rsid w:val="00451F02"/>
    <w:rsid w:val="004521DD"/>
    <w:rsid w:val="0045220A"/>
    <w:rsid w:val="0045226A"/>
    <w:rsid w:val="004523F5"/>
    <w:rsid w:val="004523FB"/>
    <w:rsid w:val="0045253E"/>
    <w:rsid w:val="004527BB"/>
    <w:rsid w:val="00452856"/>
    <w:rsid w:val="004528B4"/>
    <w:rsid w:val="004528D4"/>
    <w:rsid w:val="00452997"/>
    <w:rsid w:val="004529D0"/>
    <w:rsid w:val="00452A3A"/>
    <w:rsid w:val="00452B33"/>
    <w:rsid w:val="00452BEE"/>
    <w:rsid w:val="00452CAF"/>
    <w:rsid w:val="00452D89"/>
    <w:rsid w:val="00452DDC"/>
    <w:rsid w:val="00452ECA"/>
    <w:rsid w:val="00452ED9"/>
    <w:rsid w:val="00452EFB"/>
    <w:rsid w:val="00452F42"/>
    <w:rsid w:val="0045312C"/>
    <w:rsid w:val="004531B1"/>
    <w:rsid w:val="0045327F"/>
    <w:rsid w:val="004532C0"/>
    <w:rsid w:val="004532FA"/>
    <w:rsid w:val="0045332D"/>
    <w:rsid w:val="00453457"/>
    <w:rsid w:val="0045348A"/>
    <w:rsid w:val="004534E5"/>
    <w:rsid w:val="0045351B"/>
    <w:rsid w:val="004535A8"/>
    <w:rsid w:val="00453652"/>
    <w:rsid w:val="0045366A"/>
    <w:rsid w:val="0045366B"/>
    <w:rsid w:val="00453696"/>
    <w:rsid w:val="0045369B"/>
    <w:rsid w:val="004536B4"/>
    <w:rsid w:val="004537B1"/>
    <w:rsid w:val="0045381B"/>
    <w:rsid w:val="0045398C"/>
    <w:rsid w:val="00453A47"/>
    <w:rsid w:val="00453A4B"/>
    <w:rsid w:val="00453B24"/>
    <w:rsid w:val="00453E06"/>
    <w:rsid w:val="00453F8E"/>
    <w:rsid w:val="00453FE3"/>
    <w:rsid w:val="00454067"/>
    <w:rsid w:val="0045406E"/>
    <w:rsid w:val="0045423A"/>
    <w:rsid w:val="004542A8"/>
    <w:rsid w:val="004543A7"/>
    <w:rsid w:val="004543CB"/>
    <w:rsid w:val="00454619"/>
    <w:rsid w:val="004547EE"/>
    <w:rsid w:val="00454822"/>
    <w:rsid w:val="00454843"/>
    <w:rsid w:val="0045488B"/>
    <w:rsid w:val="0045489A"/>
    <w:rsid w:val="00454AF0"/>
    <w:rsid w:val="00454B48"/>
    <w:rsid w:val="00454C38"/>
    <w:rsid w:val="00454C66"/>
    <w:rsid w:val="00454CBE"/>
    <w:rsid w:val="00454E12"/>
    <w:rsid w:val="00454E20"/>
    <w:rsid w:val="00454F14"/>
    <w:rsid w:val="00454F3F"/>
    <w:rsid w:val="004550C9"/>
    <w:rsid w:val="00455118"/>
    <w:rsid w:val="004552B9"/>
    <w:rsid w:val="0045535B"/>
    <w:rsid w:val="00455432"/>
    <w:rsid w:val="00455450"/>
    <w:rsid w:val="0045580D"/>
    <w:rsid w:val="004558CC"/>
    <w:rsid w:val="0045591C"/>
    <w:rsid w:val="0045591F"/>
    <w:rsid w:val="00455957"/>
    <w:rsid w:val="00455987"/>
    <w:rsid w:val="004559AD"/>
    <w:rsid w:val="00455A26"/>
    <w:rsid w:val="00455A9D"/>
    <w:rsid w:val="00455B4F"/>
    <w:rsid w:val="00455B6A"/>
    <w:rsid w:val="00455B93"/>
    <w:rsid w:val="00455C14"/>
    <w:rsid w:val="00455D49"/>
    <w:rsid w:val="00455D67"/>
    <w:rsid w:val="00455E38"/>
    <w:rsid w:val="00455F3D"/>
    <w:rsid w:val="0045604F"/>
    <w:rsid w:val="00456104"/>
    <w:rsid w:val="00456165"/>
    <w:rsid w:val="0045639C"/>
    <w:rsid w:val="004564D4"/>
    <w:rsid w:val="004564E4"/>
    <w:rsid w:val="004565F7"/>
    <w:rsid w:val="00456643"/>
    <w:rsid w:val="00456655"/>
    <w:rsid w:val="004567D6"/>
    <w:rsid w:val="004569AE"/>
    <w:rsid w:val="004569D8"/>
    <w:rsid w:val="00456A8D"/>
    <w:rsid w:val="00456AE6"/>
    <w:rsid w:val="00456AEE"/>
    <w:rsid w:val="00456B5E"/>
    <w:rsid w:val="00456B84"/>
    <w:rsid w:val="00456BD5"/>
    <w:rsid w:val="00456C44"/>
    <w:rsid w:val="00456C77"/>
    <w:rsid w:val="00456C7C"/>
    <w:rsid w:val="00456CAC"/>
    <w:rsid w:val="00456D1D"/>
    <w:rsid w:val="00456DA7"/>
    <w:rsid w:val="00456DBF"/>
    <w:rsid w:val="00456E09"/>
    <w:rsid w:val="00456E14"/>
    <w:rsid w:val="00456E98"/>
    <w:rsid w:val="00456EE5"/>
    <w:rsid w:val="00456EFF"/>
    <w:rsid w:val="00456F6C"/>
    <w:rsid w:val="00457082"/>
    <w:rsid w:val="00457184"/>
    <w:rsid w:val="0045718A"/>
    <w:rsid w:val="00457511"/>
    <w:rsid w:val="00457657"/>
    <w:rsid w:val="00457738"/>
    <w:rsid w:val="0045776E"/>
    <w:rsid w:val="004577FB"/>
    <w:rsid w:val="0045781F"/>
    <w:rsid w:val="00457829"/>
    <w:rsid w:val="00457AD9"/>
    <w:rsid w:val="00457B5C"/>
    <w:rsid w:val="00457BEC"/>
    <w:rsid w:val="00457D17"/>
    <w:rsid w:val="00457E31"/>
    <w:rsid w:val="00457F90"/>
    <w:rsid w:val="00457F9F"/>
    <w:rsid w:val="00457FD2"/>
    <w:rsid w:val="00457FF1"/>
    <w:rsid w:val="004600DC"/>
    <w:rsid w:val="00460166"/>
    <w:rsid w:val="00460234"/>
    <w:rsid w:val="00460328"/>
    <w:rsid w:val="00460673"/>
    <w:rsid w:val="004606B9"/>
    <w:rsid w:val="004607E5"/>
    <w:rsid w:val="0046083C"/>
    <w:rsid w:val="004608CA"/>
    <w:rsid w:val="004608FE"/>
    <w:rsid w:val="00460901"/>
    <w:rsid w:val="0046092F"/>
    <w:rsid w:val="00460A82"/>
    <w:rsid w:val="00460AF0"/>
    <w:rsid w:val="00460B60"/>
    <w:rsid w:val="00460C46"/>
    <w:rsid w:val="00460CE3"/>
    <w:rsid w:val="00460D1B"/>
    <w:rsid w:val="00460E08"/>
    <w:rsid w:val="00460F95"/>
    <w:rsid w:val="004610E0"/>
    <w:rsid w:val="00461196"/>
    <w:rsid w:val="00461211"/>
    <w:rsid w:val="00461253"/>
    <w:rsid w:val="00461387"/>
    <w:rsid w:val="004613E7"/>
    <w:rsid w:val="004614E8"/>
    <w:rsid w:val="0046169D"/>
    <w:rsid w:val="004616CD"/>
    <w:rsid w:val="00461735"/>
    <w:rsid w:val="004617F2"/>
    <w:rsid w:val="00461A79"/>
    <w:rsid w:val="00461AD3"/>
    <w:rsid w:val="00461B7F"/>
    <w:rsid w:val="00461C76"/>
    <w:rsid w:val="00461CDF"/>
    <w:rsid w:val="00461D0E"/>
    <w:rsid w:val="00461D34"/>
    <w:rsid w:val="00461D6E"/>
    <w:rsid w:val="00461F20"/>
    <w:rsid w:val="004620A2"/>
    <w:rsid w:val="004620CE"/>
    <w:rsid w:val="004620EB"/>
    <w:rsid w:val="004620FC"/>
    <w:rsid w:val="004625CA"/>
    <w:rsid w:val="004625F5"/>
    <w:rsid w:val="004625F9"/>
    <w:rsid w:val="0046263F"/>
    <w:rsid w:val="00462734"/>
    <w:rsid w:val="00462757"/>
    <w:rsid w:val="004628EE"/>
    <w:rsid w:val="004629BE"/>
    <w:rsid w:val="00462A25"/>
    <w:rsid w:val="00462A61"/>
    <w:rsid w:val="00462AD8"/>
    <w:rsid w:val="00462CCE"/>
    <w:rsid w:val="00462D68"/>
    <w:rsid w:val="00462DF9"/>
    <w:rsid w:val="00462E6D"/>
    <w:rsid w:val="00462E76"/>
    <w:rsid w:val="004630BA"/>
    <w:rsid w:val="004630F4"/>
    <w:rsid w:val="0046312A"/>
    <w:rsid w:val="0046323D"/>
    <w:rsid w:val="0046324F"/>
    <w:rsid w:val="00463291"/>
    <w:rsid w:val="0046329A"/>
    <w:rsid w:val="004632BB"/>
    <w:rsid w:val="004632F3"/>
    <w:rsid w:val="004635DC"/>
    <w:rsid w:val="00463687"/>
    <w:rsid w:val="00463876"/>
    <w:rsid w:val="004638FA"/>
    <w:rsid w:val="00463950"/>
    <w:rsid w:val="00463B88"/>
    <w:rsid w:val="00463B8E"/>
    <w:rsid w:val="00463D9B"/>
    <w:rsid w:val="00463E97"/>
    <w:rsid w:val="00463EDC"/>
    <w:rsid w:val="00463F22"/>
    <w:rsid w:val="00463FE4"/>
    <w:rsid w:val="00464126"/>
    <w:rsid w:val="004641D0"/>
    <w:rsid w:val="004641F3"/>
    <w:rsid w:val="00464376"/>
    <w:rsid w:val="004643FB"/>
    <w:rsid w:val="00464476"/>
    <w:rsid w:val="00464525"/>
    <w:rsid w:val="00464641"/>
    <w:rsid w:val="00464666"/>
    <w:rsid w:val="0046476B"/>
    <w:rsid w:val="004648B7"/>
    <w:rsid w:val="00464959"/>
    <w:rsid w:val="0046495D"/>
    <w:rsid w:val="00464BF7"/>
    <w:rsid w:val="00464BFA"/>
    <w:rsid w:val="00464C55"/>
    <w:rsid w:val="00464C5F"/>
    <w:rsid w:val="00464CEC"/>
    <w:rsid w:val="00464D98"/>
    <w:rsid w:val="00464E7A"/>
    <w:rsid w:val="00464F5F"/>
    <w:rsid w:val="00465025"/>
    <w:rsid w:val="00465031"/>
    <w:rsid w:val="004650F4"/>
    <w:rsid w:val="00465255"/>
    <w:rsid w:val="0046539F"/>
    <w:rsid w:val="004653E4"/>
    <w:rsid w:val="0046540B"/>
    <w:rsid w:val="0046569B"/>
    <w:rsid w:val="004656ED"/>
    <w:rsid w:val="0046570B"/>
    <w:rsid w:val="00465755"/>
    <w:rsid w:val="004658B1"/>
    <w:rsid w:val="004658F4"/>
    <w:rsid w:val="004659C6"/>
    <w:rsid w:val="00465BBE"/>
    <w:rsid w:val="00465C10"/>
    <w:rsid w:val="00465CAC"/>
    <w:rsid w:val="00465D25"/>
    <w:rsid w:val="00465D35"/>
    <w:rsid w:val="00465D4D"/>
    <w:rsid w:val="00466004"/>
    <w:rsid w:val="00466059"/>
    <w:rsid w:val="00466067"/>
    <w:rsid w:val="00466082"/>
    <w:rsid w:val="00466203"/>
    <w:rsid w:val="0046623C"/>
    <w:rsid w:val="004663C2"/>
    <w:rsid w:val="00466411"/>
    <w:rsid w:val="00466593"/>
    <w:rsid w:val="004666AD"/>
    <w:rsid w:val="00466866"/>
    <w:rsid w:val="004668D5"/>
    <w:rsid w:val="004668EB"/>
    <w:rsid w:val="0046696E"/>
    <w:rsid w:val="00466985"/>
    <w:rsid w:val="004669F1"/>
    <w:rsid w:val="00466A3A"/>
    <w:rsid w:val="00466C37"/>
    <w:rsid w:val="00466D76"/>
    <w:rsid w:val="00466DEC"/>
    <w:rsid w:val="00466EF4"/>
    <w:rsid w:val="0046700C"/>
    <w:rsid w:val="0046717B"/>
    <w:rsid w:val="004671E8"/>
    <w:rsid w:val="00467239"/>
    <w:rsid w:val="004672F3"/>
    <w:rsid w:val="004675AD"/>
    <w:rsid w:val="004675C9"/>
    <w:rsid w:val="00467601"/>
    <w:rsid w:val="00467620"/>
    <w:rsid w:val="004676D0"/>
    <w:rsid w:val="004676D3"/>
    <w:rsid w:val="0046780E"/>
    <w:rsid w:val="0046781C"/>
    <w:rsid w:val="0046797C"/>
    <w:rsid w:val="00467A7C"/>
    <w:rsid w:val="00467B13"/>
    <w:rsid w:val="00467B93"/>
    <w:rsid w:val="00470150"/>
    <w:rsid w:val="004701C0"/>
    <w:rsid w:val="004702FD"/>
    <w:rsid w:val="00470450"/>
    <w:rsid w:val="00470562"/>
    <w:rsid w:val="00470589"/>
    <w:rsid w:val="00470680"/>
    <w:rsid w:val="004706BD"/>
    <w:rsid w:val="004708F8"/>
    <w:rsid w:val="00470923"/>
    <w:rsid w:val="00470927"/>
    <w:rsid w:val="00470928"/>
    <w:rsid w:val="00470BF2"/>
    <w:rsid w:val="00470D21"/>
    <w:rsid w:val="00470D30"/>
    <w:rsid w:val="00470DE1"/>
    <w:rsid w:val="00470E25"/>
    <w:rsid w:val="00470EF0"/>
    <w:rsid w:val="00470FBB"/>
    <w:rsid w:val="00470FC5"/>
    <w:rsid w:val="00471259"/>
    <w:rsid w:val="00471358"/>
    <w:rsid w:val="004713DB"/>
    <w:rsid w:val="0047142A"/>
    <w:rsid w:val="004715E6"/>
    <w:rsid w:val="0047175A"/>
    <w:rsid w:val="00471B09"/>
    <w:rsid w:val="00471D0E"/>
    <w:rsid w:val="00471F58"/>
    <w:rsid w:val="00472058"/>
    <w:rsid w:val="00472065"/>
    <w:rsid w:val="004720A7"/>
    <w:rsid w:val="00472164"/>
    <w:rsid w:val="004721C3"/>
    <w:rsid w:val="0047223F"/>
    <w:rsid w:val="0047231C"/>
    <w:rsid w:val="00472323"/>
    <w:rsid w:val="004724E7"/>
    <w:rsid w:val="004725A4"/>
    <w:rsid w:val="004726A6"/>
    <w:rsid w:val="00472808"/>
    <w:rsid w:val="00472831"/>
    <w:rsid w:val="0047287E"/>
    <w:rsid w:val="0047293B"/>
    <w:rsid w:val="00472A33"/>
    <w:rsid w:val="00472BAB"/>
    <w:rsid w:val="00472CEE"/>
    <w:rsid w:val="00472D03"/>
    <w:rsid w:val="00472E2A"/>
    <w:rsid w:val="00472E5D"/>
    <w:rsid w:val="00472F77"/>
    <w:rsid w:val="00472FD1"/>
    <w:rsid w:val="00472FE8"/>
    <w:rsid w:val="0047317B"/>
    <w:rsid w:val="0047318F"/>
    <w:rsid w:val="00473291"/>
    <w:rsid w:val="00473426"/>
    <w:rsid w:val="00473539"/>
    <w:rsid w:val="00473582"/>
    <w:rsid w:val="00473588"/>
    <w:rsid w:val="004735B4"/>
    <w:rsid w:val="004735D2"/>
    <w:rsid w:val="0047376E"/>
    <w:rsid w:val="004737D3"/>
    <w:rsid w:val="004737D8"/>
    <w:rsid w:val="0047386E"/>
    <w:rsid w:val="0047388A"/>
    <w:rsid w:val="0047388C"/>
    <w:rsid w:val="00473963"/>
    <w:rsid w:val="004739D9"/>
    <w:rsid w:val="00473ABA"/>
    <w:rsid w:val="00473C1E"/>
    <w:rsid w:val="00473C72"/>
    <w:rsid w:val="00473D24"/>
    <w:rsid w:val="00473D3E"/>
    <w:rsid w:val="00473D94"/>
    <w:rsid w:val="00473DE1"/>
    <w:rsid w:val="00473DE6"/>
    <w:rsid w:val="00473ED6"/>
    <w:rsid w:val="00473EE5"/>
    <w:rsid w:val="00473F43"/>
    <w:rsid w:val="004740AC"/>
    <w:rsid w:val="00474162"/>
    <w:rsid w:val="004741BD"/>
    <w:rsid w:val="00474313"/>
    <w:rsid w:val="004743CC"/>
    <w:rsid w:val="004743D4"/>
    <w:rsid w:val="004743E3"/>
    <w:rsid w:val="0047441A"/>
    <w:rsid w:val="0047443E"/>
    <w:rsid w:val="00474670"/>
    <w:rsid w:val="00474691"/>
    <w:rsid w:val="004746D0"/>
    <w:rsid w:val="00474714"/>
    <w:rsid w:val="00474733"/>
    <w:rsid w:val="0047486C"/>
    <w:rsid w:val="004748E4"/>
    <w:rsid w:val="00474967"/>
    <w:rsid w:val="004749C5"/>
    <w:rsid w:val="004749E3"/>
    <w:rsid w:val="00474C68"/>
    <w:rsid w:val="00474CAA"/>
    <w:rsid w:val="00474CF9"/>
    <w:rsid w:val="00474D29"/>
    <w:rsid w:val="00474D37"/>
    <w:rsid w:val="00474E56"/>
    <w:rsid w:val="00474F18"/>
    <w:rsid w:val="00474F31"/>
    <w:rsid w:val="00474F79"/>
    <w:rsid w:val="00475149"/>
    <w:rsid w:val="004752A7"/>
    <w:rsid w:val="0047532D"/>
    <w:rsid w:val="0047546D"/>
    <w:rsid w:val="004755CF"/>
    <w:rsid w:val="0047599A"/>
    <w:rsid w:val="00475A5B"/>
    <w:rsid w:val="00475CFC"/>
    <w:rsid w:val="00475EA5"/>
    <w:rsid w:val="00475F0F"/>
    <w:rsid w:val="00475F1A"/>
    <w:rsid w:val="00476118"/>
    <w:rsid w:val="0047613C"/>
    <w:rsid w:val="00476271"/>
    <w:rsid w:val="0047627F"/>
    <w:rsid w:val="00476523"/>
    <w:rsid w:val="00476589"/>
    <w:rsid w:val="00476781"/>
    <w:rsid w:val="0047681D"/>
    <w:rsid w:val="004769EB"/>
    <w:rsid w:val="00476A0E"/>
    <w:rsid w:val="00476A59"/>
    <w:rsid w:val="00476A94"/>
    <w:rsid w:val="00476AEA"/>
    <w:rsid w:val="00476AFD"/>
    <w:rsid w:val="00476BE1"/>
    <w:rsid w:val="00476C2B"/>
    <w:rsid w:val="00476C69"/>
    <w:rsid w:val="00476D29"/>
    <w:rsid w:val="00476D6D"/>
    <w:rsid w:val="00476E03"/>
    <w:rsid w:val="00476FBA"/>
    <w:rsid w:val="00476FEB"/>
    <w:rsid w:val="0047713B"/>
    <w:rsid w:val="00477181"/>
    <w:rsid w:val="004771ED"/>
    <w:rsid w:val="00477205"/>
    <w:rsid w:val="00477217"/>
    <w:rsid w:val="004772F9"/>
    <w:rsid w:val="00477486"/>
    <w:rsid w:val="004775F8"/>
    <w:rsid w:val="0047765E"/>
    <w:rsid w:val="00477735"/>
    <w:rsid w:val="004777BC"/>
    <w:rsid w:val="004777F3"/>
    <w:rsid w:val="00477906"/>
    <w:rsid w:val="00477917"/>
    <w:rsid w:val="00477A1C"/>
    <w:rsid w:val="00477B7B"/>
    <w:rsid w:val="00477DE4"/>
    <w:rsid w:val="00477EC0"/>
    <w:rsid w:val="00477F82"/>
    <w:rsid w:val="00477FA5"/>
    <w:rsid w:val="00480017"/>
    <w:rsid w:val="004801A3"/>
    <w:rsid w:val="004801D2"/>
    <w:rsid w:val="0048033F"/>
    <w:rsid w:val="00480509"/>
    <w:rsid w:val="0048056A"/>
    <w:rsid w:val="00480570"/>
    <w:rsid w:val="0048068C"/>
    <w:rsid w:val="00480695"/>
    <w:rsid w:val="004806C9"/>
    <w:rsid w:val="00480908"/>
    <w:rsid w:val="00480982"/>
    <w:rsid w:val="00480A68"/>
    <w:rsid w:val="00480AAB"/>
    <w:rsid w:val="00480AC1"/>
    <w:rsid w:val="00480AD0"/>
    <w:rsid w:val="00480B60"/>
    <w:rsid w:val="00480BB7"/>
    <w:rsid w:val="00480CE7"/>
    <w:rsid w:val="00480D9A"/>
    <w:rsid w:val="00480E81"/>
    <w:rsid w:val="00480EE7"/>
    <w:rsid w:val="00480F24"/>
    <w:rsid w:val="00481181"/>
    <w:rsid w:val="0048133E"/>
    <w:rsid w:val="0048145F"/>
    <w:rsid w:val="00481518"/>
    <w:rsid w:val="00481541"/>
    <w:rsid w:val="004815BA"/>
    <w:rsid w:val="004816B6"/>
    <w:rsid w:val="004816BC"/>
    <w:rsid w:val="00481723"/>
    <w:rsid w:val="004817A5"/>
    <w:rsid w:val="004817EB"/>
    <w:rsid w:val="004817F0"/>
    <w:rsid w:val="0048180D"/>
    <w:rsid w:val="0048185E"/>
    <w:rsid w:val="00481871"/>
    <w:rsid w:val="00481988"/>
    <w:rsid w:val="00481A28"/>
    <w:rsid w:val="00481B4B"/>
    <w:rsid w:val="00481BC1"/>
    <w:rsid w:val="00481CB0"/>
    <w:rsid w:val="00481CE5"/>
    <w:rsid w:val="00481DAC"/>
    <w:rsid w:val="00481E3E"/>
    <w:rsid w:val="004820CF"/>
    <w:rsid w:val="0048213E"/>
    <w:rsid w:val="004821C6"/>
    <w:rsid w:val="00482210"/>
    <w:rsid w:val="00482276"/>
    <w:rsid w:val="004822F1"/>
    <w:rsid w:val="004823BD"/>
    <w:rsid w:val="0048242B"/>
    <w:rsid w:val="00482585"/>
    <w:rsid w:val="004826E1"/>
    <w:rsid w:val="0048271F"/>
    <w:rsid w:val="00482805"/>
    <w:rsid w:val="00482885"/>
    <w:rsid w:val="0048299B"/>
    <w:rsid w:val="004829FC"/>
    <w:rsid w:val="00482A3C"/>
    <w:rsid w:val="00482AB6"/>
    <w:rsid w:val="00482B08"/>
    <w:rsid w:val="00482B2F"/>
    <w:rsid w:val="00482C0D"/>
    <w:rsid w:val="00482D72"/>
    <w:rsid w:val="00482D7F"/>
    <w:rsid w:val="00482E0E"/>
    <w:rsid w:val="00482E52"/>
    <w:rsid w:val="004831F1"/>
    <w:rsid w:val="0048322C"/>
    <w:rsid w:val="0048329B"/>
    <w:rsid w:val="00483303"/>
    <w:rsid w:val="004833E6"/>
    <w:rsid w:val="004833FD"/>
    <w:rsid w:val="00483597"/>
    <w:rsid w:val="0048359E"/>
    <w:rsid w:val="00483769"/>
    <w:rsid w:val="0048379A"/>
    <w:rsid w:val="0048383C"/>
    <w:rsid w:val="0048387B"/>
    <w:rsid w:val="004838FB"/>
    <w:rsid w:val="004839E6"/>
    <w:rsid w:val="00483A10"/>
    <w:rsid w:val="00483B0F"/>
    <w:rsid w:val="00483B23"/>
    <w:rsid w:val="00483B43"/>
    <w:rsid w:val="00483C65"/>
    <w:rsid w:val="00483FCF"/>
    <w:rsid w:val="00483FDC"/>
    <w:rsid w:val="00484040"/>
    <w:rsid w:val="0048405E"/>
    <w:rsid w:val="00484168"/>
    <w:rsid w:val="004842A8"/>
    <w:rsid w:val="004843D8"/>
    <w:rsid w:val="004844A4"/>
    <w:rsid w:val="004845D7"/>
    <w:rsid w:val="0048468B"/>
    <w:rsid w:val="00484AFF"/>
    <w:rsid w:val="00484B1C"/>
    <w:rsid w:val="00484B39"/>
    <w:rsid w:val="00484BA1"/>
    <w:rsid w:val="00484BDB"/>
    <w:rsid w:val="00484C1A"/>
    <w:rsid w:val="00484CEF"/>
    <w:rsid w:val="00484D44"/>
    <w:rsid w:val="00484D9F"/>
    <w:rsid w:val="00484F23"/>
    <w:rsid w:val="00484F2D"/>
    <w:rsid w:val="00484FC9"/>
    <w:rsid w:val="00485075"/>
    <w:rsid w:val="00485214"/>
    <w:rsid w:val="00485380"/>
    <w:rsid w:val="00485430"/>
    <w:rsid w:val="0048543D"/>
    <w:rsid w:val="00485469"/>
    <w:rsid w:val="004854AF"/>
    <w:rsid w:val="004854C5"/>
    <w:rsid w:val="004854D2"/>
    <w:rsid w:val="004855CE"/>
    <w:rsid w:val="00485626"/>
    <w:rsid w:val="0048566B"/>
    <w:rsid w:val="0048569D"/>
    <w:rsid w:val="004856C1"/>
    <w:rsid w:val="004858E0"/>
    <w:rsid w:val="00485934"/>
    <w:rsid w:val="00485964"/>
    <w:rsid w:val="00485982"/>
    <w:rsid w:val="00485A18"/>
    <w:rsid w:val="00485A6F"/>
    <w:rsid w:val="00485A73"/>
    <w:rsid w:val="00485B1D"/>
    <w:rsid w:val="00485B71"/>
    <w:rsid w:val="00485BE8"/>
    <w:rsid w:val="00485C98"/>
    <w:rsid w:val="00485E2D"/>
    <w:rsid w:val="00485E87"/>
    <w:rsid w:val="00485F1D"/>
    <w:rsid w:val="00485FF6"/>
    <w:rsid w:val="00486032"/>
    <w:rsid w:val="004860B5"/>
    <w:rsid w:val="00486191"/>
    <w:rsid w:val="0048624E"/>
    <w:rsid w:val="004862AC"/>
    <w:rsid w:val="00486454"/>
    <w:rsid w:val="0048648A"/>
    <w:rsid w:val="004864CF"/>
    <w:rsid w:val="0048652D"/>
    <w:rsid w:val="0048656F"/>
    <w:rsid w:val="00486595"/>
    <w:rsid w:val="0048665F"/>
    <w:rsid w:val="004868E1"/>
    <w:rsid w:val="00486A66"/>
    <w:rsid w:val="00486B17"/>
    <w:rsid w:val="00486BC7"/>
    <w:rsid w:val="00486BE4"/>
    <w:rsid w:val="00486C6E"/>
    <w:rsid w:val="00487003"/>
    <w:rsid w:val="0048701A"/>
    <w:rsid w:val="0048705F"/>
    <w:rsid w:val="0048715C"/>
    <w:rsid w:val="00487285"/>
    <w:rsid w:val="00487351"/>
    <w:rsid w:val="00487519"/>
    <w:rsid w:val="00487520"/>
    <w:rsid w:val="0048754F"/>
    <w:rsid w:val="0048757C"/>
    <w:rsid w:val="00487704"/>
    <w:rsid w:val="00487877"/>
    <w:rsid w:val="00487878"/>
    <w:rsid w:val="00487992"/>
    <w:rsid w:val="00487A58"/>
    <w:rsid w:val="00487A80"/>
    <w:rsid w:val="00487BA7"/>
    <w:rsid w:val="00487CE9"/>
    <w:rsid w:val="00487E97"/>
    <w:rsid w:val="00487EBE"/>
    <w:rsid w:val="004900E7"/>
    <w:rsid w:val="0049018B"/>
    <w:rsid w:val="00490198"/>
    <w:rsid w:val="004901D7"/>
    <w:rsid w:val="00490293"/>
    <w:rsid w:val="004903AD"/>
    <w:rsid w:val="00490429"/>
    <w:rsid w:val="0049046C"/>
    <w:rsid w:val="0049050F"/>
    <w:rsid w:val="00490537"/>
    <w:rsid w:val="00490640"/>
    <w:rsid w:val="004906EB"/>
    <w:rsid w:val="0049070C"/>
    <w:rsid w:val="00490770"/>
    <w:rsid w:val="00490805"/>
    <w:rsid w:val="0049089F"/>
    <w:rsid w:val="0049099E"/>
    <w:rsid w:val="0049099F"/>
    <w:rsid w:val="00490BEB"/>
    <w:rsid w:val="00490C5C"/>
    <w:rsid w:val="00490FB7"/>
    <w:rsid w:val="004910E2"/>
    <w:rsid w:val="00491180"/>
    <w:rsid w:val="00491215"/>
    <w:rsid w:val="0049121B"/>
    <w:rsid w:val="004914A0"/>
    <w:rsid w:val="00491545"/>
    <w:rsid w:val="00491697"/>
    <w:rsid w:val="004918F1"/>
    <w:rsid w:val="004919D9"/>
    <w:rsid w:val="00491E06"/>
    <w:rsid w:val="00491E9F"/>
    <w:rsid w:val="00491F3D"/>
    <w:rsid w:val="004921AA"/>
    <w:rsid w:val="004922E3"/>
    <w:rsid w:val="00492368"/>
    <w:rsid w:val="004923A1"/>
    <w:rsid w:val="004923ED"/>
    <w:rsid w:val="00492408"/>
    <w:rsid w:val="00492556"/>
    <w:rsid w:val="00492802"/>
    <w:rsid w:val="00492928"/>
    <w:rsid w:val="00492AB0"/>
    <w:rsid w:val="00492B11"/>
    <w:rsid w:val="00492B2F"/>
    <w:rsid w:val="00492FA1"/>
    <w:rsid w:val="00492FC6"/>
    <w:rsid w:val="0049315F"/>
    <w:rsid w:val="004931CA"/>
    <w:rsid w:val="004931D0"/>
    <w:rsid w:val="00493342"/>
    <w:rsid w:val="004933AE"/>
    <w:rsid w:val="00493551"/>
    <w:rsid w:val="004935BD"/>
    <w:rsid w:val="0049364B"/>
    <w:rsid w:val="00493660"/>
    <w:rsid w:val="00493687"/>
    <w:rsid w:val="00493791"/>
    <w:rsid w:val="004937A8"/>
    <w:rsid w:val="0049397F"/>
    <w:rsid w:val="00493AFF"/>
    <w:rsid w:val="00493B2D"/>
    <w:rsid w:val="00493B63"/>
    <w:rsid w:val="00493BA7"/>
    <w:rsid w:val="00493BEE"/>
    <w:rsid w:val="00493BF3"/>
    <w:rsid w:val="00493D92"/>
    <w:rsid w:val="00493E91"/>
    <w:rsid w:val="00493EA2"/>
    <w:rsid w:val="00493FF7"/>
    <w:rsid w:val="00494041"/>
    <w:rsid w:val="0049415C"/>
    <w:rsid w:val="004941B8"/>
    <w:rsid w:val="004941BF"/>
    <w:rsid w:val="004941D0"/>
    <w:rsid w:val="00494265"/>
    <w:rsid w:val="004942CA"/>
    <w:rsid w:val="0049434C"/>
    <w:rsid w:val="00494356"/>
    <w:rsid w:val="004944E3"/>
    <w:rsid w:val="00494641"/>
    <w:rsid w:val="004946E0"/>
    <w:rsid w:val="00494767"/>
    <w:rsid w:val="00494995"/>
    <w:rsid w:val="004949E1"/>
    <w:rsid w:val="00494A7E"/>
    <w:rsid w:val="00494A9F"/>
    <w:rsid w:val="00494AB6"/>
    <w:rsid w:val="00494B0A"/>
    <w:rsid w:val="00494C00"/>
    <w:rsid w:val="00494CDB"/>
    <w:rsid w:val="00495060"/>
    <w:rsid w:val="004951EE"/>
    <w:rsid w:val="004952E9"/>
    <w:rsid w:val="00495360"/>
    <w:rsid w:val="0049537B"/>
    <w:rsid w:val="004954FA"/>
    <w:rsid w:val="00495613"/>
    <w:rsid w:val="00495633"/>
    <w:rsid w:val="004957E5"/>
    <w:rsid w:val="004959E3"/>
    <w:rsid w:val="00495B3A"/>
    <w:rsid w:val="00495C05"/>
    <w:rsid w:val="00495CD1"/>
    <w:rsid w:val="00495D90"/>
    <w:rsid w:val="00495E0C"/>
    <w:rsid w:val="00495E2E"/>
    <w:rsid w:val="004960B2"/>
    <w:rsid w:val="004960C0"/>
    <w:rsid w:val="00496250"/>
    <w:rsid w:val="004962D1"/>
    <w:rsid w:val="004962E8"/>
    <w:rsid w:val="004962F1"/>
    <w:rsid w:val="00496520"/>
    <w:rsid w:val="004966F9"/>
    <w:rsid w:val="00496738"/>
    <w:rsid w:val="00496792"/>
    <w:rsid w:val="004968F1"/>
    <w:rsid w:val="004968FB"/>
    <w:rsid w:val="0049692D"/>
    <w:rsid w:val="00496974"/>
    <w:rsid w:val="00496997"/>
    <w:rsid w:val="00496A35"/>
    <w:rsid w:val="00496AAC"/>
    <w:rsid w:val="00496B3D"/>
    <w:rsid w:val="00496B51"/>
    <w:rsid w:val="00496C33"/>
    <w:rsid w:val="00496CBE"/>
    <w:rsid w:val="00496CF9"/>
    <w:rsid w:val="00496D10"/>
    <w:rsid w:val="00496D53"/>
    <w:rsid w:val="00496D71"/>
    <w:rsid w:val="00496E21"/>
    <w:rsid w:val="00496E51"/>
    <w:rsid w:val="00496E8A"/>
    <w:rsid w:val="00496EB4"/>
    <w:rsid w:val="00497093"/>
    <w:rsid w:val="004970AB"/>
    <w:rsid w:val="00497117"/>
    <w:rsid w:val="0049711E"/>
    <w:rsid w:val="004971CA"/>
    <w:rsid w:val="004973EE"/>
    <w:rsid w:val="0049741A"/>
    <w:rsid w:val="004974D0"/>
    <w:rsid w:val="004974EA"/>
    <w:rsid w:val="00497519"/>
    <w:rsid w:val="00497552"/>
    <w:rsid w:val="004975B9"/>
    <w:rsid w:val="00497840"/>
    <w:rsid w:val="004978EF"/>
    <w:rsid w:val="00497929"/>
    <w:rsid w:val="00497973"/>
    <w:rsid w:val="004979C1"/>
    <w:rsid w:val="00497A81"/>
    <w:rsid w:val="00497B29"/>
    <w:rsid w:val="00497CB3"/>
    <w:rsid w:val="00497CF9"/>
    <w:rsid w:val="00497D80"/>
    <w:rsid w:val="00497DAA"/>
    <w:rsid w:val="00497EC7"/>
    <w:rsid w:val="00497EF7"/>
    <w:rsid w:val="00497FCE"/>
    <w:rsid w:val="004A00BF"/>
    <w:rsid w:val="004A00D3"/>
    <w:rsid w:val="004A0389"/>
    <w:rsid w:val="004A03E1"/>
    <w:rsid w:val="004A0475"/>
    <w:rsid w:val="004A047B"/>
    <w:rsid w:val="004A04AF"/>
    <w:rsid w:val="004A07C1"/>
    <w:rsid w:val="004A081A"/>
    <w:rsid w:val="004A0948"/>
    <w:rsid w:val="004A09D2"/>
    <w:rsid w:val="004A0B98"/>
    <w:rsid w:val="004A0BEC"/>
    <w:rsid w:val="004A0C1A"/>
    <w:rsid w:val="004A0C89"/>
    <w:rsid w:val="004A0C8F"/>
    <w:rsid w:val="004A0CD4"/>
    <w:rsid w:val="004A0D04"/>
    <w:rsid w:val="004A0D56"/>
    <w:rsid w:val="004A0DE7"/>
    <w:rsid w:val="004A0E66"/>
    <w:rsid w:val="004A0EB9"/>
    <w:rsid w:val="004A0EC1"/>
    <w:rsid w:val="004A1007"/>
    <w:rsid w:val="004A10AB"/>
    <w:rsid w:val="004A10D5"/>
    <w:rsid w:val="004A1174"/>
    <w:rsid w:val="004A11C7"/>
    <w:rsid w:val="004A1377"/>
    <w:rsid w:val="004A1408"/>
    <w:rsid w:val="004A1414"/>
    <w:rsid w:val="004A1680"/>
    <w:rsid w:val="004A1975"/>
    <w:rsid w:val="004A197E"/>
    <w:rsid w:val="004A1A53"/>
    <w:rsid w:val="004A1A78"/>
    <w:rsid w:val="004A1AB6"/>
    <w:rsid w:val="004A1D09"/>
    <w:rsid w:val="004A1E6D"/>
    <w:rsid w:val="004A1F88"/>
    <w:rsid w:val="004A1F8E"/>
    <w:rsid w:val="004A2030"/>
    <w:rsid w:val="004A20EE"/>
    <w:rsid w:val="004A21B3"/>
    <w:rsid w:val="004A24E9"/>
    <w:rsid w:val="004A25B9"/>
    <w:rsid w:val="004A269D"/>
    <w:rsid w:val="004A2720"/>
    <w:rsid w:val="004A27C5"/>
    <w:rsid w:val="004A2839"/>
    <w:rsid w:val="004A2868"/>
    <w:rsid w:val="004A292F"/>
    <w:rsid w:val="004A29B9"/>
    <w:rsid w:val="004A2A42"/>
    <w:rsid w:val="004A2AE1"/>
    <w:rsid w:val="004A2B9D"/>
    <w:rsid w:val="004A2D15"/>
    <w:rsid w:val="004A2D21"/>
    <w:rsid w:val="004A2D8A"/>
    <w:rsid w:val="004A2E68"/>
    <w:rsid w:val="004A2F13"/>
    <w:rsid w:val="004A30D4"/>
    <w:rsid w:val="004A3126"/>
    <w:rsid w:val="004A3213"/>
    <w:rsid w:val="004A3298"/>
    <w:rsid w:val="004A3409"/>
    <w:rsid w:val="004A347C"/>
    <w:rsid w:val="004A34DD"/>
    <w:rsid w:val="004A3540"/>
    <w:rsid w:val="004A355B"/>
    <w:rsid w:val="004A35B9"/>
    <w:rsid w:val="004A3692"/>
    <w:rsid w:val="004A3710"/>
    <w:rsid w:val="004A371A"/>
    <w:rsid w:val="004A379C"/>
    <w:rsid w:val="004A37BA"/>
    <w:rsid w:val="004A3920"/>
    <w:rsid w:val="004A397A"/>
    <w:rsid w:val="004A3984"/>
    <w:rsid w:val="004A3A2D"/>
    <w:rsid w:val="004A3A51"/>
    <w:rsid w:val="004A3B6F"/>
    <w:rsid w:val="004A3BFA"/>
    <w:rsid w:val="004A3CC9"/>
    <w:rsid w:val="004A3D3D"/>
    <w:rsid w:val="004A3D95"/>
    <w:rsid w:val="004A3E55"/>
    <w:rsid w:val="004A3F17"/>
    <w:rsid w:val="004A3FF8"/>
    <w:rsid w:val="004A404A"/>
    <w:rsid w:val="004A4118"/>
    <w:rsid w:val="004A419A"/>
    <w:rsid w:val="004A41F2"/>
    <w:rsid w:val="004A41FF"/>
    <w:rsid w:val="004A4222"/>
    <w:rsid w:val="004A4343"/>
    <w:rsid w:val="004A4454"/>
    <w:rsid w:val="004A4582"/>
    <w:rsid w:val="004A4694"/>
    <w:rsid w:val="004A46A5"/>
    <w:rsid w:val="004A4741"/>
    <w:rsid w:val="004A4783"/>
    <w:rsid w:val="004A4AE9"/>
    <w:rsid w:val="004A4B7A"/>
    <w:rsid w:val="004A4BF5"/>
    <w:rsid w:val="004A4C39"/>
    <w:rsid w:val="004A4DF6"/>
    <w:rsid w:val="004A4E60"/>
    <w:rsid w:val="004A4EC0"/>
    <w:rsid w:val="004A4F9D"/>
    <w:rsid w:val="004A5084"/>
    <w:rsid w:val="004A5104"/>
    <w:rsid w:val="004A5131"/>
    <w:rsid w:val="004A5137"/>
    <w:rsid w:val="004A5196"/>
    <w:rsid w:val="004A51B9"/>
    <w:rsid w:val="004A5435"/>
    <w:rsid w:val="004A54F4"/>
    <w:rsid w:val="004A5526"/>
    <w:rsid w:val="004A55F3"/>
    <w:rsid w:val="004A5706"/>
    <w:rsid w:val="004A57CD"/>
    <w:rsid w:val="004A5835"/>
    <w:rsid w:val="004A587D"/>
    <w:rsid w:val="004A591B"/>
    <w:rsid w:val="004A59E6"/>
    <w:rsid w:val="004A5B67"/>
    <w:rsid w:val="004A5BA2"/>
    <w:rsid w:val="004A5C50"/>
    <w:rsid w:val="004A5CC0"/>
    <w:rsid w:val="004A5CEE"/>
    <w:rsid w:val="004A5D31"/>
    <w:rsid w:val="004A5D95"/>
    <w:rsid w:val="004A5DD0"/>
    <w:rsid w:val="004A5DD1"/>
    <w:rsid w:val="004A604A"/>
    <w:rsid w:val="004A616C"/>
    <w:rsid w:val="004A622B"/>
    <w:rsid w:val="004A6274"/>
    <w:rsid w:val="004A62F1"/>
    <w:rsid w:val="004A633A"/>
    <w:rsid w:val="004A6343"/>
    <w:rsid w:val="004A6392"/>
    <w:rsid w:val="004A64ED"/>
    <w:rsid w:val="004A6554"/>
    <w:rsid w:val="004A67C5"/>
    <w:rsid w:val="004A6904"/>
    <w:rsid w:val="004A694B"/>
    <w:rsid w:val="004A69AF"/>
    <w:rsid w:val="004A69B8"/>
    <w:rsid w:val="004A6AC7"/>
    <w:rsid w:val="004A6C0C"/>
    <w:rsid w:val="004A6D4A"/>
    <w:rsid w:val="004A6D98"/>
    <w:rsid w:val="004A6E4B"/>
    <w:rsid w:val="004A6F49"/>
    <w:rsid w:val="004A7096"/>
    <w:rsid w:val="004A7142"/>
    <w:rsid w:val="004A715C"/>
    <w:rsid w:val="004A7183"/>
    <w:rsid w:val="004A718F"/>
    <w:rsid w:val="004A7308"/>
    <w:rsid w:val="004A73F8"/>
    <w:rsid w:val="004A741B"/>
    <w:rsid w:val="004A748C"/>
    <w:rsid w:val="004A7513"/>
    <w:rsid w:val="004A7538"/>
    <w:rsid w:val="004A75E8"/>
    <w:rsid w:val="004A75EE"/>
    <w:rsid w:val="004A7732"/>
    <w:rsid w:val="004A77D3"/>
    <w:rsid w:val="004A77E5"/>
    <w:rsid w:val="004A7849"/>
    <w:rsid w:val="004A78B9"/>
    <w:rsid w:val="004A78C9"/>
    <w:rsid w:val="004A7903"/>
    <w:rsid w:val="004A7A43"/>
    <w:rsid w:val="004A7A8C"/>
    <w:rsid w:val="004A7AA2"/>
    <w:rsid w:val="004A7BE1"/>
    <w:rsid w:val="004A7DAA"/>
    <w:rsid w:val="004A7F5C"/>
    <w:rsid w:val="004B0187"/>
    <w:rsid w:val="004B0222"/>
    <w:rsid w:val="004B02A4"/>
    <w:rsid w:val="004B0326"/>
    <w:rsid w:val="004B036F"/>
    <w:rsid w:val="004B03A6"/>
    <w:rsid w:val="004B0580"/>
    <w:rsid w:val="004B0679"/>
    <w:rsid w:val="004B0860"/>
    <w:rsid w:val="004B095D"/>
    <w:rsid w:val="004B0AE1"/>
    <w:rsid w:val="004B0B0E"/>
    <w:rsid w:val="004B0B6B"/>
    <w:rsid w:val="004B0B6F"/>
    <w:rsid w:val="004B0C19"/>
    <w:rsid w:val="004B0C59"/>
    <w:rsid w:val="004B0CDD"/>
    <w:rsid w:val="004B0D78"/>
    <w:rsid w:val="004B0DB6"/>
    <w:rsid w:val="004B0DDF"/>
    <w:rsid w:val="004B0E60"/>
    <w:rsid w:val="004B0ECC"/>
    <w:rsid w:val="004B0EF1"/>
    <w:rsid w:val="004B116C"/>
    <w:rsid w:val="004B1197"/>
    <w:rsid w:val="004B1234"/>
    <w:rsid w:val="004B126F"/>
    <w:rsid w:val="004B13AE"/>
    <w:rsid w:val="004B13CF"/>
    <w:rsid w:val="004B13EF"/>
    <w:rsid w:val="004B1421"/>
    <w:rsid w:val="004B145E"/>
    <w:rsid w:val="004B14D6"/>
    <w:rsid w:val="004B1523"/>
    <w:rsid w:val="004B1534"/>
    <w:rsid w:val="004B1565"/>
    <w:rsid w:val="004B1632"/>
    <w:rsid w:val="004B16DB"/>
    <w:rsid w:val="004B16F9"/>
    <w:rsid w:val="004B1777"/>
    <w:rsid w:val="004B1999"/>
    <w:rsid w:val="004B19C0"/>
    <w:rsid w:val="004B19F6"/>
    <w:rsid w:val="004B1A3C"/>
    <w:rsid w:val="004B1A79"/>
    <w:rsid w:val="004B1B79"/>
    <w:rsid w:val="004B1B91"/>
    <w:rsid w:val="004B1C85"/>
    <w:rsid w:val="004B1D28"/>
    <w:rsid w:val="004B1DA1"/>
    <w:rsid w:val="004B1E40"/>
    <w:rsid w:val="004B1F08"/>
    <w:rsid w:val="004B1F5E"/>
    <w:rsid w:val="004B1FD2"/>
    <w:rsid w:val="004B214C"/>
    <w:rsid w:val="004B2164"/>
    <w:rsid w:val="004B21BD"/>
    <w:rsid w:val="004B21BE"/>
    <w:rsid w:val="004B2229"/>
    <w:rsid w:val="004B238A"/>
    <w:rsid w:val="004B2402"/>
    <w:rsid w:val="004B242C"/>
    <w:rsid w:val="004B2792"/>
    <w:rsid w:val="004B27FA"/>
    <w:rsid w:val="004B2817"/>
    <w:rsid w:val="004B2A6B"/>
    <w:rsid w:val="004B2C33"/>
    <w:rsid w:val="004B2C55"/>
    <w:rsid w:val="004B2CE5"/>
    <w:rsid w:val="004B2D12"/>
    <w:rsid w:val="004B2D52"/>
    <w:rsid w:val="004B2D81"/>
    <w:rsid w:val="004B2E3A"/>
    <w:rsid w:val="004B2E89"/>
    <w:rsid w:val="004B2F42"/>
    <w:rsid w:val="004B3090"/>
    <w:rsid w:val="004B3158"/>
    <w:rsid w:val="004B3195"/>
    <w:rsid w:val="004B3205"/>
    <w:rsid w:val="004B321E"/>
    <w:rsid w:val="004B32E6"/>
    <w:rsid w:val="004B3365"/>
    <w:rsid w:val="004B345B"/>
    <w:rsid w:val="004B34A3"/>
    <w:rsid w:val="004B354E"/>
    <w:rsid w:val="004B3599"/>
    <w:rsid w:val="004B35FD"/>
    <w:rsid w:val="004B3631"/>
    <w:rsid w:val="004B3646"/>
    <w:rsid w:val="004B3898"/>
    <w:rsid w:val="004B391A"/>
    <w:rsid w:val="004B39F6"/>
    <w:rsid w:val="004B3C42"/>
    <w:rsid w:val="004B3C5A"/>
    <w:rsid w:val="004B3D61"/>
    <w:rsid w:val="004B3E3B"/>
    <w:rsid w:val="004B401C"/>
    <w:rsid w:val="004B41E4"/>
    <w:rsid w:val="004B4240"/>
    <w:rsid w:val="004B4337"/>
    <w:rsid w:val="004B44FC"/>
    <w:rsid w:val="004B45E6"/>
    <w:rsid w:val="004B4667"/>
    <w:rsid w:val="004B475F"/>
    <w:rsid w:val="004B4770"/>
    <w:rsid w:val="004B4771"/>
    <w:rsid w:val="004B482A"/>
    <w:rsid w:val="004B484F"/>
    <w:rsid w:val="004B4A8C"/>
    <w:rsid w:val="004B4AEC"/>
    <w:rsid w:val="004B4B22"/>
    <w:rsid w:val="004B4BD4"/>
    <w:rsid w:val="004B4C36"/>
    <w:rsid w:val="004B4CCE"/>
    <w:rsid w:val="004B4EEB"/>
    <w:rsid w:val="004B55C4"/>
    <w:rsid w:val="004B562D"/>
    <w:rsid w:val="004B5744"/>
    <w:rsid w:val="004B577B"/>
    <w:rsid w:val="004B585C"/>
    <w:rsid w:val="004B58D1"/>
    <w:rsid w:val="004B591B"/>
    <w:rsid w:val="004B5B29"/>
    <w:rsid w:val="004B5BDF"/>
    <w:rsid w:val="004B5C14"/>
    <w:rsid w:val="004B5C72"/>
    <w:rsid w:val="004B5CA7"/>
    <w:rsid w:val="004B5CBC"/>
    <w:rsid w:val="004B5D1D"/>
    <w:rsid w:val="004B5D76"/>
    <w:rsid w:val="004B5E9F"/>
    <w:rsid w:val="004B5F3D"/>
    <w:rsid w:val="004B5FB9"/>
    <w:rsid w:val="004B6044"/>
    <w:rsid w:val="004B6097"/>
    <w:rsid w:val="004B613D"/>
    <w:rsid w:val="004B6344"/>
    <w:rsid w:val="004B640E"/>
    <w:rsid w:val="004B645B"/>
    <w:rsid w:val="004B6474"/>
    <w:rsid w:val="004B64C5"/>
    <w:rsid w:val="004B6555"/>
    <w:rsid w:val="004B66CC"/>
    <w:rsid w:val="004B686F"/>
    <w:rsid w:val="004B691D"/>
    <w:rsid w:val="004B6AD4"/>
    <w:rsid w:val="004B6B20"/>
    <w:rsid w:val="004B6B27"/>
    <w:rsid w:val="004B6BEF"/>
    <w:rsid w:val="004B6CA3"/>
    <w:rsid w:val="004B6CF9"/>
    <w:rsid w:val="004B6D51"/>
    <w:rsid w:val="004B6DE5"/>
    <w:rsid w:val="004B6E42"/>
    <w:rsid w:val="004B70FB"/>
    <w:rsid w:val="004B7299"/>
    <w:rsid w:val="004B72F8"/>
    <w:rsid w:val="004B746F"/>
    <w:rsid w:val="004B76CF"/>
    <w:rsid w:val="004B76EF"/>
    <w:rsid w:val="004B7783"/>
    <w:rsid w:val="004B77EC"/>
    <w:rsid w:val="004B7D03"/>
    <w:rsid w:val="004B7D6E"/>
    <w:rsid w:val="004B7EBD"/>
    <w:rsid w:val="004B7F58"/>
    <w:rsid w:val="004C0087"/>
    <w:rsid w:val="004C01E4"/>
    <w:rsid w:val="004C01F6"/>
    <w:rsid w:val="004C03C9"/>
    <w:rsid w:val="004C0600"/>
    <w:rsid w:val="004C066A"/>
    <w:rsid w:val="004C06BB"/>
    <w:rsid w:val="004C0719"/>
    <w:rsid w:val="004C075F"/>
    <w:rsid w:val="004C07BF"/>
    <w:rsid w:val="004C0851"/>
    <w:rsid w:val="004C089B"/>
    <w:rsid w:val="004C089D"/>
    <w:rsid w:val="004C08B7"/>
    <w:rsid w:val="004C0912"/>
    <w:rsid w:val="004C0A42"/>
    <w:rsid w:val="004C0A6B"/>
    <w:rsid w:val="004C0A85"/>
    <w:rsid w:val="004C0B1E"/>
    <w:rsid w:val="004C0B50"/>
    <w:rsid w:val="004C0E3A"/>
    <w:rsid w:val="004C0E8C"/>
    <w:rsid w:val="004C0F17"/>
    <w:rsid w:val="004C0F36"/>
    <w:rsid w:val="004C0F99"/>
    <w:rsid w:val="004C0FC7"/>
    <w:rsid w:val="004C0FFB"/>
    <w:rsid w:val="004C1064"/>
    <w:rsid w:val="004C10B5"/>
    <w:rsid w:val="004C110B"/>
    <w:rsid w:val="004C116C"/>
    <w:rsid w:val="004C1222"/>
    <w:rsid w:val="004C12E5"/>
    <w:rsid w:val="004C139E"/>
    <w:rsid w:val="004C1449"/>
    <w:rsid w:val="004C1463"/>
    <w:rsid w:val="004C151E"/>
    <w:rsid w:val="004C16E7"/>
    <w:rsid w:val="004C1799"/>
    <w:rsid w:val="004C1865"/>
    <w:rsid w:val="004C18DF"/>
    <w:rsid w:val="004C1937"/>
    <w:rsid w:val="004C1942"/>
    <w:rsid w:val="004C19B6"/>
    <w:rsid w:val="004C1A13"/>
    <w:rsid w:val="004C1A77"/>
    <w:rsid w:val="004C1AE3"/>
    <w:rsid w:val="004C1C4D"/>
    <w:rsid w:val="004C1D1E"/>
    <w:rsid w:val="004C1DFA"/>
    <w:rsid w:val="004C1E1F"/>
    <w:rsid w:val="004C2127"/>
    <w:rsid w:val="004C2197"/>
    <w:rsid w:val="004C21E6"/>
    <w:rsid w:val="004C22ED"/>
    <w:rsid w:val="004C2359"/>
    <w:rsid w:val="004C238C"/>
    <w:rsid w:val="004C23B1"/>
    <w:rsid w:val="004C2417"/>
    <w:rsid w:val="004C2461"/>
    <w:rsid w:val="004C2466"/>
    <w:rsid w:val="004C256C"/>
    <w:rsid w:val="004C25AB"/>
    <w:rsid w:val="004C2606"/>
    <w:rsid w:val="004C2721"/>
    <w:rsid w:val="004C2732"/>
    <w:rsid w:val="004C2804"/>
    <w:rsid w:val="004C2828"/>
    <w:rsid w:val="004C28BC"/>
    <w:rsid w:val="004C28D7"/>
    <w:rsid w:val="004C2932"/>
    <w:rsid w:val="004C2945"/>
    <w:rsid w:val="004C2962"/>
    <w:rsid w:val="004C2AD3"/>
    <w:rsid w:val="004C2B82"/>
    <w:rsid w:val="004C2BB4"/>
    <w:rsid w:val="004C2C7E"/>
    <w:rsid w:val="004C2DA0"/>
    <w:rsid w:val="004C2E67"/>
    <w:rsid w:val="004C2F1F"/>
    <w:rsid w:val="004C2FBC"/>
    <w:rsid w:val="004C306D"/>
    <w:rsid w:val="004C312E"/>
    <w:rsid w:val="004C31B7"/>
    <w:rsid w:val="004C325A"/>
    <w:rsid w:val="004C33EF"/>
    <w:rsid w:val="004C3548"/>
    <w:rsid w:val="004C35EB"/>
    <w:rsid w:val="004C374E"/>
    <w:rsid w:val="004C37B1"/>
    <w:rsid w:val="004C3A15"/>
    <w:rsid w:val="004C3A1D"/>
    <w:rsid w:val="004C3A20"/>
    <w:rsid w:val="004C3A3E"/>
    <w:rsid w:val="004C3B54"/>
    <w:rsid w:val="004C3B9B"/>
    <w:rsid w:val="004C3C34"/>
    <w:rsid w:val="004C3CCA"/>
    <w:rsid w:val="004C3E48"/>
    <w:rsid w:val="004C3EE0"/>
    <w:rsid w:val="004C3F76"/>
    <w:rsid w:val="004C3FC9"/>
    <w:rsid w:val="004C408F"/>
    <w:rsid w:val="004C4579"/>
    <w:rsid w:val="004C4603"/>
    <w:rsid w:val="004C483B"/>
    <w:rsid w:val="004C4855"/>
    <w:rsid w:val="004C48EF"/>
    <w:rsid w:val="004C4B84"/>
    <w:rsid w:val="004C4C1C"/>
    <w:rsid w:val="004C4C69"/>
    <w:rsid w:val="004C4CF6"/>
    <w:rsid w:val="004C4CFA"/>
    <w:rsid w:val="004C4D68"/>
    <w:rsid w:val="004C4D86"/>
    <w:rsid w:val="004C4E1B"/>
    <w:rsid w:val="004C4E73"/>
    <w:rsid w:val="004C50E3"/>
    <w:rsid w:val="004C51D4"/>
    <w:rsid w:val="004C5237"/>
    <w:rsid w:val="004C55C8"/>
    <w:rsid w:val="004C57FD"/>
    <w:rsid w:val="004C58B2"/>
    <w:rsid w:val="004C58DF"/>
    <w:rsid w:val="004C5955"/>
    <w:rsid w:val="004C5973"/>
    <w:rsid w:val="004C5976"/>
    <w:rsid w:val="004C598C"/>
    <w:rsid w:val="004C5A20"/>
    <w:rsid w:val="004C5A26"/>
    <w:rsid w:val="004C5A62"/>
    <w:rsid w:val="004C5BF7"/>
    <w:rsid w:val="004C5C7E"/>
    <w:rsid w:val="004C5D1F"/>
    <w:rsid w:val="004C6097"/>
    <w:rsid w:val="004C60EE"/>
    <w:rsid w:val="004C61FA"/>
    <w:rsid w:val="004C624D"/>
    <w:rsid w:val="004C63DB"/>
    <w:rsid w:val="004C6475"/>
    <w:rsid w:val="004C657B"/>
    <w:rsid w:val="004C65CE"/>
    <w:rsid w:val="004C67B5"/>
    <w:rsid w:val="004C6966"/>
    <w:rsid w:val="004C6AC4"/>
    <w:rsid w:val="004C6B62"/>
    <w:rsid w:val="004C6BA1"/>
    <w:rsid w:val="004C6C20"/>
    <w:rsid w:val="004C6CF2"/>
    <w:rsid w:val="004C6DAE"/>
    <w:rsid w:val="004C6E15"/>
    <w:rsid w:val="004C7101"/>
    <w:rsid w:val="004C711C"/>
    <w:rsid w:val="004C7215"/>
    <w:rsid w:val="004C73B1"/>
    <w:rsid w:val="004C7418"/>
    <w:rsid w:val="004C74EE"/>
    <w:rsid w:val="004C75DB"/>
    <w:rsid w:val="004C75EC"/>
    <w:rsid w:val="004C766C"/>
    <w:rsid w:val="004C7965"/>
    <w:rsid w:val="004C7B1F"/>
    <w:rsid w:val="004C7CD4"/>
    <w:rsid w:val="004C7CE7"/>
    <w:rsid w:val="004C7ED5"/>
    <w:rsid w:val="004C7FB4"/>
    <w:rsid w:val="004D0002"/>
    <w:rsid w:val="004D0006"/>
    <w:rsid w:val="004D0169"/>
    <w:rsid w:val="004D0223"/>
    <w:rsid w:val="004D037C"/>
    <w:rsid w:val="004D0400"/>
    <w:rsid w:val="004D045B"/>
    <w:rsid w:val="004D04B7"/>
    <w:rsid w:val="004D04CD"/>
    <w:rsid w:val="004D0694"/>
    <w:rsid w:val="004D06D0"/>
    <w:rsid w:val="004D0845"/>
    <w:rsid w:val="004D0C2A"/>
    <w:rsid w:val="004D0C3E"/>
    <w:rsid w:val="004D0CEC"/>
    <w:rsid w:val="004D0CED"/>
    <w:rsid w:val="004D0DAD"/>
    <w:rsid w:val="004D0EA0"/>
    <w:rsid w:val="004D0EA2"/>
    <w:rsid w:val="004D0ECF"/>
    <w:rsid w:val="004D0F8A"/>
    <w:rsid w:val="004D1061"/>
    <w:rsid w:val="004D10D3"/>
    <w:rsid w:val="004D1166"/>
    <w:rsid w:val="004D12E0"/>
    <w:rsid w:val="004D1345"/>
    <w:rsid w:val="004D13D4"/>
    <w:rsid w:val="004D1496"/>
    <w:rsid w:val="004D14C3"/>
    <w:rsid w:val="004D15D4"/>
    <w:rsid w:val="004D1622"/>
    <w:rsid w:val="004D169A"/>
    <w:rsid w:val="004D16E1"/>
    <w:rsid w:val="004D180B"/>
    <w:rsid w:val="004D187D"/>
    <w:rsid w:val="004D1913"/>
    <w:rsid w:val="004D1993"/>
    <w:rsid w:val="004D19A5"/>
    <w:rsid w:val="004D19E7"/>
    <w:rsid w:val="004D1AFE"/>
    <w:rsid w:val="004D1B6B"/>
    <w:rsid w:val="004D1BA6"/>
    <w:rsid w:val="004D1C82"/>
    <w:rsid w:val="004D1D2C"/>
    <w:rsid w:val="004D1D3B"/>
    <w:rsid w:val="004D1EB3"/>
    <w:rsid w:val="004D1FDD"/>
    <w:rsid w:val="004D235A"/>
    <w:rsid w:val="004D23AE"/>
    <w:rsid w:val="004D2486"/>
    <w:rsid w:val="004D24E4"/>
    <w:rsid w:val="004D2506"/>
    <w:rsid w:val="004D2511"/>
    <w:rsid w:val="004D2514"/>
    <w:rsid w:val="004D2685"/>
    <w:rsid w:val="004D28A2"/>
    <w:rsid w:val="004D28EB"/>
    <w:rsid w:val="004D2971"/>
    <w:rsid w:val="004D29B0"/>
    <w:rsid w:val="004D2C49"/>
    <w:rsid w:val="004D2E92"/>
    <w:rsid w:val="004D2F8E"/>
    <w:rsid w:val="004D2F9A"/>
    <w:rsid w:val="004D32E2"/>
    <w:rsid w:val="004D3372"/>
    <w:rsid w:val="004D339B"/>
    <w:rsid w:val="004D3472"/>
    <w:rsid w:val="004D34E2"/>
    <w:rsid w:val="004D34EB"/>
    <w:rsid w:val="004D3561"/>
    <w:rsid w:val="004D3568"/>
    <w:rsid w:val="004D3645"/>
    <w:rsid w:val="004D379C"/>
    <w:rsid w:val="004D3B58"/>
    <w:rsid w:val="004D3B87"/>
    <w:rsid w:val="004D3B9C"/>
    <w:rsid w:val="004D3C1C"/>
    <w:rsid w:val="004D3C61"/>
    <w:rsid w:val="004D3C70"/>
    <w:rsid w:val="004D3CE7"/>
    <w:rsid w:val="004D3DE2"/>
    <w:rsid w:val="004D3E1E"/>
    <w:rsid w:val="004D3EB2"/>
    <w:rsid w:val="004D3EE9"/>
    <w:rsid w:val="004D3F40"/>
    <w:rsid w:val="004D3FA5"/>
    <w:rsid w:val="004D3FCD"/>
    <w:rsid w:val="004D40B0"/>
    <w:rsid w:val="004D4114"/>
    <w:rsid w:val="004D41F3"/>
    <w:rsid w:val="004D433E"/>
    <w:rsid w:val="004D4351"/>
    <w:rsid w:val="004D4397"/>
    <w:rsid w:val="004D43C1"/>
    <w:rsid w:val="004D4592"/>
    <w:rsid w:val="004D46AC"/>
    <w:rsid w:val="004D4750"/>
    <w:rsid w:val="004D4764"/>
    <w:rsid w:val="004D478A"/>
    <w:rsid w:val="004D47AD"/>
    <w:rsid w:val="004D480A"/>
    <w:rsid w:val="004D4816"/>
    <w:rsid w:val="004D4969"/>
    <w:rsid w:val="004D4A09"/>
    <w:rsid w:val="004D4B42"/>
    <w:rsid w:val="004D4B48"/>
    <w:rsid w:val="004D4D1D"/>
    <w:rsid w:val="004D4DEA"/>
    <w:rsid w:val="004D4FCD"/>
    <w:rsid w:val="004D515C"/>
    <w:rsid w:val="004D516B"/>
    <w:rsid w:val="004D5177"/>
    <w:rsid w:val="004D5281"/>
    <w:rsid w:val="004D559F"/>
    <w:rsid w:val="004D5710"/>
    <w:rsid w:val="004D57E3"/>
    <w:rsid w:val="004D586C"/>
    <w:rsid w:val="004D5886"/>
    <w:rsid w:val="004D58B3"/>
    <w:rsid w:val="004D5C54"/>
    <w:rsid w:val="004D5D35"/>
    <w:rsid w:val="004D5DE8"/>
    <w:rsid w:val="004D5E46"/>
    <w:rsid w:val="004D5EDE"/>
    <w:rsid w:val="004D5F8B"/>
    <w:rsid w:val="004D5FAA"/>
    <w:rsid w:val="004D6188"/>
    <w:rsid w:val="004D61A1"/>
    <w:rsid w:val="004D6439"/>
    <w:rsid w:val="004D643A"/>
    <w:rsid w:val="004D6463"/>
    <w:rsid w:val="004D6475"/>
    <w:rsid w:val="004D653D"/>
    <w:rsid w:val="004D65EC"/>
    <w:rsid w:val="004D6779"/>
    <w:rsid w:val="004D6806"/>
    <w:rsid w:val="004D68F3"/>
    <w:rsid w:val="004D693B"/>
    <w:rsid w:val="004D6A3F"/>
    <w:rsid w:val="004D6A92"/>
    <w:rsid w:val="004D6B1D"/>
    <w:rsid w:val="004D6B8A"/>
    <w:rsid w:val="004D6C26"/>
    <w:rsid w:val="004D6C6F"/>
    <w:rsid w:val="004D6CD1"/>
    <w:rsid w:val="004D6D4F"/>
    <w:rsid w:val="004D6DC2"/>
    <w:rsid w:val="004D6DF2"/>
    <w:rsid w:val="004D6E24"/>
    <w:rsid w:val="004D6F65"/>
    <w:rsid w:val="004D6FC2"/>
    <w:rsid w:val="004D7052"/>
    <w:rsid w:val="004D70AF"/>
    <w:rsid w:val="004D71F1"/>
    <w:rsid w:val="004D731D"/>
    <w:rsid w:val="004D74D5"/>
    <w:rsid w:val="004D7547"/>
    <w:rsid w:val="004D77EF"/>
    <w:rsid w:val="004D77F1"/>
    <w:rsid w:val="004D78DD"/>
    <w:rsid w:val="004D79A9"/>
    <w:rsid w:val="004D79CA"/>
    <w:rsid w:val="004D7ACC"/>
    <w:rsid w:val="004D7B05"/>
    <w:rsid w:val="004D7D18"/>
    <w:rsid w:val="004D7E66"/>
    <w:rsid w:val="004D7F6B"/>
    <w:rsid w:val="004D7F9C"/>
    <w:rsid w:val="004E002C"/>
    <w:rsid w:val="004E0143"/>
    <w:rsid w:val="004E01EB"/>
    <w:rsid w:val="004E02C9"/>
    <w:rsid w:val="004E06CF"/>
    <w:rsid w:val="004E06DD"/>
    <w:rsid w:val="004E0787"/>
    <w:rsid w:val="004E07BF"/>
    <w:rsid w:val="004E07F9"/>
    <w:rsid w:val="004E0AEE"/>
    <w:rsid w:val="004E0BEA"/>
    <w:rsid w:val="004E0CCA"/>
    <w:rsid w:val="004E0E1C"/>
    <w:rsid w:val="004E0F84"/>
    <w:rsid w:val="004E0FF2"/>
    <w:rsid w:val="004E1046"/>
    <w:rsid w:val="004E11A7"/>
    <w:rsid w:val="004E1305"/>
    <w:rsid w:val="004E1375"/>
    <w:rsid w:val="004E13F7"/>
    <w:rsid w:val="004E144B"/>
    <w:rsid w:val="004E1504"/>
    <w:rsid w:val="004E151E"/>
    <w:rsid w:val="004E1639"/>
    <w:rsid w:val="004E1651"/>
    <w:rsid w:val="004E16BB"/>
    <w:rsid w:val="004E1747"/>
    <w:rsid w:val="004E1751"/>
    <w:rsid w:val="004E1764"/>
    <w:rsid w:val="004E1780"/>
    <w:rsid w:val="004E17AF"/>
    <w:rsid w:val="004E18D3"/>
    <w:rsid w:val="004E1B11"/>
    <w:rsid w:val="004E1CD4"/>
    <w:rsid w:val="004E1D73"/>
    <w:rsid w:val="004E1E32"/>
    <w:rsid w:val="004E1E79"/>
    <w:rsid w:val="004E1F10"/>
    <w:rsid w:val="004E1F33"/>
    <w:rsid w:val="004E1F64"/>
    <w:rsid w:val="004E1F74"/>
    <w:rsid w:val="004E2084"/>
    <w:rsid w:val="004E20AB"/>
    <w:rsid w:val="004E2145"/>
    <w:rsid w:val="004E21AF"/>
    <w:rsid w:val="004E22BD"/>
    <w:rsid w:val="004E2398"/>
    <w:rsid w:val="004E23B2"/>
    <w:rsid w:val="004E23CB"/>
    <w:rsid w:val="004E2419"/>
    <w:rsid w:val="004E249D"/>
    <w:rsid w:val="004E256D"/>
    <w:rsid w:val="004E26A7"/>
    <w:rsid w:val="004E26B8"/>
    <w:rsid w:val="004E2702"/>
    <w:rsid w:val="004E286A"/>
    <w:rsid w:val="004E291F"/>
    <w:rsid w:val="004E29D2"/>
    <w:rsid w:val="004E29DF"/>
    <w:rsid w:val="004E2C4C"/>
    <w:rsid w:val="004E2D32"/>
    <w:rsid w:val="004E2D6E"/>
    <w:rsid w:val="004E2EF0"/>
    <w:rsid w:val="004E2F5F"/>
    <w:rsid w:val="004E2F8E"/>
    <w:rsid w:val="004E3032"/>
    <w:rsid w:val="004E31ED"/>
    <w:rsid w:val="004E3235"/>
    <w:rsid w:val="004E3298"/>
    <w:rsid w:val="004E32E2"/>
    <w:rsid w:val="004E33AA"/>
    <w:rsid w:val="004E346B"/>
    <w:rsid w:val="004E35AF"/>
    <w:rsid w:val="004E3651"/>
    <w:rsid w:val="004E39C7"/>
    <w:rsid w:val="004E3BD7"/>
    <w:rsid w:val="004E3C58"/>
    <w:rsid w:val="004E3C61"/>
    <w:rsid w:val="004E3E11"/>
    <w:rsid w:val="004E3E8C"/>
    <w:rsid w:val="004E3EBE"/>
    <w:rsid w:val="004E3ECB"/>
    <w:rsid w:val="004E3FE7"/>
    <w:rsid w:val="004E40FF"/>
    <w:rsid w:val="004E415D"/>
    <w:rsid w:val="004E4219"/>
    <w:rsid w:val="004E4274"/>
    <w:rsid w:val="004E4462"/>
    <w:rsid w:val="004E45F3"/>
    <w:rsid w:val="004E4652"/>
    <w:rsid w:val="004E4709"/>
    <w:rsid w:val="004E47D2"/>
    <w:rsid w:val="004E49C1"/>
    <w:rsid w:val="004E49CA"/>
    <w:rsid w:val="004E4A3A"/>
    <w:rsid w:val="004E4B13"/>
    <w:rsid w:val="004E4B5D"/>
    <w:rsid w:val="004E4B61"/>
    <w:rsid w:val="004E4BA3"/>
    <w:rsid w:val="004E4E65"/>
    <w:rsid w:val="004E4EDE"/>
    <w:rsid w:val="004E4F8A"/>
    <w:rsid w:val="004E4FAE"/>
    <w:rsid w:val="004E5163"/>
    <w:rsid w:val="004E5177"/>
    <w:rsid w:val="004E52AF"/>
    <w:rsid w:val="004E5340"/>
    <w:rsid w:val="004E53AE"/>
    <w:rsid w:val="004E53E7"/>
    <w:rsid w:val="004E54A3"/>
    <w:rsid w:val="004E5597"/>
    <w:rsid w:val="004E56DE"/>
    <w:rsid w:val="004E5869"/>
    <w:rsid w:val="004E58DA"/>
    <w:rsid w:val="004E58F1"/>
    <w:rsid w:val="004E592F"/>
    <w:rsid w:val="004E5BC0"/>
    <w:rsid w:val="004E5C42"/>
    <w:rsid w:val="004E5CFE"/>
    <w:rsid w:val="004E5E2C"/>
    <w:rsid w:val="004E5E47"/>
    <w:rsid w:val="004E5E8F"/>
    <w:rsid w:val="004E616A"/>
    <w:rsid w:val="004E62C7"/>
    <w:rsid w:val="004E62CC"/>
    <w:rsid w:val="004E62EB"/>
    <w:rsid w:val="004E64AD"/>
    <w:rsid w:val="004E64F0"/>
    <w:rsid w:val="004E6642"/>
    <w:rsid w:val="004E67AC"/>
    <w:rsid w:val="004E67BE"/>
    <w:rsid w:val="004E67BF"/>
    <w:rsid w:val="004E67CD"/>
    <w:rsid w:val="004E67D9"/>
    <w:rsid w:val="004E68B7"/>
    <w:rsid w:val="004E68D8"/>
    <w:rsid w:val="004E69CA"/>
    <w:rsid w:val="004E6B42"/>
    <w:rsid w:val="004E6B74"/>
    <w:rsid w:val="004E6C42"/>
    <w:rsid w:val="004E6D5E"/>
    <w:rsid w:val="004E6D5F"/>
    <w:rsid w:val="004E6EC2"/>
    <w:rsid w:val="004E6EC6"/>
    <w:rsid w:val="004E6ECD"/>
    <w:rsid w:val="004E6F2B"/>
    <w:rsid w:val="004E6FBC"/>
    <w:rsid w:val="004E7148"/>
    <w:rsid w:val="004E7166"/>
    <w:rsid w:val="004E72FD"/>
    <w:rsid w:val="004E740D"/>
    <w:rsid w:val="004E74E2"/>
    <w:rsid w:val="004E74E7"/>
    <w:rsid w:val="004E7530"/>
    <w:rsid w:val="004E75CF"/>
    <w:rsid w:val="004E76F5"/>
    <w:rsid w:val="004E78AF"/>
    <w:rsid w:val="004E78C0"/>
    <w:rsid w:val="004E79DE"/>
    <w:rsid w:val="004E7AF0"/>
    <w:rsid w:val="004E7B96"/>
    <w:rsid w:val="004E7C3F"/>
    <w:rsid w:val="004E7E93"/>
    <w:rsid w:val="004E7F62"/>
    <w:rsid w:val="004F0058"/>
    <w:rsid w:val="004F0221"/>
    <w:rsid w:val="004F022D"/>
    <w:rsid w:val="004F030D"/>
    <w:rsid w:val="004F0326"/>
    <w:rsid w:val="004F034C"/>
    <w:rsid w:val="004F0374"/>
    <w:rsid w:val="004F03B5"/>
    <w:rsid w:val="004F04AB"/>
    <w:rsid w:val="004F0626"/>
    <w:rsid w:val="004F06B0"/>
    <w:rsid w:val="004F07E9"/>
    <w:rsid w:val="004F08C0"/>
    <w:rsid w:val="004F08E5"/>
    <w:rsid w:val="004F0964"/>
    <w:rsid w:val="004F09BC"/>
    <w:rsid w:val="004F0A69"/>
    <w:rsid w:val="004F0AE0"/>
    <w:rsid w:val="004F0B5B"/>
    <w:rsid w:val="004F0C6F"/>
    <w:rsid w:val="004F0CE1"/>
    <w:rsid w:val="004F0D0B"/>
    <w:rsid w:val="004F0DE1"/>
    <w:rsid w:val="004F0E8B"/>
    <w:rsid w:val="004F0F08"/>
    <w:rsid w:val="004F0FAD"/>
    <w:rsid w:val="004F1029"/>
    <w:rsid w:val="004F116D"/>
    <w:rsid w:val="004F11D0"/>
    <w:rsid w:val="004F1231"/>
    <w:rsid w:val="004F12E8"/>
    <w:rsid w:val="004F1351"/>
    <w:rsid w:val="004F13E8"/>
    <w:rsid w:val="004F1670"/>
    <w:rsid w:val="004F1790"/>
    <w:rsid w:val="004F1797"/>
    <w:rsid w:val="004F17E9"/>
    <w:rsid w:val="004F192A"/>
    <w:rsid w:val="004F1A89"/>
    <w:rsid w:val="004F1BD4"/>
    <w:rsid w:val="004F1CA0"/>
    <w:rsid w:val="004F1DC0"/>
    <w:rsid w:val="004F1DEA"/>
    <w:rsid w:val="004F1FA7"/>
    <w:rsid w:val="004F20A8"/>
    <w:rsid w:val="004F226A"/>
    <w:rsid w:val="004F22CE"/>
    <w:rsid w:val="004F234F"/>
    <w:rsid w:val="004F23B9"/>
    <w:rsid w:val="004F23F2"/>
    <w:rsid w:val="004F24AA"/>
    <w:rsid w:val="004F262C"/>
    <w:rsid w:val="004F27C3"/>
    <w:rsid w:val="004F27CB"/>
    <w:rsid w:val="004F27E3"/>
    <w:rsid w:val="004F2835"/>
    <w:rsid w:val="004F2843"/>
    <w:rsid w:val="004F29D0"/>
    <w:rsid w:val="004F2B27"/>
    <w:rsid w:val="004F2B87"/>
    <w:rsid w:val="004F2BCB"/>
    <w:rsid w:val="004F2C1C"/>
    <w:rsid w:val="004F2C2F"/>
    <w:rsid w:val="004F2D66"/>
    <w:rsid w:val="004F2D80"/>
    <w:rsid w:val="004F2D96"/>
    <w:rsid w:val="004F2DF3"/>
    <w:rsid w:val="004F2DFD"/>
    <w:rsid w:val="004F2E1C"/>
    <w:rsid w:val="004F2ED7"/>
    <w:rsid w:val="004F2F80"/>
    <w:rsid w:val="004F2FBC"/>
    <w:rsid w:val="004F3028"/>
    <w:rsid w:val="004F309D"/>
    <w:rsid w:val="004F3140"/>
    <w:rsid w:val="004F3162"/>
    <w:rsid w:val="004F3229"/>
    <w:rsid w:val="004F339A"/>
    <w:rsid w:val="004F348B"/>
    <w:rsid w:val="004F3575"/>
    <w:rsid w:val="004F363A"/>
    <w:rsid w:val="004F3649"/>
    <w:rsid w:val="004F36CA"/>
    <w:rsid w:val="004F3949"/>
    <w:rsid w:val="004F39E0"/>
    <w:rsid w:val="004F39FA"/>
    <w:rsid w:val="004F3AF1"/>
    <w:rsid w:val="004F3B3C"/>
    <w:rsid w:val="004F3B72"/>
    <w:rsid w:val="004F3CCF"/>
    <w:rsid w:val="004F3CF4"/>
    <w:rsid w:val="004F3EED"/>
    <w:rsid w:val="004F3F24"/>
    <w:rsid w:val="004F3F95"/>
    <w:rsid w:val="004F4169"/>
    <w:rsid w:val="004F4190"/>
    <w:rsid w:val="004F4286"/>
    <w:rsid w:val="004F42A8"/>
    <w:rsid w:val="004F444D"/>
    <w:rsid w:val="004F4625"/>
    <w:rsid w:val="004F46DA"/>
    <w:rsid w:val="004F4803"/>
    <w:rsid w:val="004F4BD6"/>
    <w:rsid w:val="004F4D28"/>
    <w:rsid w:val="004F4E9A"/>
    <w:rsid w:val="004F4ED1"/>
    <w:rsid w:val="004F4F55"/>
    <w:rsid w:val="004F4F5E"/>
    <w:rsid w:val="004F4F8C"/>
    <w:rsid w:val="004F4FE7"/>
    <w:rsid w:val="004F5219"/>
    <w:rsid w:val="004F52D6"/>
    <w:rsid w:val="004F534B"/>
    <w:rsid w:val="004F549A"/>
    <w:rsid w:val="004F552B"/>
    <w:rsid w:val="004F5572"/>
    <w:rsid w:val="004F5728"/>
    <w:rsid w:val="004F580D"/>
    <w:rsid w:val="004F581A"/>
    <w:rsid w:val="004F584D"/>
    <w:rsid w:val="004F58E6"/>
    <w:rsid w:val="004F599E"/>
    <w:rsid w:val="004F59B0"/>
    <w:rsid w:val="004F59CD"/>
    <w:rsid w:val="004F5AF0"/>
    <w:rsid w:val="004F5B8D"/>
    <w:rsid w:val="004F5BFD"/>
    <w:rsid w:val="004F5C44"/>
    <w:rsid w:val="004F5C5E"/>
    <w:rsid w:val="004F5CA6"/>
    <w:rsid w:val="004F5CDB"/>
    <w:rsid w:val="004F5CF5"/>
    <w:rsid w:val="004F5EBC"/>
    <w:rsid w:val="004F5F2D"/>
    <w:rsid w:val="004F600B"/>
    <w:rsid w:val="004F6134"/>
    <w:rsid w:val="004F6388"/>
    <w:rsid w:val="004F6404"/>
    <w:rsid w:val="004F65C1"/>
    <w:rsid w:val="004F668E"/>
    <w:rsid w:val="004F683B"/>
    <w:rsid w:val="004F6973"/>
    <w:rsid w:val="004F69EC"/>
    <w:rsid w:val="004F6A99"/>
    <w:rsid w:val="004F6AD5"/>
    <w:rsid w:val="004F6B02"/>
    <w:rsid w:val="004F6BD2"/>
    <w:rsid w:val="004F6BE2"/>
    <w:rsid w:val="004F6D41"/>
    <w:rsid w:val="004F6ED8"/>
    <w:rsid w:val="004F6F9E"/>
    <w:rsid w:val="004F6FED"/>
    <w:rsid w:val="004F7193"/>
    <w:rsid w:val="004F72F7"/>
    <w:rsid w:val="004F7345"/>
    <w:rsid w:val="004F7391"/>
    <w:rsid w:val="004F73BB"/>
    <w:rsid w:val="004F73F6"/>
    <w:rsid w:val="004F74D5"/>
    <w:rsid w:val="004F751F"/>
    <w:rsid w:val="004F7601"/>
    <w:rsid w:val="004F773C"/>
    <w:rsid w:val="004F77C5"/>
    <w:rsid w:val="004F784E"/>
    <w:rsid w:val="004F7866"/>
    <w:rsid w:val="004F798B"/>
    <w:rsid w:val="004F7A93"/>
    <w:rsid w:val="004F7B48"/>
    <w:rsid w:val="004F7BA7"/>
    <w:rsid w:val="004F7CB8"/>
    <w:rsid w:val="004F7DCA"/>
    <w:rsid w:val="004F7DF5"/>
    <w:rsid w:val="004F7E16"/>
    <w:rsid w:val="004F7E9A"/>
    <w:rsid w:val="0050001A"/>
    <w:rsid w:val="00500144"/>
    <w:rsid w:val="005001B7"/>
    <w:rsid w:val="00500231"/>
    <w:rsid w:val="00500249"/>
    <w:rsid w:val="0050031F"/>
    <w:rsid w:val="00500548"/>
    <w:rsid w:val="0050057D"/>
    <w:rsid w:val="0050064B"/>
    <w:rsid w:val="00500679"/>
    <w:rsid w:val="00500888"/>
    <w:rsid w:val="005009E3"/>
    <w:rsid w:val="00500AA3"/>
    <w:rsid w:val="00500AAF"/>
    <w:rsid w:val="00500BBB"/>
    <w:rsid w:val="00500BD7"/>
    <w:rsid w:val="00500BE1"/>
    <w:rsid w:val="00500CC5"/>
    <w:rsid w:val="00500D5A"/>
    <w:rsid w:val="0050126D"/>
    <w:rsid w:val="0050128F"/>
    <w:rsid w:val="0050135F"/>
    <w:rsid w:val="005013BC"/>
    <w:rsid w:val="005014B8"/>
    <w:rsid w:val="005014C6"/>
    <w:rsid w:val="0050150F"/>
    <w:rsid w:val="00501534"/>
    <w:rsid w:val="005015B2"/>
    <w:rsid w:val="005015CD"/>
    <w:rsid w:val="0050167D"/>
    <w:rsid w:val="00501747"/>
    <w:rsid w:val="0050189F"/>
    <w:rsid w:val="0050193E"/>
    <w:rsid w:val="00501A8B"/>
    <w:rsid w:val="00501AE4"/>
    <w:rsid w:val="00501C93"/>
    <w:rsid w:val="00501CD9"/>
    <w:rsid w:val="00501CE4"/>
    <w:rsid w:val="00501D44"/>
    <w:rsid w:val="00501D52"/>
    <w:rsid w:val="00501DB0"/>
    <w:rsid w:val="00501EC7"/>
    <w:rsid w:val="00501EF7"/>
    <w:rsid w:val="0050236F"/>
    <w:rsid w:val="005023EB"/>
    <w:rsid w:val="0050252B"/>
    <w:rsid w:val="0050264E"/>
    <w:rsid w:val="00502666"/>
    <w:rsid w:val="005026DF"/>
    <w:rsid w:val="0050279B"/>
    <w:rsid w:val="005028B5"/>
    <w:rsid w:val="005028FF"/>
    <w:rsid w:val="0050296F"/>
    <w:rsid w:val="00502BFB"/>
    <w:rsid w:val="00502E9C"/>
    <w:rsid w:val="00502F27"/>
    <w:rsid w:val="00502F90"/>
    <w:rsid w:val="00502FF4"/>
    <w:rsid w:val="00503081"/>
    <w:rsid w:val="0050324E"/>
    <w:rsid w:val="005032D5"/>
    <w:rsid w:val="0050348F"/>
    <w:rsid w:val="0050375A"/>
    <w:rsid w:val="00503778"/>
    <w:rsid w:val="0050379F"/>
    <w:rsid w:val="005037A3"/>
    <w:rsid w:val="00503883"/>
    <w:rsid w:val="00503936"/>
    <w:rsid w:val="0050393E"/>
    <w:rsid w:val="00503AC6"/>
    <w:rsid w:val="00503AEE"/>
    <w:rsid w:val="00503AF2"/>
    <w:rsid w:val="00503B31"/>
    <w:rsid w:val="00503CD6"/>
    <w:rsid w:val="00503CF6"/>
    <w:rsid w:val="00503D07"/>
    <w:rsid w:val="00503E17"/>
    <w:rsid w:val="00504064"/>
    <w:rsid w:val="00504073"/>
    <w:rsid w:val="0050408E"/>
    <w:rsid w:val="005041DB"/>
    <w:rsid w:val="005041DE"/>
    <w:rsid w:val="0050420D"/>
    <w:rsid w:val="0050421C"/>
    <w:rsid w:val="005043C0"/>
    <w:rsid w:val="0050451D"/>
    <w:rsid w:val="005045C7"/>
    <w:rsid w:val="00504677"/>
    <w:rsid w:val="00504686"/>
    <w:rsid w:val="005046F4"/>
    <w:rsid w:val="00504721"/>
    <w:rsid w:val="00504AF9"/>
    <w:rsid w:val="00504B5D"/>
    <w:rsid w:val="00504D60"/>
    <w:rsid w:val="00504D6D"/>
    <w:rsid w:val="00504DDB"/>
    <w:rsid w:val="00504DEF"/>
    <w:rsid w:val="00504E7D"/>
    <w:rsid w:val="00504EC0"/>
    <w:rsid w:val="00504F34"/>
    <w:rsid w:val="00504F45"/>
    <w:rsid w:val="00505000"/>
    <w:rsid w:val="0050510E"/>
    <w:rsid w:val="00505360"/>
    <w:rsid w:val="00505607"/>
    <w:rsid w:val="00505691"/>
    <w:rsid w:val="005057AE"/>
    <w:rsid w:val="00505807"/>
    <w:rsid w:val="00505905"/>
    <w:rsid w:val="00505920"/>
    <w:rsid w:val="00505C85"/>
    <w:rsid w:val="00505D6A"/>
    <w:rsid w:val="00505DB4"/>
    <w:rsid w:val="00505FEE"/>
    <w:rsid w:val="0050605B"/>
    <w:rsid w:val="00506173"/>
    <w:rsid w:val="0050628E"/>
    <w:rsid w:val="005062A2"/>
    <w:rsid w:val="00506404"/>
    <w:rsid w:val="0050657B"/>
    <w:rsid w:val="0050660D"/>
    <w:rsid w:val="00506762"/>
    <w:rsid w:val="0050676C"/>
    <w:rsid w:val="005067A3"/>
    <w:rsid w:val="005067F2"/>
    <w:rsid w:val="00506849"/>
    <w:rsid w:val="00506889"/>
    <w:rsid w:val="005069DA"/>
    <w:rsid w:val="005069F3"/>
    <w:rsid w:val="00506A3D"/>
    <w:rsid w:val="00506BC3"/>
    <w:rsid w:val="00506BCE"/>
    <w:rsid w:val="00506BEE"/>
    <w:rsid w:val="00506D7C"/>
    <w:rsid w:val="00506EAD"/>
    <w:rsid w:val="00506F6A"/>
    <w:rsid w:val="00507057"/>
    <w:rsid w:val="00507063"/>
    <w:rsid w:val="00507107"/>
    <w:rsid w:val="0050711F"/>
    <w:rsid w:val="0050743E"/>
    <w:rsid w:val="00507452"/>
    <w:rsid w:val="00507682"/>
    <w:rsid w:val="005076BF"/>
    <w:rsid w:val="005076EE"/>
    <w:rsid w:val="005076FD"/>
    <w:rsid w:val="0050772F"/>
    <w:rsid w:val="0050773E"/>
    <w:rsid w:val="005077EB"/>
    <w:rsid w:val="00507932"/>
    <w:rsid w:val="00507A62"/>
    <w:rsid w:val="00507B4F"/>
    <w:rsid w:val="00507C27"/>
    <w:rsid w:val="00507C4D"/>
    <w:rsid w:val="00507E15"/>
    <w:rsid w:val="00507EC4"/>
    <w:rsid w:val="00507F42"/>
    <w:rsid w:val="00507F64"/>
    <w:rsid w:val="005100D5"/>
    <w:rsid w:val="0051016B"/>
    <w:rsid w:val="00510174"/>
    <w:rsid w:val="0051018D"/>
    <w:rsid w:val="005101C6"/>
    <w:rsid w:val="005101E0"/>
    <w:rsid w:val="00510206"/>
    <w:rsid w:val="00510387"/>
    <w:rsid w:val="005104B4"/>
    <w:rsid w:val="005104EB"/>
    <w:rsid w:val="00510511"/>
    <w:rsid w:val="00510558"/>
    <w:rsid w:val="00510684"/>
    <w:rsid w:val="005106BF"/>
    <w:rsid w:val="005106C5"/>
    <w:rsid w:val="005106CC"/>
    <w:rsid w:val="0051075D"/>
    <w:rsid w:val="0051076F"/>
    <w:rsid w:val="0051086F"/>
    <w:rsid w:val="005109B8"/>
    <w:rsid w:val="00510A02"/>
    <w:rsid w:val="00510A51"/>
    <w:rsid w:val="00510AF4"/>
    <w:rsid w:val="00510B11"/>
    <w:rsid w:val="00510B2C"/>
    <w:rsid w:val="00510CCA"/>
    <w:rsid w:val="00510D64"/>
    <w:rsid w:val="00510DBC"/>
    <w:rsid w:val="00510E26"/>
    <w:rsid w:val="00510FC8"/>
    <w:rsid w:val="00511089"/>
    <w:rsid w:val="00511099"/>
    <w:rsid w:val="00511187"/>
    <w:rsid w:val="00511270"/>
    <w:rsid w:val="005112EA"/>
    <w:rsid w:val="005114DA"/>
    <w:rsid w:val="00511533"/>
    <w:rsid w:val="005116CC"/>
    <w:rsid w:val="005117BD"/>
    <w:rsid w:val="005117C8"/>
    <w:rsid w:val="00511884"/>
    <w:rsid w:val="00511A38"/>
    <w:rsid w:val="00511A3F"/>
    <w:rsid w:val="00511AC5"/>
    <w:rsid w:val="00511BA7"/>
    <w:rsid w:val="00511C47"/>
    <w:rsid w:val="00511D3F"/>
    <w:rsid w:val="00511D8B"/>
    <w:rsid w:val="00511DAE"/>
    <w:rsid w:val="00511EF5"/>
    <w:rsid w:val="00511FFA"/>
    <w:rsid w:val="0051205D"/>
    <w:rsid w:val="0051206C"/>
    <w:rsid w:val="0051208C"/>
    <w:rsid w:val="00512124"/>
    <w:rsid w:val="0051217A"/>
    <w:rsid w:val="005121FA"/>
    <w:rsid w:val="00512228"/>
    <w:rsid w:val="0051230E"/>
    <w:rsid w:val="00512392"/>
    <w:rsid w:val="00512398"/>
    <w:rsid w:val="005123E0"/>
    <w:rsid w:val="005123E3"/>
    <w:rsid w:val="005125A1"/>
    <w:rsid w:val="0051264E"/>
    <w:rsid w:val="00512682"/>
    <w:rsid w:val="0051268E"/>
    <w:rsid w:val="0051277B"/>
    <w:rsid w:val="00512803"/>
    <w:rsid w:val="0051281C"/>
    <w:rsid w:val="005129C2"/>
    <w:rsid w:val="005129F9"/>
    <w:rsid w:val="00512B17"/>
    <w:rsid w:val="00512C2E"/>
    <w:rsid w:val="00512D97"/>
    <w:rsid w:val="00512DC5"/>
    <w:rsid w:val="00512DD3"/>
    <w:rsid w:val="00512E18"/>
    <w:rsid w:val="00512F69"/>
    <w:rsid w:val="00513035"/>
    <w:rsid w:val="005130A5"/>
    <w:rsid w:val="005130D3"/>
    <w:rsid w:val="00513144"/>
    <w:rsid w:val="005131DE"/>
    <w:rsid w:val="0051329C"/>
    <w:rsid w:val="005132F7"/>
    <w:rsid w:val="00513307"/>
    <w:rsid w:val="0051331A"/>
    <w:rsid w:val="005133A6"/>
    <w:rsid w:val="00513405"/>
    <w:rsid w:val="0051359A"/>
    <w:rsid w:val="00513690"/>
    <w:rsid w:val="005137C0"/>
    <w:rsid w:val="005137D0"/>
    <w:rsid w:val="005137DE"/>
    <w:rsid w:val="005138A7"/>
    <w:rsid w:val="00513951"/>
    <w:rsid w:val="00513A6E"/>
    <w:rsid w:val="00513B62"/>
    <w:rsid w:val="00513C26"/>
    <w:rsid w:val="00513DD5"/>
    <w:rsid w:val="00513DDB"/>
    <w:rsid w:val="00513E03"/>
    <w:rsid w:val="00513E35"/>
    <w:rsid w:val="00513EBE"/>
    <w:rsid w:val="00513FEE"/>
    <w:rsid w:val="00513FF1"/>
    <w:rsid w:val="00513FF4"/>
    <w:rsid w:val="00514095"/>
    <w:rsid w:val="005140C8"/>
    <w:rsid w:val="0051410E"/>
    <w:rsid w:val="005141EF"/>
    <w:rsid w:val="0051420F"/>
    <w:rsid w:val="005142D9"/>
    <w:rsid w:val="00514319"/>
    <w:rsid w:val="005145BC"/>
    <w:rsid w:val="005146BD"/>
    <w:rsid w:val="0051474D"/>
    <w:rsid w:val="005147BD"/>
    <w:rsid w:val="0051488D"/>
    <w:rsid w:val="005148A0"/>
    <w:rsid w:val="00514904"/>
    <w:rsid w:val="00514918"/>
    <w:rsid w:val="005149CF"/>
    <w:rsid w:val="00514A12"/>
    <w:rsid w:val="00514AF4"/>
    <w:rsid w:val="00514B7B"/>
    <w:rsid w:val="00514CA2"/>
    <w:rsid w:val="00514CB8"/>
    <w:rsid w:val="00514D34"/>
    <w:rsid w:val="00514D79"/>
    <w:rsid w:val="00514E87"/>
    <w:rsid w:val="00514F5C"/>
    <w:rsid w:val="00514F60"/>
    <w:rsid w:val="005151D8"/>
    <w:rsid w:val="00515230"/>
    <w:rsid w:val="00515337"/>
    <w:rsid w:val="005153C2"/>
    <w:rsid w:val="005153F4"/>
    <w:rsid w:val="005154F7"/>
    <w:rsid w:val="00515502"/>
    <w:rsid w:val="00515508"/>
    <w:rsid w:val="00515584"/>
    <w:rsid w:val="005155E4"/>
    <w:rsid w:val="0051569A"/>
    <w:rsid w:val="005156C6"/>
    <w:rsid w:val="00515889"/>
    <w:rsid w:val="00515980"/>
    <w:rsid w:val="00515AEA"/>
    <w:rsid w:val="00515BBE"/>
    <w:rsid w:val="00515E60"/>
    <w:rsid w:val="00515E76"/>
    <w:rsid w:val="00515EE7"/>
    <w:rsid w:val="00516054"/>
    <w:rsid w:val="0051621A"/>
    <w:rsid w:val="00516309"/>
    <w:rsid w:val="00516315"/>
    <w:rsid w:val="0051640B"/>
    <w:rsid w:val="0051644B"/>
    <w:rsid w:val="00516485"/>
    <w:rsid w:val="00516622"/>
    <w:rsid w:val="00516663"/>
    <w:rsid w:val="005168AA"/>
    <w:rsid w:val="0051691C"/>
    <w:rsid w:val="0051698B"/>
    <w:rsid w:val="00516990"/>
    <w:rsid w:val="005169F1"/>
    <w:rsid w:val="005169F6"/>
    <w:rsid w:val="00516A21"/>
    <w:rsid w:val="00516A4C"/>
    <w:rsid w:val="00516A78"/>
    <w:rsid w:val="00516B7B"/>
    <w:rsid w:val="00516E0C"/>
    <w:rsid w:val="005171E5"/>
    <w:rsid w:val="0051720D"/>
    <w:rsid w:val="0051722C"/>
    <w:rsid w:val="0051730D"/>
    <w:rsid w:val="00517416"/>
    <w:rsid w:val="00517486"/>
    <w:rsid w:val="00517533"/>
    <w:rsid w:val="005177D7"/>
    <w:rsid w:val="00517815"/>
    <w:rsid w:val="005178DB"/>
    <w:rsid w:val="005179B7"/>
    <w:rsid w:val="00517A8E"/>
    <w:rsid w:val="00517C13"/>
    <w:rsid w:val="00517C3B"/>
    <w:rsid w:val="00517C6D"/>
    <w:rsid w:val="00517D25"/>
    <w:rsid w:val="00517D2A"/>
    <w:rsid w:val="00517DE5"/>
    <w:rsid w:val="00517F8D"/>
    <w:rsid w:val="00517FAF"/>
    <w:rsid w:val="005200F1"/>
    <w:rsid w:val="005200F3"/>
    <w:rsid w:val="00520129"/>
    <w:rsid w:val="00520177"/>
    <w:rsid w:val="005201A6"/>
    <w:rsid w:val="005201BF"/>
    <w:rsid w:val="00520214"/>
    <w:rsid w:val="00520264"/>
    <w:rsid w:val="005202EC"/>
    <w:rsid w:val="005202FC"/>
    <w:rsid w:val="00520321"/>
    <w:rsid w:val="0052045C"/>
    <w:rsid w:val="0052059C"/>
    <w:rsid w:val="005205F4"/>
    <w:rsid w:val="0052060D"/>
    <w:rsid w:val="00520616"/>
    <w:rsid w:val="00520673"/>
    <w:rsid w:val="005206AF"/>
    <w:rsid w:val="0052074E"/>
    <w:rsid w:val="00520936"/>
    <w:rsid w:val="005209EF"/>
    <w:rsid w:val="00520A24"/>
    <w:rsid w:val="00520BC9"/>
    <w:rsid w:val="00520D28"/>
    <w:rsid w:val="00520EDC"/>
    <w:rsid w:val="00520F91"/>
    <w:rsid w:val="00520FFC"/>
    <w:rsid w:val="0052123A"/>
    <w:rsid w:val="0052124A"/>
    <w:rsid w:val="00521283"/>
    <w:rsid w:val="0052152D"/>
    <w:rsid w:val="005216CD"/>
    <w:rsid w:val="0052170F"/>
    <w:rsid w:val="00521723"/>
    <w:rsid w:val="00521734"/>
    <w:rsid w:val="00521879"/>
    <w:rsid w:val="00521AFB"/>
    <w:rsid w:val="00521B27"/>
    <w:rsid w:val="00521B40"/>
    <w:rsid w:val="00521C1F"/>
    <w:rsid w:val="00521D37"/>
    <w:rsid w:val="00521D3A"/>
    <w:rsid w:val="00521D7E"/>
    <w:rsid w:val="00521DF0"/>
    <w:rsid w:val="00521F16"/>
    <w:rsid w:val="00522079"/>
    <w:rsid w:val="005220EF"/>
    <w:rsid w:val="005221FE"/>
    <w:rsid w:val="005222AB"/>
    <w:rsid w:val="005222FD"/>
    <w:rsid w:val="005225A0"/>
    <w:rsid w:val="00522668"/>
    <w:rsid w:val="00522690"/>
    <w:rsid w:val="005226CD"/>
    <w:rsid w:val="005226E8"/>
    <w:rsid w:val="0052271B"/>
    <w:rsid w:val="00522766"/>
    <w:rsid w:val="005227AF"/>
    <w:rsid w:val="005227DE"/>
    <w:rsid w:val="005227EF"/>
    <w:rsid w:val="0052284A"/>
    <w:rsid w:val="00522851"/>
    <w:rsid w:val="0052287C"/>
    <w:rsid w:val="00522916"/>
    <w:rsid w:val="00522A97"/>
    <w:rsid w:val="00522CCD"/>
    <w:rsid w:val="00522CDC"/>
    <w:rsid w:val="00522E9F"/>
    <w:rsid w:val="00522EF2"/>
    <w:rsid w:val="00523151"/>
    <w:rsid w:val="00523153"/>
    <w:rsid w:val="00523526"/>
    <w:rsid w:val="005235CE"/>
    <w:rsid w:val="0052366B"/>
    <w:rsid w:val="00523692"/>
    <w:rsid w:val="00523717"/>
    <w:rsid w:val="005237B0"/>
    <w:rsid w:val="005237B8"/>
    <w:rsid w:val="00523A4C"/>
    <w:rsid w:val="00523ADB"/>
    <w:rsid w:val="00523C14"/>
    <w:rsid w:val="00523C2B"/>
    <w:rsid w:val="00523CA6"/>
    <w:rsid w:val="00523CA8"/>
    <w:rsid w:val="00523CCA"/>
    <w:rsid w:val="00523CE2"/>
    <w:rsid w:val="00523E08"/>
    <w:rsid w:val="00524065"/>
    <w:rsid w:val="005240CF"/>
    <w:rsid w:val="0052411F"/>
    <w:rsid w:val="00524132"/>
    <w:rsid w:val="00524170"/>
    <w:rsid w:val="00524447"/>
    <w:rsid w:val="00524514"/>
    <w:rsid w:val="00524524"/>
    <w:rsid w:val="005245CD"/>
    <w:rsid w:val="005245FB"/>
    <w:rsid w:val="00524757"/>
    <w:rsid w:val="00524770"/>
    <w:rsid w:val="005247B4"/>
    <w:rsid w:val="005247EE"/>
    <w:rsid w:val="005247FE"/>
    <w:rsid w:val="00524818"/>
    <w:rsid w:val="00524873"/>
    <w:rsid w:val="005248CF"/>
    <w:rsid w:val="0052496B"/>
    <w:rsid w:val="00524AC9"/>
    <w:rsid w:val="00524BA0"/>
    <w:rsid w:val="00524BC6"/>
    <w:rsid w:val="00524BE4"/>
    <w:rsid w:val="00524C16"/>
    <w:rsid w:val="00524C5F"/>
    <w:rsid w:val="00524DD1"/>
    <w:rsid w:val="00524DE2"/>
    <w:rsid w:val="00524E7C"/>
    <w:rsid w:val="00524F5C"/>
    <w:rsid w:val="005250C8"/>
    <w:rsid w:val="0052522F"/>
    <w:rsid w:val="0052529A"/>
    <w:rsid w:val="005252BA"/>
    <w:rsid w:val="00525604"/>
    <w:rsid w:val="005256D8"/>
    <w:rsid w:val="0052573D"/>
    <w:rsid w:val="005257A2"/>
    <w:rsid w:val="0052580C"/>
    <w:rsid w:val="005258F8"/>
    <w:rsid w:val="005259B1"/>
    <w:rsid w:val="00525A09"/>
    <w:rsid w:val="00525C3E"/>
    <w:rsid w:val="00525CA9"/>
    <w:rsid w:val="00525CD9"/>
    <w:rsid w:val="00525D0A"/>
    <w:rsid w:val="00525D34"/>
    <w:rsid w:val="00525DF1"/>
    <w:rsid w:val="00525E88"/>
    <w:rsid w:val="00525EA8"/>
    <w:rsid w:val="00525F9B"/>
    <w:rsid w:val="00525FBB"/>
    <w:rsid w:val="00526049"/>
    <w:rsid w:val="00526149"/>
    <w:rsid w:val="00526197"/>
    <w:rsid w:val="005262FF"/>
    <w:rsid w:val="00526376"/>
    <w:rsid w:val="00526416"/>
    <w:rsid w:val="00526531"/>
    <w:rsid w:val="005265A0"/>
    <w:rsid w:val="005266F7"/>
    <w:rsid w:val="00526706"/>
    <w:rsid w:val="0052671F"/>
    <w:rsid w:val="005267E0"/>
    <w:rsid w:val="00526815"/>
    <w:rsid w:val="005268B1"/>
    <w:rsid w:val="005268BA"/>
    <w:rsid w:val="00526964"/>
    <w:rsid w:val="0052699E"/>
    <w:rsid w:val="005269FC"/>
    <w:rsid w:val="00526BAE"/>
    <w:rsid w:val="00526C3D"/>
    <w:rsid w:val="00526C5F"/>
    <w:rsid w:val="00526CBA"/>
    <w:rsid w:val="00526E30"/>
    <w:rsid w:val="00526ED5"/>
    <w:rsid w:val="00526FB5"/>
    <w:rsid w:val="005270A6"/>
    <w:rsid w:val="005270C7"/>
    <w:rsid w:val="005271FC"/>
    <w:rsid w:val="0052726E"/>
    <w:rsid w:val="00527374"/>
    <w:rsid w:val="00527439"/>
    <w:rsid w:val="00527518"/>
    <w:rsid w:val="0052751E"/>
    <w:rsid w:val="00527597"/>
    <w:rsid w:val="00527861"/>
    <w:rsid w:val="00527AAF"/>
    <w:rsid w:val="00527AE5"/>
    <w:rsid w:val="00527C1F"/>
    <w:rsid w:val="00527C25"/>
    <w:rsid w:val="00527D02"/>
    <w:rsid w:val="00527D18"/>
    <w:rsid w:val="00527D25"/>
    <w:rsid w:val="00527D38"/>
    <w:rsid w:val="00527E02"/>
    <w:rsid w:val="00527E17"/>
    <w:rsid w:val="00527E59"/>
    <w:rsid w:val="0053008A"/>
    <w:rsid w:val="005301FD"/>
    <w:rsid w:val="00530212"/>
    <w:rsid w:val="0053042C"/>
    <w:rsid w:val="00530524"/>
    <w:rsid w:val="005305B8"/>
    <w:rsid w:val="00530610"/>
    <w:rsid w:val="005306E5"/>
    <w:rsid w:val="005307FE"/>
    <w:rsid w:val="00530857"/>
    <w:rsid w:val="005309A5"/>
    <w:rsid w:val="00530A2C"/>
    <w:rsid w:val="00530A49"/>
    <w:rsid w:val="00530A6D"/>
    <w:rsid w:val="00530B76"/>
    <w:rsid w:val="00530BBB"/>
    <w:rsid w:val="00530CB4"/>
    <w:rsid w:val="00530D8E"/>
    <w:rsid w:val="00530F4F"/>
    <w:rsid w:val="00530FA4"/>
    <w:rsid w:val="00530FB4"/>
    <w:rsid w:val="00531305"/>
    <w:rsid w:val="0053139A"/>
    <w:rsid w:val="005313DA"/>
    <w:rsid w:val="00531441"/>
    <w:rsid w:val="00531546"/>
    <w:rsid w:val="005315CD"/>
    <w:rsid w:val="005316AD"/>
    <w:rsid w:val="005316D6"/>
    <w:rsid w:val="00531721"/>
    <w:rsid w:val="00531757"/>
    <w:rsid w:val="005317B1"/>
    <w:rsid w:val="0053181B"/>
    <w:rsid w:val="005319C8"/>
    <w:rsid w:val="00531A43"/>
    <w:rsid w:val="00531A99"/>
    <w:rsid w:val="00531B44"/>
    <w:rsid w:val="00531C84"/>
    <w:rsid w:val="00531CB5"/>
    <w:rsid w:val="00531CDF"/>
    <w:rsid w:val="00531CE9"/>
    <w:rsid w:val="00531D4C"/>
    <w:rsid w:val="00531E41"/>
    <w:rsid w:val="00531ED8"/>
    <w:rsid w:val="00531FFC"/>
    <w:rsid w:val="00532121"/>
    <w:rsid w:val="00532166"/>
    <w:rsid w:val="005321C9"/>
    <w:rsid w:val="005321D1"/>
    <w:rsid w:val="0053220C"/>
    <w:rsid w:val="00532253"/>
    <w:rsid w:val="00532307"/>
    <w:rsid w:val="00532478"/>
    <w:rsid w:val="0053255A"/>
    <w:rsid w:val="00532858"/>
    <w:rsid w:val="00532862"/>
    <w:rsid w:val="005328A0"/>
    <w:rsid w:val="00532B7B"/>
    <w:rsid w:val="00532C5B"/>
    <w:rsid w:val="00532C60"/>
    <w:rsid w:val="00532D56"/>
    <w:rsid w:val="00532D80"/>
    <w:rsid w:val="00532F13"/>
    <w:rsid w:val="00532F3C"/>
    <w:rsid w:val="00533090"/>
    <w:rsid w:val="00533310"/>
    <w:rsid w:val="0053362F"/>
    <w:rsid w:val="0053371A"/>
    <w:rsid w:val="00533764"/>
    <w:rsid w:val="00533806"/>
    <w:rsid w:val="00533813"/>
    <w:rsid w:val="005339DB"/>
    <w:rsid w:val="00533AF6"/>
    <w:rsid w:val="00533CED"/>
    <w:rsid w:val="00533D37"/>
    <w:rsid w:val="00533DB9"/>
    <w:rsid w:val="00533EEB"/>
    <w:rsid w:val="005340F6"/>
    <w:rsid w:val="0053410D"/>
    <w:rsid w:val="005343DB"/>
    <w:rsid w:val="00534455"/>
    <w:rsid w:val="005344EF"/>
    <w:rsid w:val="005345B7"/>
    <w:rsid w:val="005345FD"/>
    <w:rsid w:val="00534668"/>
    <w:rsid w:val="005346D5"/>
    <w:rsid w:val="00534744"/>
    <w:rsid w:val="00534939"/>
    <w:rsid w:val="00534CDA"/>
    <w:rsid w:val="00534CE9"/>
    <w:rsid w:val="00534E12"/>
    <w:rsid w:val="00534FCD"/>
    <w:rsid w:val="00535014"/>
    <w:rsid w:val="0053503E"/>
    <w:rsid w:val="005351E5"/>
    <w:rsid w:val="0053538C"/>
    <w:rsid w:val="005354A5"/>
    <w:rsid w:val="00535595"/>
    <w:rsid w:val="00535634"/>
    <w:rsid w:val="0053567D"/>
    <w:rsid w:val="005356F0"/>
    <w:rsid w:val="00535844"/>
    <w:rsid w:val="00535889"/>
    <w:rsid w:val="00535942"/>
    <w:rsid w:val="00535A14"/>
    <w:rsid w:val="00535B3B"/>
    <w:rsid w:val="00535BBC"/>
    <w:rsid w:val="00535CCE"/>
    <w:rsid w:val="005360D8"/>
    <w:rsid w:val="005361C8"/>
    <w:rsid w:val="00536495"/>
    <w:rsid w:val="005366AC"/>
    <w:rsid w:val="005366B7"/>
    <w:rsid w:val="00536709"/>
    <w:rsid w:val="005368C4"/>
    <w:rsid w:val="0053695C"/>
    <w:rsid w:val="00536965"/>
    <w:rsid w:val="005369AB"/>
    <w:rsid w:val="00536A21"/>
    <w:rsid w:val="00536A3C"/>
    <w:rsid w:val="00536B6C"/>
    <w:rsid w:val="00536B8B"/>
    <w:rsid w:val="00536BF9"/>
    <w:rsid w:val="00536C79"/>
    <w:rsid w:val="00536DF2"/>
    <w:rsid w:val="00536F0F"/>
    <w:rsid w:val="005370D8"/>
    <w:rsid w:val="005370E7"/>
    <w:rsid w:val="005371F7"/>
    <w:rsid w:val="0053721D"/>
    <w:rsid w:val="0053732E"/>
    <w:rsid w:val="00537394"/>
    <w:rsid w:val="00537423"/>
    <w:rsid w:val="005374CE"/>
    <w:rsid w:val="00537540"/>
    <w:rsid w:val="00537561"/>
    <w:rsid w:val="00537571"/>
    <w:rsid w:val="005375CE"/>
    <w:rsid w:val="0053764B"/>
    <w:rsid w:val="00537A10"/>
    <w:rsid w:val="00537AF3"/>
    <w:rsid w:val="00537AFB"/>
    <w:rsid w:val="00537BAE"/>
    <w:rsid w:val="00537BCD"/>
    <w:rsid w:val="00537BFF"/>
    <w:rsid w:val="00537D46"/>
    <w:rsid w:val="00537E31"/>
    <w:rsid w:val="00537F19"/>
    <w:rsid w:val="00537FA9"/>
    <w:rsid w:val="005401BD"/>
    <w:rsid w:val="0054021F"/>
    <w:rsid w:val="00540315"/>
    <w:rsid w:val="00540329"/>
    <w:rsid w:val="00540389"/>
    <w:rsid w:val="005403BE"/>
    <w:rsid w:val="0054047A"/>
    <w:rsid w:val="005404BC"/>
    <w:rsid w:val="005404C4"/>
    <w:rsid w:val="005404EF"/>
    <w:rsid w:val="00540606"/>
    <w:rsid w:val="0054069E"/>
    <w:rsid w:val="005406C6"/>
    <w:rsid w:val="005407A1"/>
    <w:rsid w:val="005407D7"/>
    <w:rsid w:val="005408AD"/>
    <w:rsid w:val="005408B4"/>
    <w:rsid w:val="005408FC"/>
    <w:rsid w:val="00540B25"/>
    <w:rsid w:val="00540B47"/>
    <w:rsid w:val="00540C00"/>
    <w:rsid w:val="00540C9F"/>
    <w:rsid w:val="00540DF7"/>
    <w:rsid w:val="00540F0F"/>
    <w:rsid w:val="00540F33"/>
    <w:rsid w:val="00540FB4"/>
    <w:rsid w:val="00540FF9"/>
    <w:rsid w:val="0054107F"/>
    <w:rsid w:val="005410D2"/>
    <w:rsid w:val="005411BE"/>
    <w:rsid w:val="005411D8"/>
    <w:rsid w:val="00541342"/>
    <w:rsid w:val="005414B8"/>
    <w:rsid w:val="0054166C"/>
    <w:rsid w:val="00541691"/>
    <w:rsid w:val="005416B6"/>
    <w:rsid w:val="005417DC"/>
    <w:rsid w:val="00541828"/>
    <w:rsid w:val="005418EB"/>
    <w:rsid w:val="00541A21"/>
    <w:rsid w:val="00541CBF"/>
    <w:rsid w:val="00541D0B"/>
    <w:rsid w:val="00541E29"/>
    <w:rsid w:val="00541E68"/>
    <w:rsid w:val="00541F9A"/>
    <w:rsid w:val="00541FF6"/>
    <w:rsid w:val="00542031"/>
    <w:rsid w:val="005420DC"/>
    <w:rsid w:val="00542178"/>
    <w:rsid w:val="00542324"/>
    <w:rsid w:val="0054234F"/>
    <w:rsid w:val="00542359"/>
    <w:rsid w:val="005423AA"/>
    <w:rsid w:val="0054245D"/>
    <w:rsid w:val="005424EE"/>
    <w:rsid w:val="00542579"/>
    <w:rsid w:val="005425A9"/>
    <w:rsid w:val="005426AC"/>
    <w:rsid w:val="0054273E"/>
    <w:rsid w:val="00542853"/>
    <w:rsid w:val="005428ED"/>
    <w:rsid w:val="005428EE"/>
    <w:rsid w:val="00542914"/>
    <w:rsid w:val="0054294F"/>
    <w:rsid w:val="00542987"/>
    <w:rsid w:val="005429D6"/>
    <w:rsid w:val="005429FE"/>
    <w:rsid w:val="00542BE2"/>
    <w:rsid w:val="00542C94"/>
    <w:rsid w:val="00542D99"/>
    <w:rsid w:val="00542EED"/>
    <w:rsid w:val="005430CF"/>
    <w:rsid w:val="005431F1"/>
    <w:rsid w:val="005434EB"/>
    <w:rsid w:val="00543609"/>
    <w:rsid w:val="00543669"/>
    <w:rsid w:val="0054367D"/>
    <w:rsid w:val="00543785"/>
    <w:rsid w:val="00543823"/>
    <w:rsid w:val="00543B6E"/>
    <w:rsid w:val="00543BCC"/>
    <w:rsid w:val="00543C07"/>
    <w:rsid w:val="00543C13"/>
    <w:rsid w:val="00543D88"/>
    <w:rsid w:val="00544032"/>
    <w:rsid w:val="00544117"/>
    <w:rsid w:val="00544197"/>
    <w:rsid w:val="005441C9"/>
    <w:rsid w:val="005442BD"/>
    <w:rsid w:val="00544341"/>
    <w:rsid w:val="00544439"/>
    <w:rsid w:val="005444DF"/>
    <w:rsid w:val="005444EC"/>
    <w:rsid w:val="0054463B"/>
    <w:rsid w:val="0054475A"/>
    <w:rsid w:val="0054476A"/>
    <w:rsid w:val="0054479C"/>
    <w:rsid w:val="00544897"/>
    <w:rsid w:val="0054490C"/>
    <w:rsid w:val="0054491F"/>
    <w:rsid w:val="005449A7"/>
    <w:rsid w:val="00544A31"/>
    <w:rsid w:val="00544A75"/>
    <w:rsid w:val="00544D11"/>
    <w:rsid w:val="00544E30"/>
    <w:rsid w:val="00544ECB"/>
    <w:rsid w:val="00544ED1"/>
    <w:rsid w:val="005450AD"/>
    <w:rsid w:val="005450B2"/>
    <w:rsid w:val="005450BE"/>
    <w:rsid w:val="005450E4"/>
    <w:rsid w:val="005450E7"/>
    <w:rsid w:val="00545160"/>
    <w:rsid w:val="005451F3"/>
    <w:rsid w:val="00545295"/>
    <w:rsid w:val="00545296"/>
    <w:rsid w:val="0054551D"/>
    <w:rsid w:val="00545666"/>
    <w:rsid w:val="005456DC"/>
    <w:rsid w:val="00545710"/>
    <w:rsid w:val="00545876"/>
    <w:rsid w:val="0054599D"/>
    <w:rsid w:val="005459A7"/>
    <w:rsid w:val="00545A3C"/>
    <w:rsid w:val="00545B1B"/>
    <w:rsid w:val="00545BBD"/>
    <w:rsid w:val="00545BC0"/>
    <w:rsid w:val="00545CAC"/>
    <w:rsid w:val="00545D3F"/>
    <w:rsid w:val="00545E3C"/>
    <w:rsid w:val="00546094"/>
    <w:rsid w:val="0054610F"/>
    <w:rsid w:val="00546118"/>
    <w:rsid w:val="005463AC"/>
    <w:rsid w:val="005464D5"/>
    <w:rsid w:val="005464DD"/>
    <w:rsid w:val="005464EB"/>
    <w:rsid w:val="005464FD"/>
    <w:rsid w:val="0054652D"/>
    <w:rsid w:val="0054659A"/>
    <w:rsid w:val="00546612"/>
    <w:rsid w:val="00546615"/>
    <w:rsid w:val="00546686"/>
    <w:rsid w:val="005467A6"/>
    <w:rsid w:val="005467D0"/>
    <w:rsid w:val="0054680F"/>
    <w:rsid w:val="00546966"/>
    <w:rsid w:val="0054696C"/>
    <w:rsid w:val="005469AC"/>
    <w:rsid w:val="00546AF5"/>
    <w:rsid w:val="00546CED"/>
    <w:rsid w:val="00546D0E"/>
    <w:rsid w:val="00546D3C"/>
    <w:rsid w:val="00546D70"/>
    <w:rsid w:val="00546FC5"/>
    <w:rsid w:val="00546FE1"/>
    <w:rsid w:val="00547017"/>
    <w:rsid w:val="00547059"/>
    <w:rsid w:val="0054718D"/>
    <w:rsid w:val="00547190"/>
    <w:rsid w:val="005474A6"/>
    <w:rsid w:val="005476B2"/>
    <w:rsid w:val="0054779E"/>
    <w:rsid w:val="00547AAE"/>
    <w:rsid w:val="00547AEB"/>
    <w:rsid w:val="00547B59"/>
    <w:rsid w:val="00547BA7"/>
    <w:rsid w:val="00547C88"/>
    <w:rsid w:val="00547E80"/>
    <w:rsid w:val="00547F78"/>
    <w:rsid w:val="00547FB3"/>
    <w:rsid w:val="00550044"/>
    <w:rsid w:val="0055004D"/>
    <w:rsid w:val="00550063"/>
    <w:rsid w:val="00550165"/>
    <w:rsid w:val="0055018F"/>
    <w:rsid w:val="00550381"/>
    <w:rsid w:val="005503FA"/>
    <w:rsid w:val="0055043B"/>
    <w:rsid w:val="00550481"/>
    <w:rsid w:val="0055050F"/>
    <w:rsid w:val="00550538"/>
    <w:rsid w:val="00550682"/>
    <w:rsid w:val="00550840"/>
    <w:rsid w:val="00550850"/>
    <w:rsid w:val="0055090F"/>
    <w:rsid w:val="0055091D"/>
    <w:rsid w:val="00550A7F"/>
    <w:rsid w:val="00550B30"/>
    <w:rsid w:val="00550B56"/>
    <w:rsid w:val="00550C06"/>
    <w:rsid w:val="00550C2D"/>
    <w:rsid w:val="00550D20"/>
    <w:rsid w:val="00550D4C"/>
    <w:rsid w:val="00550E53"/>
    <w:rsid w:val="005511CE"/>
    <w:rsid w:val="005515AE"/>
    <w:rsid w:val="0055165D"/>
    <w:rsid w:val="00551757"/>
    <w:rsid w:val="0055175A"/>
    <w:rsid w:val="00551798"/>
    <w:rsid w:val="00551848"/>
    <w:rsid w:val="0055189D"/>
    <w:rsid w:val="0055197E"/>
    <w:rsid w:val="005519CD"/>
    <w:rsid w:val="00551A86"/>
    <w:rsid w:val="00551B46"/>
    <w:rsid w:val="00551C0A"/>
    <w:rsid w:val="00551C39"/>
    <w:rsid w:val="00551CBD"/>
    <w:rsid w:val="00551CFF"/>
    <w:rsid w:val="00551D58"/>
    <w:rsid w:val="00551D65"/>
    <w:rsid w:val="00551E45"/>
    <w:rsid w:val="005520AF"/>
    <w:rsid w:val="005520B8"/>
    <w:rsid w:val="00552118"/>
    <w:rsid w:val="0055214F"/>
    <w:rsid w:val="005521D1"/>
    <w:rsid w:val="005521D9"/>
    <w:rsid w:val="00552202"/>
    <w:rsid w:val="005522B6"/>
    <w:rsid w:val="005522C8"/>
    <w:rsid w:val="00552336"/>
    <w:rsid w:val="005524F0"/>
    <w:rsid w:val="00552510"/>
    <w:rsid w:val="005525CC"/>
    <w:rsid w:val="00552749"/>
    <w:rsid w:val="00552757"/>
    <w:rsid w:val="00552764"/>
    <w:rsid w:val="00552782"/>
    <w:rsid w:val="00552870"/>
    <w:rsid w:val="00552C69"/>
    <w:rsid w:val="00552CA0"/>
    <w:rsid w:val="00552CA1"/>
    <w:rsid w:val="00552CB7"/>
    <w:rsid w:val="00552D33"/>
    <w:rsid w:val="00552D6C"/>
    <w:rsid w:val="00552DA6"/>
    <w:rsid w:val="00552DDA"/>
    <w:rsid w:val="00552E9D"/>
    <w:rsid w:val="00552EF8"/>
    <w:rsid w:val="00552F85"/>
    <w:rsid w:val="00553227"/>
    <w:rsid w:val="00553263"/>
    <w:rsid w:val="005532BD"/>
    <w:rsid w:val="005535E5"/>
    <w:rsid w:val="005536D4"/>
    <w:rsid w:val="005536D9"/>
    <w:rsid w:val="0055377C"/>
    <w:rsid w:val="005539EB"/>
    <w:rsid w:val="00553A2E"/>
    <w:rsid w:val="00553A5F"/>
    <w:rsid w:val="00553A85"/>
    <w:rsid w:val="00553ACB"/>
    <w:rsid w:val="00553BDD"/>
    <w:rsid w:val="00553C1A"/>
    <w:rsid w:val="00553C40"/>
    <w:rsid w:val="00553D71"/>
    <w:rsid w:val="00553DA6"/>
    <w:rsid w:val="00553FAB"/>
    <w:rsid w:val="005540EB"/>
    <w:rsid w:val="00554189"/>
    <w:rsid w:val="00554219"/>
    <w:rsid w:val="00554241"/>
    <w:rsid w:val="00554295"/>
    <w:rsid w:val="0055431A"/>
    <w:rsid w:val="0055472A"/>
    <w:rsid w:val="00554753"/>
    <w:rsid w:val="00554851"/>
    <w:rsid w:val="00554957"/>
    <w:rsid w:val="005549FF"/>
    <w:rsid w:val="00554A92"/>
    <w:rsid w:val="00554C53"/>
    <w:rsid w:val="00554C5D"/>
    <w:rsid w:val="00554CA0"/>
    <w:rsid w:val="00554EAF"/>
    <w:rsid w:val="00554F80"/>
    <w:rsid w:val="00555014"/>
    <w:rsid w:val="0055501D"/>
    <w:rsid w:val="0055501E"/>
    <w:rsid w:val="00555056"/>
    <w:rsid w:val="005550AC"/>
    <w:rsid w:val="0055526C"/>
    <w:rsid w:val="005553BA"/>
    <w:rsid w:val="0055563F"/>
    <w:rsid w:val="0055579D"/>
    <w:rsid w:val="005557C4"/>
    <w:rsid w:val="005558DC"/>
    <w:rsid w:val="00555913"/>
    <w:rsid w:val="0055591C"/>
    <w:rsid w:val="00555970"/>
    <w:rsid w:val="005559E4"/>
    <w:rsid w:val="00555B17"/>
    <w:rsid w:val="00555CBE"/>
    <w:rsid w:val="00555E0A"/>
    <w:rsid w:val="00555FBB"/>
    <w:rsid w:val="00556102"/>
    <w:rsid w:val="0055633A"/>
    <w:rsid w:val="005563A9"/>
    <w:rsid w:val="00556431"/>
    <w:rsid w:val="00556745"/>
    <w:rsid w:val="00556791"/>
    <w:rsid w:val="005568D2"/>
    <w:rsid w:val="00556B7D"/>
    <w:rsid w:val="00556CE8"/>
    <w:rsid w:val="00556CEF"/>
    <w:rsid w:val="00556DAA"/>
    <w:rsid w:val="00556E0E"/>
    <w:rsid w:val="00556E5D"/>
    <w:rsid w:val="00556EB8"/>
    <w:rsid w:val="00556FE6"/>
    <w:rsid w:val="00557007"/>
    <w:rsid w:val="00557047"/>
    <w:rsid w:val="00557319"/>
    <w:rsid w:val="0055743E"/>
    <w:rsid w:val="005575F3"/>
    <w:rsid w:val="005576E9"/>
    <w:rsid w:val="00557739"/>
    <w:rsid w:val="00557769"/>
    <w:rsid w:val="00557777"/>
    <w:rsid w:val="0055780B"/>
    <w:rsid w:val="00557905"/>
    <w:rsid w:val="00557A47"/>
    <w:rsid w:val="00557D25"/>
    <w:rsid w:val="00557D77"/>
    <w:rsid w:val="00557E0C"/>
    <w:rsid w:val="0056007D"/>
    <w:rsid w:val="00560117"/>
    <w:rsid w:val="0056015B"/>
    <w:rsid w:val="005602CF"/>
    <w:rsid w:val="00560353"/>
    <w:rsid w:val="0056049B"/>
    <w:rsid w:val="005604B2"/>
    <w:rsid w:val="005604C5"/>
    <w:rsid w:val="00560560"/>
    <w:rsid w:val="0056057D"/>
    <w:rsid w:val="005605A9"/>
    <w:rsid w:val="0056077B"/>
    <w:rsid w:val="005607AB"/>
    <w:rsid w:val="005607DC"/>
    <w:rsid w:val="005608E9"/>
    <w:rsid w:val="005609D1"/>
    <w:rsid w:val="005609ED"/>
    <w:rsid w:val="00560AAC"/>
    <w:rsid w:val="00560ABE"/>
    <w:rsid w:val="00560B18"/>
    <w:rsid w:val="00560B86"/>
    <w:rsid w:val="00560C30"/>
    <w:rsid w:val="00560CC6"/>
    <w:rsid w:val="00560DD8"/>
    <w:rsid w:val="00560EC1"/>
    <w:rsid w:val="00560EE7"/>
    <w:rsid w:val="00560F05"/>
    <w:rsid w:val="00560F39"/>
    <w:rsid w:val="0056112A"/>
    <w:rsid w:val="005612DA"/>
    <w:rsid w:val="005616DE"/>
    <w:rsid w:val="00561824"/>
    <w:rsid w:val="0056184E"/>
    <w:rsid w:val="0056186A"/>
    <w:rsid w:val="005618E8"/>
    <w:rsid w:val="00561BEC"/>
    <w:rsid w:val="00561D3A"/>
    <w:rsid w:val="00561D83"/>
    <w:rsid w:val="00561DD0"/>
    <w:rsid w:val="00561E96"/>
    <w:rsid w:val="00561F8C"/>
    <w:rsid w:val="00562129"/>
    <w:rsid w:val="00562196"/>
    <w:rsid w:val="005622EF"/>
    <w:rsid w:val="00562471"/>
    <w:rsid w:val="00562510"/>
    <w:rsid w:val="0056254F"/>
    <w:rsid w:val="0056259A"/>
    <w:rsid w:val="0056260D"/>
    <w:rsid w:val="00562682"/>
    <w:rsid w:val="00562775"/>
    <w:rsid w:val="00562840"/>
    <w:rsid w:val="005628F6"/>
    <w:rsid w:val="0056292D"/>
    <w:rsid w:val="00562BBA"/>
    <w:rsid w:val="00562C52"/>
    <w:rsid w:val="00562D08"/>
    <w:rsid w:val="00562D1F"/>
    <w:rsid w:val="00562E02"/>
    <w:rsid w:val="00562E60"/>
    <w:rsid w:val="00562F96"/>
    <w:rsid w:val="0056327F"/>
    <w:rsid w:val="005632DB"/>
    <w:rsid w:val="0056334B"/>
    <w:rsid w:val="00563352"/>
    <w:rsid w:val="005633C8"/>
    <w:rsid w:val="005634D4"/>
    <w:rsid w:val="005634D6"/>
    <w:rsid w:val="00563554"/>
    <w:rsid w:val="00563783"/>
    <w:rsid w:val="005638CE"/>
    <w:rsid w:val="005639C3"/>
    <w:rsid w:val="00563A5E"/>
    <w:rsid w:val="00563AD8"/>
    <w:rsid w:val="00563B2E"/>
    <w:rsid w:val="00563B5C"/>
    <w:rsid w:val="00563BA9"/>
    <w:rsid w:val="00563CCC"/>
    <w:rsid w:val="00563E1E"/>
    <w:rsid w:val="00563F0F"/>
    <w:rsid w:val="00564208"/>
    <w:rsid w:val="0056421A"/>
    <w:rsid w:val="0056422F"/>
    <w:rsid w:val="0056426A"/>
    <w:rsid w:val="00564310"/>
    <w:rsid w:val="00564540"/>
    <w:rsid w:val="005645A5"/>
    <w:rsid w:val="00564682"/>
    <w:rsid w:val="00564697"/>
    <w:rsid w:val="00564706"/>
    <w:rsid w:val="00564725"/>
    <w:rsid w:val="005647DE"/>
    <w:rsid w:val="0056482B"/>
    <w:rsid w:val="005648E9"/>
    <w:rsid w:val="00564BE8"/>
    <w:rsid w:val="00564C27"/>
    <w:rsid w:val="00564C4A"/>
    <w:rsid w:val="00564D2D"/>
    <w:rsid w:val="00564EC0"/>
    <w:rsid w:val="00564EE5"/>
    <w:rsid w:val="00564F75"/>
    <w:rsid w:val="0056501B"/>
    <w:rsid w:val="005652E1"/>
    <w:rsid w:val="0056534E"/>
    <w:rsid w:val="005654FA"/>
    <w:rsid w:val="005655AB"/>
    <w:rsid w:val="005655BD"/>
    <w:rsid w:val="00565654"/>
    <w:rsid w:val="00565818"/>
    <w:rsid w:val="00565A2F"/>
    <w:rsid w:val="00565A73"/>
    <w:rsid w:val="00565A8A"/>
    <w:rsid w:val="00565B3D"/>
    <w:rsid w:val="00565C1E"/>
    <w:rsid w:val="00565C2C"/>
    <w:rsid w:val="00565C71"/>
    <w:rsid w:val="00565DAC"/>
    <w:rsid w:val="00565DBE"/>
    <w:rsid w:val="00565E81"/>
    <w:rsid w:val="00565F27"/>
    <w:rsid w:val="00565F3D"/>
    <w:rsid w:val="00565F9B"/>
    <w:rsid w:val="0056603C"/>
    <w:rsid w:val="00566055"/>
    <w:rsid w:val="005660A6"/>
    <w:rsid w:val="005660BD"/>
    <w:rsid w:val="00566107"/>
    <w:rsid w:val="005661EA"/>
    <w:rsid w:val="00566262"/>
    <w:rsid w:val="005662A1"/>
    <w:rsid w:val="005662C0"/>
    <w:rsid w:val="0056631D"/>
    <w:rsid w:val="005663AC"/>
    <w:rsid w:val="005664F4"/>
    <w:rsid w:val="005664F7"/>
    <w:rsid w:val="0056652F"/>
    <w:rsid w:val="005665B2"/>
    <w:rsid w:val="0056665F"/>
    <w:rsid w:val="0056672B"/>
    <w:rsid w:val="00566815"/>
    <w:rsid w:val="005668B6"/>
    <w:rsid w:val="00566A7C"/>
    <w:rsid w:val="00566AE2"/>
    <w:rsid w:val="00566BC9"/>
    <w:rsid w:val="00566C0A"/>
    <w:rsid w:val="00566CB5"/>
    <w:rsid w:val="00566EB6"/>
    <w:rsid w:val="00566F82"/>
    <w:rsid w:val="00566FCB"/>
    <w:rsid w:val="00567015"/>
    <w:rsid w:val="005670A5"/>
    <w:rsid w:val="0056714F"/>
    <w:rsid w:val="005672BD"/>
    <w:rsid w:val="005672C4"/>
    <w:rsid w:val="005672F8"/>
    <w:rsid w:val="005674DE"/>
    <w:rsid w:val="005675FE"/>
    <w:rsid w:val="00567666"/>
    <w:rsid w:val="0056766B"/>
    <w:rsid w:val="005677B8"/>
    <w:rsid w:val="005677D2"/>
    <w:rsid w:val="005677E4"/>
    <w:rsid w:val="00567982"/>
    <w:rsid w:val="00567A91"/>
    <w:rsid w:val="00567AA7"/>
    <w:rsid w:val="00567EBA"/>
    <w:rsid w:val="00567F34"/>
    <w:rsid w:val="00570149"/>
    <w:rsid w:val="0057015D"/>
    <w:rsid w:val="00570172"/>
    <w:rsid w:val="00570195"/>
    <w:rsid w:val="005701F3"/>
    <w:rsid w:val="005702CB"/>
    <w:rsid w:val="005702FD"/>
    <w:rsid w:val="005703EA"/>
    <w:rsid w:val="0057043B"/>
    <w:rsid w:val="00570471"/>
    <w:rsid w:val="0057072A"/>
    <w:rsid w:val="005708BB"/>
    <w:rsid w:val="005709A7"/>
    <w:rsid w:val="005709FB"/>
    <w:rsid w:val="00570A63"/>
    <w:rsid w:val="00570B60"/>
    <w:rsid w:val="00570BB4"/>
    <w:rsid w:val="00570CF7"/>
    <w:rsid w:val="00570DB2"/>
    <w:rsid w:val="00570E5B"/>
    <w:rsid w:val="00570E95"/>
    <w:rsid w:val="00570F4C"/>
    <w:rsid w:val="0057106F"/>
    <w:rsid w:val="0057148C"/>
    <w:rsid w:val="0057151F"/>
    <w:rsid w:val="005716F5"/>
    <w:rsid w:val="00571711"/>
    <w:rsid w:val="00571809"/>
    <w:rsid w:val="0057188F"/>
    <w:rsid w:val="00571895"/>
    <w:rsid w:val="0057199C"/>
    <w:rsid w:val="00571A57"/>
    <w:rsid w:val="00571DEB"/>
    <w:rsid w:val="00571E73"/>
    <w:rsid w:val="00571F1E"/>
    <w:rsid w:val="00571F82"/>
    <w:rsid w:val="00572090"/>
    <w:rsid w:val="00572096"/>
    <w:rsid w:val="005720D0"/>
    <w:rsid w:val="0057212F"/>
    <w:rsid w:val="0057214F"/>
    <w:rsid w:val="005721B6"/>
    <w:rsid w:val="0057225A"/>
    <w:rsid w:val="0057232B"/>
    <w:rsid w:val="0057233A"/>
    <w:rsid w:val="0057234F"/>
    <w:rsid w:val="00572460"/>
    <w:rsid w:val="005724D0"/>
    <w:rsid w:val="00572514"/>
    <w:rsid w:val="00572839"/>
    <w:rsid w:val="00572864"/>
    <w:rsid w:val="00572A0F"/>
    <w:rsid w:val="00572ACF"/>
    <w:rsid w:val="0057307D"/>
    <w:rsid w:val="00573163"/>
    <w:rsid w:val="0057317F"/>
    <w:rsid w:val="00573294"/>
    <w:rsid w:val="0057342B"/>
    <w:rsid w:val="00573492"/>
    <w:rsid w:val="00573495"/>
    <w:rsid w:val="005734E0"/>
    <w:rsid w:val="00573607"/>
    <w:rsid w:val="00573686"/>
    <w:rsid w:val="0057373E"/>
    <w:rsid w:val="00573783"/>
    <w:rsid w:val="00573990"/>
    <w:rsid w:val="00573A54"/>
    <w:rsid w:val="00573A7F"/>
    <w:rsid w:val="00573ADE"/>
    <w:rsid w:val="00573B7F"/>
    <w:rsid w:val="00573C5B"/>
    <w:rsid w:val="00573CE3"/>
    <w:rsid w:val="00573DC6"/>
    <w:rsid w:val="00573E94"/>
    <w:rsid w:val="00573EC1"/>
    <w:rsid w:val="00573F4C"/>
    <w:rsid w:val="0057407E"/>
    <w:rsid w:val="0057419B"/>
    <w:rsid w:val="00574294"/>
    <w:rsid w:val="005742FC"/>
    <w:rsid w:val="00574325"/>
    <w:rsid w:val="00574418"/>
    <w:rsid w:val="00574466"/>
    <w:rsid w:val="00574479"/>
    <w:rsid w:val="00574523"/>
    <w:rsid w:val="005745C8"/>
    <w:rsid w:val="0057463A"/>
    <w:rsid w:val="0057471D"/>
    <w:rsid w:val="00574737"/>
    <w:rsid w:val="005747AA"/>
    <w:rsid w:val="00574849"/>
    <w:rsid w:val="005748B7"/>
    <w:rsid w:val="00574A18"/>
    <w:rsid w:val="00574A3D"/>
    <w:rsid w:val="00574D84"/>
    <w:rsid w:val="00574E79"/>
    <w:rsid w:val="00574F35"/>
    <w:rsid w:val="00574F74"/>
    <w:rsid w:val="00574FD4"/>
    <w:rsid w:val="00574FDF"/>
    <w:rsid w:val="00575080"/>
    <w:rsid w:val="00575169"/>
    <w:rsid w:val="00575198"/>
    <w:rsid w:val="005751A8"/>
    <w:rsid w:val="005751AD"/>
    <w:rsid w:val="00575342"/>
    <w:rsid w:val="005753E5"/>
    <w:rsid w:val="005754C0"/>
    <w:rsid w:val="005755EC"/>
    <w:rsid w:val="00575633"/>
    <w:rsid w:val="00575646"/>
    <w:rsid w:val="00575766"/>
    <w:rsid w:val="0057576B"/>
    <w:rsid w:val="00575848"/>
    <w:rsid w:val="0057589E"/>
    <w:rsid w:val="005758DB"/>
    <w:rsid w:val="00575907"/>
    <w:rsid w:val="00575A11"/>
    <w:rsid w:val="00575A45"/>
    <w:rsid w:val="00575AE7"/>
    <w:rsid w:val="00575B07"/>
    <w:rsid w:val="00575BB5"/>
    <w:rsid w:val="00575C4C"/>
    <w:rsid w:val="00575D4D"/>
    <w:rsid w:val="00575E36"/>
    <w:rsid w:val="00575EE8"/>
    <w:rsid w:val="00575F42"/>
    <w:rsid w:val="00575F95"/>
    <w:rsid w:val="00575FA8"/>
    <w:rsid w:val="00575FB2"/>
    <w:rsid w:val="00575FBF"/>
    <w:rsid w:val="00575FE2"/>
    <w:rsid w:val="00575FFC"/>
    <w:rsid w:val="0057611F"/>
    <w:rsid w:val="00576507"/>
    <w:rsid w:val="0057677D"/>
    <w:rsid w:val="00576810"/>
    <w:rsid w:val="005768A1"/>
    <w:rsid w:val="005768C9"/>
    <w:rsid w:val="00576945"/>
    <w:rsid w:val="00576AA1"/>
    <w:rsid w:val="00576B0C"/>
    <w:rsid w:val="00576C03"/>
    <w:rsid w:val="00576C9C"/>
    <w:rsid w:val="00576CAA"/>
    <w:rsid w:val="00576D1A"/>
    <w:rsid w:val="00576DDA"/>
    <w:rsid w:val="00576DF4"/>
    <w:rsid w:val="00576DFB"/>
    <w:rsid w:val="00576F85"/>
    <w:rsid w:val="00577051"/>
    <w:rsid w:val="005771D9"/>
    <w:rsid w:val="005772EA"/>
    <w:rsid w:val="005772EC"/>
    <w:rsid w:val="005773C2"/>
    <w:rsid w:val="00577565"/>
    <w:rsid w:val="00577635"/>
    <w:rsid w:val="005776C9"/>
    <w:rsid w:val="00577745"/>
    <w:rsid w:val="00577886"/>
    <w:rsid w:val="00577A00"/>
    <w:rsid w:val="00577A15"/>
    <w:rsid w:val="00577ABA"/>
    <w:rsid w:val="00577BB3"/>
    <w:rsid w:val="00577BC1"/>
    <w:rsid w:val="00577C06"/>
    <w:rsid w:val="00577D57"/>
    <w:rsid w:val="00577D89"/>
    <w:rsid w:val="00577D8F"/>
    <w:rsid w:val="00577F9A"/>
    <w:rsid w:val="005800D0"/>
    <w:rsid w:val="005800EA"/>
    <w:rsid w:val="00580115"/>
    <w:rsid w:val="00580171"/>
    <w:rsid w:val="0058025B"/>
    <w:rsid w:val="00580296"/>
    <w:rsid w:val="005802C2"/>
    <w:rsid w:val="00580361"/>
    <w:rsid w:val="00580414"/>
    <w:rsid w:val="00580432"/>
    <w:rsid w:val="00580439"/>
    <w:rsid w:val="0058044A"/>
    <w:rsid w:val="005804B3"/>
    <w:rsid w:val="005804FE"/>
    <w:rsid w:val="00580600"/>
    <w:rsid w:val="0058078A"/>
    <w:rsid w:val="005807DF"/>
    <w:rsid w:val="0058083F"/>
    <w:rsid w:val="0058085B"/>
    <w:rsid w:val="005808C7"/>
    <w:rsid w:val="0058092E"/>
    <w:rsid w:val="00580BE7"/>
    <w:rsid w:val="00580D3C"/>
    <w:rsid w:val="00580DD1"/>
    <w:rsid w:val="00580E05"/>
    <w:rsid w:val="00580E61"/>
    <w:rsid w:val="00580EA7"/>
    <w:rsid w:val="00580EBF"/>
    <w:rsid w:val="00580F16"/>
    <w:rsid w:val="00580FAA"/>
    <w:rsid w:val="0058110D"/>
    <w:rsid w:val="005812BD"/>
    <w:rsid w:val="00581398"/>
    <w:rsid w:val="005813CC"/>
    <w:rsid w:val="0058143D"/>
    <w:rsid w:val="00581574"/>
    <w:rsid w:val="00581627"/>
    <w:rsid w:val="0058168C"/>
    <w:rsid w:val="005817F7"/>
    <w:rsid w:val="00581852"/>
    <w:rsid w:val="00581A17"/>
    <w:rsid w:val="00581A1C"/>
    <w:rsid w:val="00581A43"/>
    <w:rsid w:val="00581B73"/>
    <w:rsid w:val="00581B98"/>
    <w:rsid w:val="00581C1E"/>
    <w:rsid w:val="00581D1B"/>
    <w:rsid w:val="00581E5F"/>
    <w:rsid w:val="00581E6A"/>
    <w:rsid w:val="00581EB2"/>
    <w:rsid w:val="00581F0A"/>
    <w:rsid w:val="00581F16"/>
    <w:rsid w:val="00582064"/>
    <w:rsid w:val="00582075"/>
    <w:rsid w:val="00582083"/>
    <w:rsid w:val="005820F3"/>
    <w:rsid w:val="00582308"/>
    <w:rsid w:val="005825E3"/>
    <w:rsid w:val="00582622"/>
    <w:rsid w:val="005827C4"/>
    <w:rsid w:val="00582901"/>
    <w:rsid w:val="00582954"/>
    <w:rsid w:val="00582AF9"/>
    <w:rsid w:val="00582BEE"/>
    <w:rsid w:val="00582CA0"/>
    <w:rsid w:val="00582DDF"/>
    <w:rsid w:val="00582E97"/>
    <w:rsid w:val="00582F3A"/>
    <w:rsid w:val="00583006"/>
    <w:rsid w:val="00583026"/>
    <w:rsid w:val="00583358"/>
    <w:rsid w:val="005833F1"/>
    <w:rsid w:val="00583450"/>
    <w:rsid w:val="00583507"/>
    <w:rsid w:val="00583511"/>
    <w:rsid w:val="00583649"/>
    <w:rsid w:val="00583746"/>
    <w:rsid w:val="005837A0"/>
    <w:rsid w:val="005837D6"/>
    <w:rsid w:val="0058380D"/>
    <w:rsid w:val="00583956"/>
    <w:rsid w:val="00583A1D"/>
    <w:rsid w:val="00583A75"/>
    <w:rsid w:val="00583ABD"/>
    <w:rsid w:val="00583AD7"/>
    <w:rsid w:val="00583B04"/>
    <w:rsid w:val="00583B85"/>
    <w:rsid w:val="00583BB3"/>
    <w:rsid w:val="00583C9E"/>
    <w:rsid w:val="00583D19"/>
    <w:rsid w:val="00583D49"/>
    <w:rsid w:val="00583ED6"/>
    <w:rsid w:val="00583F68"/>
    <w:rsid w:val="00583F76"/>
    <w:rsid w:val="005840EC"/>
    <w:rsid w:val="00584100"/>
    <w:rsid w:val="0058410E"/>
    <w:rsid w:val="005844FB"/>
    <w:rsid w:val="00584547"/>
    <w:rsid w:val="005845A7"/>
    <w:rsid w:val="00584759"/>
    <w:rsid w:val="0058480E"/>
    <w:rsid w:val="00584856"/>
    <w:rsid w:val="005849C4"/>
    <w:rsid w:val="00584B8C"/>
    <w:rsid w:val="00584BE9"/>
    <w:rsid w:val="00584D04"/>
    <w:rsid w:val="00584D4F"/>
    <w:rsid w:val="00584E01"/>
    <w:rsid w:val="00584E53"/>
    <w:rsid w:val="00584F25"/>
    <w:rsid w:val="00584F51"/>
    <w:rsid w:val="00584F96"/>
    <w:rsid w:val="0058504C"/>
    <w:rsid w:val="00585072"/>
    <w:rsid w:val="00585136"/>
    <w:rsid w:val="0058548D"/>
    <w:rsid w:val="005854BC"/>
    <w:rsid w:val="00585658"/>
    <w:rsid w:val="00585878"/>
    <w:rsid w:val="005858A2"/>
    <w:rsid w:val="005858A8"/>
    <w:rsid w:val="00585A0A"/>
    <w:rsid w:val="00585AFA"/>
    <w:rsid w:val="00585B95"/>
    <w:rsid w:val="00585C07"/>
    <w:rsid w:val="00585CE7"/>
    <w:rsid w:val="0058604D"/>
    <w:rsid w:val="0058607F"/>
    <w:rsid w:val="00586162"/>
    <w:rsid w:val="00586191"/>
    <w:rsid w:val="00586294"/>
    <w:rsid w:val="00586313"/>
    <w:rsid w:val="00586455"/>
    <w:rsid w:val="00586481"/>
    <w:rsid w:val="0058658E"/>
    <w:rsid w:val="005865D8"/>
    <w:rsid w:val="00586754"/>
    <w:rsid w:val="005867AD"/>
    <w:rsid w:val="00586AA9"/>
    <w:rsid w:val="00586B3A"/>
    <w:rsid w:val="00586C85"/>
    <w:rsid w:val="00586D61"/>
    <w:rsid w:val="00586DB9"/>
    <w:rsid w:val="00586DEB"/>
    <w:rsid w:val="00586F2D"/>
    <w:rsid w:val="00587056"/>
    <w:rsid w:val="00587062"/>
    <w:rsid w:val="00587090"/>
    <w:rsid w:val="00587153"/>
    <w:rsid w:val="00587225"/>
    <w:rsid w:val="00587254"/>
    <w:rsid w:val="0058728D"/>
    <w:rsid w:val="0058733C"/>
    <w:rsid w:val="0058741D"/>
    <w:rsid w:val="0058754B"/>
    <w:rsid w:val="005875AA"/>
    <w:rsid w:val="00587632"/>
    <w:rsid w:val="0058778F"/>
    <w:rsid w:val="00587822"/>
    <w:rsid w:val="005878E4"/>
    <w:rsid w:val="0058796A"/>
    <w:rsid w:val="005879AC"/>
    <w:rsid w:val="00587B96"/>
    <w:rsid w:val="00587C2D"/>
    <w:rsid w:val="00587D3C"/>
    <w:rsid w:val="00587E83"/>
    <w:rsid w:val="00587F60"/>
    <w:rsid w:val="00590022"/>
    <w:rsid w:val="0059003F"/>
    <w:rsid w:val="005900B4"/>
    <w:rsid w:val="005901C9"/>
    <w:rsid w:val="00590263"/>
    <w:rsid w:val="005903F1"/>
    <w:rsid w:val="00590476"/>
    <w:rsid w:val="005904E2"/>
    <w:rsid w:val="005905FD"/>
    <w:rsid w:val="0059067B"/>
    <w:rsid w:val="005906F5"/>
    <w:rsid w:val="005907B8"/>
    <w:rsid w:val="005909F3"/>
    <w:rsid w:val="00590A81"/>
    <w:rsid w:val="00590A94"/>
    <w:rsid w:val="00590B0A"/>
    <w:rsid w:val="00590C4C"/>
    <w:rsid w:val="00590C4D"/>
    <w:rsid w:val="00590C8E"/>
    <w:rsid w:val="00590CC1"/>
    <w:rsid w:val="00590CDF"/>
    <w:rsid w:val="00590E14"/>
    <w:rsid w:val="00590E90"/>
    <w:rsid w:val="00590EC1"/>
    <w:rsid w:val="00590F4D"/>
    <w:rsid w:val="00591224"/>
    <w:rsid w:val="0059156E"/>
    <w:rsid w:val="0059158F"/>
    <w:rsid w:val="00591873"/>
    <w:rsid w:val="00591918"/>
    <w:rsid w:val="00591928"/>
    <w:rsid w:val="00591948"/>
    <w:rsid w:val="0059195A"/>
    <w:rsid w:val="005919BF"/>
    <w:rsid w:val="005919FE"/>
    <w:rsid w:val="00591A17"/>
    <w:rsid w:val="00591A8A"/>
    <w:rsid w:val="00591B79"/>
    <w:rsid w:val="00591CFD"/>
    <w:rsid w:val="00591D0C"/>
    <w:rsid w:val="00591D1A"/>
    <w:rsid w:val="00591DDD"/>
    <w:rsid w:val="00591ECF"/>
    <w:rsid w:val="00591F36"/>
    <w:rsid w:val="00592224"/>
    <w:rsid w:val="0059224A"/>
    <w:rsid w:val="005922A2"/>
    <w:rsid w:val="005922FC"/>
    <w:rsid w:val="00592377"/>
    <w:rsid w:val="00592487"/>
    <w:rsid w:val="00592610"/>
    <w:rsid w:val="00592680"/>
    <w:rsid w:val="00592682"/>
    <w:rsid w:val="005926AF"/>
    <w:rsid w:val="0059272F"/>
    <w:rsid w:val="0059277C"/>
    <w:rsid w:val="00592A73"/>
    <w:rsid w:val="00592A85"/>
    <w:rsid w:val="00592C98"/>
    <w:rsid w:val="00592CEB"/>
    <w:rsid w:val="00592DA2"/>
    <w:rsid w:val="00592E3E"/>
    <w:rsid w:val="00592F64"/>
    <w:rsid w:val="00593018"/>
    <w:rsid w:val="005930DE"/>
    <w:rsid w:val="00593188"/>
    <w:rsid w:val="005931AE"/>
    <w:rsid w:val="00593396"/>
    <w:rsid w:val="00593495"/>
    <w:rsid w:val="005934B9"/>
    <w:rsid w:val="005934FB"/>
    <w:rsid w:val="00593547"/>
    <w:rsid w:val="005935B2"/>
    <w:rsid w:val="005935BE"/>
    <w:rsid w:val="005935C5"/>
    <w:rsid w:val="005935D7"/>
    <w:rsid w:val="005935E0"/>
    <w:rsid w:val="005935F3"/>
    <w:rsid w:val="00593762"/>
    <w:rsid w:val="005938A1"/>
    <w:rsid w:val="005938C4"/>
    <w:rsid w:val="00593970"/>
    <w:rsid w:val="00593A90"/>
    <w:rsid w:val="00593ABE"/>
    <w:rsid w:val="00593AFA"/>
    <w:rsid w:val="00593C25"/>
    <w:rsid w:val="00593DA5"/>
    <w:rsid w:val="00593DAE"/>
    <w:rsid w:val="00593DF2"/>
    <w:rsid w:val="00593DFA"/>
    <w:rsid w:val="00593E29"/>
    <w:rsid w:val="00593E74"/>
    <w:rsid w:val="00593F2C"/>
    <w:rsid w:val="0059401F"/>
    <w:rsid w:val="00594117"/>
    <w:rsid w:val="005941F2"/>
    <w:rsid w:val="0059429A"/>
    <w:rsid w:val="005942FF"/>
    <w:rsid w:val="0059447E"/>
    <w:rsid w:val="00594489"/>
    <w:rsid w:val="005945A4"/>
    <w:rsid w:val="00594881"/>
    <w:rsid w:val="005948FB"/>
    <w:rsid w:val="00594943"/>
    <w:rsid w:val="00594A17"/>
    <w:rsid w:val="00594AE0"/>
    <w:rsid w:val="00594B22"/>
    <w:rsid w:val="00594C13"/>
    <w:rsid w:val="00594C45"/>
    <w:rsid w:val="00594CF1"/>
    <w:rsid w:val="00594EC7"/>
    <w:rsid w:val="00594F63"/>
    <w:rsid w:val="00594F9A"/>
    <w:rsid w:val="005950B4"/>
    <w:rsid w:val="0059518F"/>
    <w:rsid w:val="005951D4"/>
    <w:rsid w:val="0059583D"/>
    <w:rsid w:val="005959C8"/>
    <w:rsid w:val="00595AF9"/>
    <w:rsid w:val="00595B45"/>
    <w:rsid w:val="00595B86"/>
    <w:rsid w:val="00595BA3"/>
    <w:rsid w:val="00595C53"/>
    <w:rsid w:val="00595C9A"/>
    <w:rsid w:val="00595E90"/>
    <w:rsid w:val="00596047"/>
    <w:rsid w:val="00596048"/>
    <w:rsid w:val="005960A7"/>
    <w:rsid w:val="005960D9"/>
    <w:rsid w:val="005960E5"/>
    <w:rsid w:val="005961F2"/>
    <w:rsid w:val="00596237"/>
    <w:rsid w:val="00596347"/>
    <w:rsid w:val="005963F0"/>
    <w:rsid w:val="00596546"/>
    <w:rsid w:val="0059661E"/>
    <w:rsid w:val="0059672D"/>
    <w:rsid w:val="0059688E"/>
    <w:rsid w:val="00596896"/>
    <w:rsid w:val="005968DB"/>
    <w:rsid w:val="00596C1E"/>
    <w:rsid w:val="00596CA3"/>
    <w:rsid w:val="00596DE1"/>
    <w:rsid w:val="00596E12"/>
    <w:rsid w:val="00596E38"/>
    <w:rsid w:val="00596F0C"/>
    <w:rsid w:val="0059701C"/>
    <w:rsid w:val="00597112"/>
    <w:rsid w:val="00597166"/>
    <w:rsid w:val="0059721C"/>
    <w:rsid w:val="005973AE"/>
    <w:rsid w:val="005974B6"/>
    <w:rsid w:val="005975C6"/>
    <w:rsid w:val="0059761E"/>
    <w:rsid w:val="00597638"/>
    <w:rsid w:val="00597658"/>
    <w:rsid w:val="00597957"/>
    <w:rsid w:val="00597972"/>
    <w:rsid w:val="005979B8"/>
    <w:rsid w:val="00597A42"/>
    <w:rsid w:val="00597B91"/>
    <w:rsid w:val="00597C25"/>
    <w:rsid w:val="00597D84"/>
    <w:rsid w:val="00597DAA"/>
    <w:rsid w:val="00597FC5"/>
    <w:rsid w:val="005A002A"/>
    <w:rsid w:val="005A0073"/>
    <w:rsid w:val="005A015B"/>
    <w:rsid w:val="005A016B"/>
    <w:rsid w:val="005A03C1"/>
    <w:rsid w:val="005A0437"/>
    <w:rsid w:val="005A044D"/>
    <w:rsid w:val="005A0566"/>
    <w:rsid w:val="005A05FA"/>
    <w:rsid w:val="005A065C"/>
    <w:rsid w:val="005A0706"/>
    <w:rsid w:val="005A0806"/>
    <w:rsid w:val="005A080D"/>
    <w:rsid w:val="005A099C"/>
    <w:rsid w:val="005A0BE4"/>
    <w:rsid w:val="005A0BF4"/>
    <w:rsid w:val="005A0CB1"/>
    <w:rsid w:val="005A0D02"/>
    <w:rsid w:val="005A0DED"/>
    <w:rsid w:val="005A0DF9"/>
    <w:rsid w:val="005A0EF1"/>
    <w:rsid w:val="005A0F40"/>
    <w:rsid w:val="005A0F96"/>
    <w:rsid w:val="005A103F"/>
    <w:rsid w:val="005A115D"/>
    <w:rsid w:val="005A1239"/>
    <w:rsid w:val="005A13D8"/>
    <w:rsid w:val="005A1443"/>
    <w:rsid w:val="005A1520"/>
    <w:rsid w:val="005A157D"/>
    <w:rsid w:val="005A15FF"/>
    <w:rsid w:val="005A1614"/>
    <w:rsid w:val="005A166C"/>
    <w:rsid w:val="005A16EE"/>
    <w:rsid w:val="005A17B2"/>
    <w:rsid w:val="005A180A"/>
    <w:rsid w:val="005A1814"/>
    <w:rsid w:val="005A1923"/>
    <w:rsid w:val="005A1962"/>
    <w:rsid w:val="005A1B18"/>
    <w:rsid w:val="005A1BED"/>
    <w:rsid w:val="005A1C2B"/>
    <w:rsid w:val="005A1D70"/>
    <w:rsid w:val="005A1DA7"/>
    <w:rsid w:val="005A1DC6"/>
    <w:rsid w:val="005A1DDB"/>
    <w:rsid w:val="005A1E25"/>
    <w:rsid w:val="005A1E2C"/>
    <w:rsid w:val="005A1EF9"/>
    <w:rsid w:val="005A1F09"/>
    <w:rsid w:val="005A21F3"/>
    <w:rsid w:val="005A2204"/>
    <w:rsid w:val="005A221C"/>
    <w:rsid w:val="005A22D5"/>
    <w:rsid w:val="005A23A9"/>
    <w:rsid w:val="005A2408"/>
    <w:rsid w:val="005A2413"/>
    <w:rsid w:val="005A249B"/>
    <w:rsid w:val="005A25B6"/>
    <w:rsid w:val="005A25D4"/>
    <w:rsid w:val="005A273F"/>
    <w:rsid w:val="005A27BE"/>
    <w:rsid w:val="005A283E"/>
    <w:rsid w:val="005A28CE"/>
    <w:rsid w:val="005A28F9"/>
    <w:rsid w:val="005A2AB3"/>
    <w:rsid w:val="005A2AF1"/>
    <w:rsid w:val="005A2C93"/>
    <w:rsid w:val="005A2CEE"/>
    <w:rsid w:val="005A2E06"/>
    <w:rsid w:val="005A2E61"/>
    <w:rsid w:val="005A2EA4"/>
    <w:rsid w:val="005A2EA6"/>
    <w:rsid w:val="005A2F00"/>
    <w:rsid w:val="005A2F9A"/>
    <w:rsid w:val="005A30D1"/>
    <w:rsid w:val="005A3175"/>
    <w:rsid w:val="005A31A8"/>
    <w:rsid w:val="005A31A9"/>
    <w:rsid w:val="005A34B2"/>
    <w:rsid w:val="005A35BC"/>
    <w:rsid w:val="005A3627"/>
    <w:rsid w:val="005A3684"/>
    <w:rsid w:val="005A3889"/>
    <w:rsid w:val="005A3957"/>
    <w:rsid w:val="005A3998"/>
    <w:rsid w:val="005A39C5"/>
    <w:rsid w:val="005A3B1C"/>
    <w:rsid w:val="005A3B2C"/>
    <w:rsid w:val="005A3D97"/>
    <w:rsid w:val="005A3EE1"/>
    <w:rsid w:val="005A403D"/>
    <w:rsid w:val="005A41F5"/>
    <w:rsid w:val="005A42E8"/>
    <w:rsid w:val="005A4481"/>
    <w:rsid w:val="005A44C3"/>
    <w:rsid w:val="005A4523"/>
    <w:rsid w:val="005A458B"/>
    <w:rsid w:val="005A46FB"/>
    <w:rsid w:val="005A4846"/>
    <w:rsid w:val="005A4926"/>
    <w:rsid w:val="005A4960"/>
    <w:rsid w:val="005A49AD"/>
    <w:rsid w:val="005A49F3"/>
    <w:rsid w:val="005A4A77"/>
    <w:rsid w:val="005A4ADD"/>
    <w:rsid w:val="005A4B42"/>
    <w:rsid w:val="005A4B65"/>
    <w:rsid w:val="005A4D75"/>
    <w:rsid w:val="005A50F7"/>
    <w:rsid w:val="005A51AA"/>
    <w:rsid w:val="005A5223"/>
    <w:rsid w:val="005A53F0"/>
    <w:rsid w:val="005A5455"/>
    <w:rsid w:val="005A54AD"/>
    <w:rsid w:val="005A54B5"/>
    <w:rsid w:val="005A54C9"/>
    <w:rsid w:val="005A554B"/>
    <w:rsid w:val="005A55BE"/>
    <w:rsid w:val="005A570D"/>
    <w:rsid w:val="005A5826"/>
    <w:rsid w:val="005A5849"/>
    <w:rsid w:val="005A58F3"/>
    <w:rsid w:val="005A593A"/>
    <w:rsid w:val="005A593C"/>
    <w:rsid w:val="005A5A53"/>
    <w:rsid w:val="005A5A92"/>
    <w:rsid w:val="005A5B54"/>
    <w:rsid w:val="005A5C00"/>
    <w:rsid w:val="005A5EED"/>
    <w:rsid w:val="005A5FE5"/>
    <w:rsid w:val="005A609D"/>
    <w:rsid w:val="005A6166"/>
    <w:rsid w:val="005A61EE"/>
    <w:rsid w:val="005A6224"/>
    <w:rsid w:val="005A626E"/>
    <w:rsid w:val="005A644E"/>
    <w:rsid w:val="005A645D"/>
    <w:rsid w:val="005A64A8"/>
    <w:rsid w:val="005A64B4"/>
    <w:rsid w:val="005A64C3"/>
    <w:rsid w:val="005A65D6"/>
    <w:rsid w:val="005A6660"/>
    <w:rsid w:val="005A67DF"/>
    <w:rsid w:val="005A686F"/>
    <w:rsid w:val="005A68ED"/>
    <w:rsid w:val="005A6948"/>
    <w:rsid w:val="005A69CB"/>
    <w:rsid w:val="005A6AC3"/>
    <w:rsid w:val="005A6B3D"/>
    <w:rsid w:val="005A6B48"/>
    <w:rsid w:val="005A6B6B"/>
    <w:rsid w:val="005A6C0A"/>
    <w:rsid w:val="005A6C72"/>
    <w:rsid w:val="005A6C9A"/>
    <w:rsid w:val="005A6CA7"/>
    <w:rsid w:val="005A6EC0"/>
    <w:rsid w:val="005A6F6E"/>
    <w:rsid w:val="005A703E"/>
    <w:rsid w:val="005A71BD"/>
    <w:rsid w:val="005A72DC"/>
    <w:rsid w:val="005A72F5"/>
    <w:rsid w:val="005A746D"/>
    <w:rsid w:val="005A747E"/>
    <w:rsid w:val="005A7691"/>
    <w:rsid w:val="005A77C6"/>
    <w:rsid w:val="005A7858"/>
    <w:rsid w:val="005A7A71"/>
    <w:rsid w:val="005A7AEA"/>
    <w:rsid w:val="005A7C09"/>
    <w:rsid w:val="005A7C4A"/>
    <w:rsid w:val="005A7C76"/>
    <w:rsid w:val="005A7D4D"/>
    <w:rsid w:val="005A7E12"/>
    <w:rsid w:val="005A7E5C"/>
    <w:rsid w:val="005A7E65"/>
    <w:rsid w:val="005A7EEF"/>
    <w:rsid w:val="005A7EFB"/>
    <w:rsid w:val="005B0080"/>
    <w:rsid w:val="005B01E3"/>
    <w:rsid w:val="005B0263"/>
    <w:rsid w:val="005B0441"/>
    <w:rsid w:val="005B05A6"/>
    <w:rsid w:val="005B05AD"/>
    <w:rsid w:val="005B0659"/>
    <w:rsid w:val="005B0697"/>
    <w:rsid w:val="005B06AE"/>
    <w:rsid w:val="005B06FB"/>
    <w:rsid w:val="005B08A3"/>
    <w:rsid w:val="005B08BF"/>
    <w:rsid w:val="005B08E4"/>
    <w:rsid w:val="005B0926"/>
    <w:rsid w:val="005B0942"/>
    <w:rsid w:val="005B095A"/>
    <w:rsid w:val="005B0AFB"/>
    <w:rsid w:val="005B0B5C"/>
    <w:rsid w:val="005B0BF7"/>
    <w:rsid w:val="005B0C0C"/>
    <w:rsid w:val="005B0EC3"/>
    <w:rsid w:val="005B0F2E"/>
    <w:rsid w:val="005B1176"/>
    <w:rsid w:val="005B11A4"/>
    <w:rsid w:val="005B1293"/>
    <w:rsid w:val="005B1304"/>
    <w:rsid w:val="005B1330"/>
    <w:rsid w:val="005B1439"/>
    <w:rsid w:val="005B147F"/>
    <w:rsid w:val="005B14FA"/>
    <w:rsid w:val="005B152B"/>
    <w:rsid w:val="005B152F"/>
    <w:rsid w:val="005B15C9"/>
    <w:rsid w:val="005B1678"/>
    <w:rsid w:val="005B178F"/>
    <w:rsid w:val="005B1A3C"/>
    <w:rsid w:val="005B1BBE"/>
    <w:rsid w:val="005B1CB6"/>
    <w:rsid w:val="005B1D05"/>
    <w:rsid w:val="005B1D66"/>
    <w:rsid w:val="005B1D84"/>
    <w:rsid w:val="005B1DF8"/>
    <w:rsid w:val="005B1E10"/>
    <w:rsid w:val="005B1E54"/>
    <w:rsid w:val="005B1F12"/>
    <w:rsid w:val="005B24C5"/>
    <w:rsid w:val="005B2514"/>
    <w:rsid w:val="005B254C"/>
    <w:rsid w:val="005B25ED"/>
    <w:rsid w:val="005B2617"/>
    <w:rsid w:val="005B269F"/>
    <w:rsid w:val="005B26BD"/>
    <w:rsid w:val="005B2738"/>
    <w:rsid w:val="005B27E1"/>
    <w:rsid w:val="005B2881"/>
    <w:rsid w:val="005B29CE"/>
    <w:rsid w:val="005B29E8"/>
    <w:rsid w:val="005B2AC6"/>
    <w:rsid w:val="005B2B0E"/>
    <w:rsid w:val="005B2B49"/>
    <w:rsid w:val="005B2D3B"/>
    <w:rsid w:val="005B2E19"/>
    <w:rsid w:val="005B2EAA"/>
    <w:rsid w:val="005B2F25"/>
    <w:rsid w:val="005B3021"/>
    <w:rsid w:val="005B30E8"/>
    <w:rsid w:val="005B3123"/>
    <w:rsid w:val="005B317A"/>
    <w:rsid w:val="005B31E4"/>
    <w:rsid w:val="005B325D"/>
    <w:rsid w:val="005B3366"/>
    <w:rsid w:val="005B3371"/>
    <w:rsid w:val="005B3465"/>
    <w:rsid w:val="005B34CF"/>
    <w:rsid w:val="005B3517"/>
    <w:rsid w:val="005B353A"/>
    <w:rsid w:val="005B3577"/>
    <w:rsid w:val="005B365F"/>
    <w:rsid w:val="005B3728"/>
    <w:rsid w:val="005B3877"/>
    <w:rsid w:val="005B3E0F"/>
    <w:rsid w:val="005B3E60"/>
    <w:rsid w:val="005B3E6A"/>
    <w:rsid w:val="005B3F3A"/>
    <w:rsid w:val="005B3F82"/>
    <w:rsid w:val="005B3FA5"/>
    <w:rsid w:val="005B402B"/>
    <w:rsid w:val="005B4089"/>
    <w:rsid w:val="005B4106"/>
    <w:rsid w:val="005B411F"/>
    <w:rsid w:val="005B436A"/>
    <w:rsid w:val="005B43B2"/>
    <w:rsid w:val="005B43C9"/>
    <w:rsid w:val="005B4487"/>
    <w:rsid w:val="005B4599"/>
    <w:rsid w:val="005B45FF"/>
    <w:rsid w:val="005B469B"/>
    <w:rsid w:val="005B46EC"/>
    <w:rsid w:val="005B4842"/>
    <w:rsid w:val="005B4977"/>
    <w:rsid w:val="005B49BE"/>
    <w:rsid w:val="005B4A6A"/>
    <w:rsid w:val="005B4BBC"/>
    <w:rsid w:val="005B4C48"/>
    <w:rsid w:val="005B4CA6"/>
    <w:rsid w:val="005B4CDD"/>
    <w:rsid w:val="005B4CFB"/>
    <w:rsid w:val="005B4D8E"/>
    <w:rsid w:val="005B4DAF"/>
    <w:rsid w:val="005B4E10"/>
    <w:rsid w:val="005B4F27"/>
    <w:rsid w:val="005B5029"/>
    <w:rsid w:val="005B51EF"/>
    <w:rsid w:val="005B52B1"/>
    <w:rsid w:val="005B52B9"/>
    <w:rsid w:val="005B5337"/>
    <w:rsid w:val="005B5364"/>
    <w:rsid w:val="005B542C"/>
    <w:rsid w:val="005B5648"/>
    <w:rsid w:val="005B5682"/>
    <w:rsid w:val="005B571A"/>
    <w:rsid w:val="005B5742"/>
    <w:rsid w:val="005B5750"/>
    <w:rsid w:val="005B57D1"/>
    <w:rsid w:val="005B58CE"/>
    <w:rsid w:val="005B5908"/>
    <w:rsid w:val="005B59A0"/>
    <w:rsid w:val="005B5AAF"/>
    <w:rsid w:val="005B5B07"/>
    <w:rsid w:val="005B5B86"/>
    <w:rsid w:val="005B5C6F"/>
    <w:rsid w:val="005B5E5B"/>
    <w:rsid w:val="005B6065"/>
    <w:rsid w:val="005B60FD"/>
    <w:rsid w:val="005B6165"/>
    <w:rsid w:val="005B61B9"/>
    <w:rsid w:val="005B6275"/>
    <w:rsid w:val="005B6298"/>
    <w:rsid w:val="005B6458"/>
    <w:rsid w:val="005B6472"/>
    <w:rsid w:val="005B64BA"/>
    <w:rsid w:val="005B6502"/>
    <w:rsid w:val="005B659E"/>
    <w:rsid w:val="005B6700"/>
    <w:rsid w:val="005B687D"/>
    <w:rsid w:val="005B6A47"/>
    <w:rsid w:val="005B6B08"/>
    <w:rsid w:val="005B6BD2"/>
    <w:rsid w:val="005B6C62"/>
    <w:rsid w:val="005B6EA1"/>
    <w:rsid w:val="005B6FC5"/>
    <w:rsid w:val="005B702A"/>
    <w:rsid w:val="005B711A"/>
    <w:rsid w:val="005B766B"/>
    <w:rsid w:val="005B7701"/>
    <w:rsid w:val="005B7755"/>
    <w:rsid w:val="005B77EB"/>
    <w:rsid w:val="005B7854"/>
    <w:rsid w:val="005B78FC"/>
    <w:rsid w:val="005B796D"/>
    <w:rsid w:val="005B796F"/>
    <w:rsid w:val="005B7B9E"/>
    <w:rsid w:val="005B7CE1"/>
    <w:rsid w:val="005B7DE2"/>
    <w:rsid w:val="005B7E17"/>
    <w:rsid w:val="005B7E4E"/>
    <w:rsid w:val="005B7FE2"/>
    <w:rsid w:val="005C0039"/>
    <w:rsid w:val="005C005A"/>
    <w:rsid w:val="005C0117"/>
    <w:rsid w:val="005C017D"/>
    <w:rsid w:val="005C01BB"/>
    <w:rsid w:val="005C0295"/>
    <w:rsid w:val="005C02DE"/>
    <w:rsid w:val="005C03F4"/>
    <w:rsid w:val="005C04AA"/>
    <w:rsid w:val="005C06DD"/>
    <w:rsid w:val="005C0807"/>
    <w:rsid w:val="005C090B"/>
    <w:rsid w:val="005C0911"/>
    <w:rsid w:val="005C0AEE"/>
    <w:rsid w:val="005C0D0E"/>
    <w:rsid w:val="005C0ECD"/>
    <w:rsid w:val="005C0EE3"/>
    <w:rsid w:val="005C1020"/>
    <w:rsid w:val="005C10E4"/>
    <w:rsid w:val="005C12E8"/>
    <w:rsid w:val="005C12E9"/>
    <w:rsid w:val="005C1330"/>
    <w:rsid w:val="005C13FF"/>
    <w:rsid w:val="005C1556"/>
    <w:rsid w:val="005C1678"/>
    <w:rsid w:val="005C168B"/>
    <w:rsid w:val="005C16F0"/>
    <w:rsid w:val="005C175D"/>
    <w:rsid w:val="005C19B6"/>
    <w:rsid w:val="005C19F8"/>
    <w:rsid w:val="005C1B2B"/>
    <w:rsid w:val="005C1C59"/>
    <w:rsid w:val="005C1EAB"/>
    <w:rsid w:val="005C1F64"/>
    <w:rsid w:val="005C2049"/>
    <w:rsid w:val="005C205B"/>
    <w:rsid w:val="005C20E4"/>
    <w:rsid w:val="005C20F6"/>
    <w:rsid w:val="005C215C"/>
    <w:rsid w:val="005C21B4"/>
    <w:rsid w:val="005C22DA"/>
    <w:rsid w:val="005C2482"/>
    <w:rsid w:val="005C24EF"/>
    <w:rsid w:val="005C2576"/>
    <w:rsid w:val="005C25D2"/>
    <w:rsid w:val="005C262A"/>
    <w:rsid w:val="005C26C7"/>
    <w:rsid w:val="005C2877"/>
    <w:rsid w:val="005C296E"/>
    <w:rsid w:val="005C29C8"/>
    <w:rsid w:val="005C2A0D"/>
    <w:rsid w:val="005C2C2D"/>
    <w:rsid w:val="005C2C4C"/>
    <w:rsid w:val="005C2D5A"/>
    <w:rsid w:val="005C2F6F"/>
    <w:rsid w:val="005C3004"/>
    <w:rsid w:val="005C3184"/>
    <w:rsid w:val="005C3189"/>
    <w:rsid w:val="005C3254"/>
    <w:rsid w:val="005C329E"/>
    <w:rsid w:val="005C3332"/>
    <w:rsid w:val="005C3361"/>
    <w:rsid w:val="005C33C6"/>
    <w:rsid w:val="005C33CE"/>
    <w:rsid w:val="005C342F"/>
    <w:rsid w:val="005C3532"/>
    <w:rsid w:val="005C3596"/>
    <w:rsid w:val="005C359E"/>
    <w:rsid w:val="005C36B7"/>
    <w:rsid w:val="005C3712"/>
    <w:rsid w:val="005C377D"/>
    <w:rsid w:val="005C391E"/>
    <w:rsid w:val="005C398F"/>
    <w:rsid w:val="005C39BE"/>
    <w:rsid w:val="005C3A01"/>
    <w:rsid w:val="005C3A06"/>
    <w:rsid w:val="005C3AD1"/>
    <w:rsid w:val="005C3AFC"/>
    <w:rsid w:val="005C3B21"/>
    <w:rsid w:val="005C3B36"/>
    <w:rsid w:val="005C3C07"/>
    <w:rsid w:val="005C3C68"/>
    <w:rsid w:val="005C3DC0"/>
    <w:rsid w:val="005C3DF5"/>
    <w:rsid w:val="005C3EB0"/>
    <w:rsid w:val="005C3F7F"/>
    <w:rsid w:val="005C406D"/>
    <w:rsid w:val="005C40EE"/>
    <w:rsid w:val="005C4101"/>
    <w:rsid w:val="005C422D"/>
    <w:rsid w:val="005C42F6"/>
    <w:rsid w:val="005C4337"/>
    <w:rsid w:val="005C4537"/>
    <w:rsid w:val="005C4574"/>
    <w:rsid w:val="005C45FD"/>
    <w:rsid w:val="005C47C8"/>
    <w:rsid w:val="005C49B2"/>
    <w:rsid w:val="005C49F0"/>
    <w:rsid w:val="005C4AD9"/>
    <w:rsid w:val="005C4C7D"/>
    <w:rsid w:val="005C4C8F"/>
    <w:rsid w:val="005C4EE8"/>
    <w:rsid w:val="005C4FE9"/>
    <w:rsid w:val="005C5008"/>
    <w:rsid w:val="005C500C"/>
    <w:rsid w:val="005C5062"/>
    <w:rsid w:val="005C50E7"/>
    <w:rsid w:val="005C5335"/>
    <w:rsid w:val="005C5397"/>
    <w:rsid w:val="005C54CC"/>
    <w:rsid w:val="005C54CE"/>
    <w:rsid w:val="005C5514"/>
    <w:rsid w:val="005C554B"/>
    <w:rsid w:val="005C557B"/>
    <w:rsid w:val="005C5635"/>
    <w:rsid w:val="005C577E"/>
    <w:rsid w:val="005C58C4"/>
    <w:rsid w:val="005C5A53"/>
    <w:rsid w:val="005C5BDD"/>
    <w:rsid w:val="005C5C9B"/>
    <w:rsid w:val="005C5D01"/>
    <w:rsid w:val="005C619F"/>
    <w:rsid w:val="005C628F"/>
    <w:rsid w:val="005C6338"/>
    <w:rsid w:val="005C6361"/>
    <w:rsid w:val="005C6405"/>
    <w:rsid w:val="005C64CB"/>
    <w:rsid w:val="005C6503"/>
    <w:rsid w:val="005C6514"/>
    <w:rsid w:val="005C65CA"/>
    <w:rsid w:val="005C6A06"/>
    <w:rsid w:val="005C6AA8"/>
    <w:rsid w:val="005C6B7A"/>
    <w:rsid w:val="005C6C8A"/>
    <w:rsid w:val="005C6D02"/>
    <w:rsid w:val="005C6E04"/>
    <w:rsid w:val="005C7079"/>
    <w:rsid w:val="005C70B3"/>
    <w:rsid w:val="005C7112"/>
    <w:rsid w:val="005C7128"/>
    <w:rsid w:val="005C71D5"/>
    <w:rsid w:val="005C7300"/>
    <w:rsid w:val="005C73E8"/>
    <w:rsid w:val="005C7630"/>
    <w:rsid w:val="005C780B"/>
    <w:rsid w:val="005C78EB"/>
    <w:rsid w:val="005C78FB"/>
    <w:rsid w:val="005C79B3"/>
    <w:rsid w:val="005C7B3F"/>
    <w:rsid w:val="005C7C2F"/>
    <w:rsid w:val="005C7C6F"/>
    <w:rsid w:val="005C7D76"/>
    <w:rsid w:val="005C7E5E"/>
    <w:rsid w:val="005C7EB7"/>
    <w:rsid w:val="005C7FC8"/>
    <w:rsid w:val="005D0070"/>
    <w:rsid w:val="005D007F"/>
    <w:rsid w:val="005D040C"/>
    <w:rsid w:val="005D065B"/>
    <w:rsid w:val="005D073A"/>
    <w:rsid w:val="005D079B"/>
    <w:rsid w:val="005D080E"/>
    <w:rsid w:val="005D0862"/>
    <w:rsid w:val="005D094E"/>
    <w:rsid w:val="005D09BB"/>
    <w:rsid w:val="005D0A81"/>
    <w:rsid w:val="005D0BC3"/>
    <w:rsid w:val="005D0BD0"/>
    <w:rsid w:val="005D0C86"/>
    <w:rsid w:val="005D0DD2"/>
    <w:rsid w:val="005D0E18"/>
    <w:rsid w:val="005D0E5B"/>
    <w:rsid w:val="005D0FB4"/>
    <w:rsid w:val="005D1030"/>
    <w:rsid w:val="005D129E"/>
    <w:rsid w:val="005D12E7"/>
    <w:rsid w:val="005D1337"/>
    <w:rsid w:val="005D1345"/>
    <w:rsid w:val="005D160B"/>
    <w:rsid w:val="005D16E7"/>
    <w:rsid w:val="005D1701"/>
    <w:rsid w:val="005D178A"/>
    <w:rsid w:val="005D183A"/>
    <w:rsid w:val="005D1879"/>
    <w:rsid w:val="005D1925"/>
    <w:rsid w:val="005D197B"/>
    <w:rsid w:val="005D1B41"/>
    <w:rsid w:val="005D1C11"/>
    <w:rsid w:val="005D1C29"/>
    <w:rsid w:val="005D1C82"/>
    <w:rsid w:val="005D1CBA"/>
    <w:rsid w:val="005D1D01"/>
    <w:rsid w:val="005D1D3D"/>
    <w:rsid w:val="005D1DFF"/>
    <w:rsid w:val="005D1E2D"/>
    <w:rsid w:val="005D2026"/>
    <w:rsid w:val="005D20EB"/>
    <w:rsid w:val="005D218C"/>
    <w:rsid w:val="005D23DA"/>
    <w:rsid w:val="005D255C"/>
    <w:rsid w:val="005D2563"/>
    <w:rsid w:val="005D2578"/>
    <w:rsid w:val="005D25DC"/>
    <w:rsid w:val="005D2609"/>
    <w:rsid w:val="005D268B"/>
    <w:rsid w:val="005D26EC"/>
    <w:rsid w:val="005D27A2"/>
    <w:rsid w:val="005D27DB"/>
    <w:rsid w:val="005D280E"/>
    <w:rsid w:val="005D28CB"/>
    <w:rsid w:val="005D29B2"/>
    <w:rsid w:val="005D2AC7"/>
    <w:rsid w:val="005D2B58"/>
    <w:rsid w:val="005D2B8A"/>
    <w:rsid w:val="005D2C7B"/>
    <w:rsid w:val="005D2D00"/>
    <w:rsid w:val="005D2E20"/>
    <w:rsid w:val="005D2E2C"/>
    <w:rsid w:val="005D2E66"/>
    <w:rsid w:val="005D2FD6"/>
    <w:rsid w:val="005D301C"/>
    <w:rsid w:val="005D30F9"/>
    <w:rsid w:val="005D31B9"/>
    <w:rsid w:val="005D3271"/>
    <w:rsid w:val="005D32C1"/>
    <w:rsid w:val="005D33C0"/>
    <w:rsid w:val="005D3498"/>
    <w:rsid w:val="005D354D"/>
    <w:rsid w:val="005D35D4"/>
    <w:rsid w:val="005D37CA"/>
    <w:rsid w:val="005D37D8"/>
    <w:rsid w:val="005D383B"/>
    <w:rsid w:val="005D38AA"/>
    <w:rsid w:val="005D3AC8"/>
    <w:rsid w:val="005D3C5C"/>
    <w:rsid w:val="005D3CF7"/>
    <w:rsid w:val="005D3E74"/>
    <w:rsid w:val="005D3EAE"/>
    <w:rsid w:val="005D3F22"/>
    <w:rsid w:val="005D3F29"/>
    <w:rsid w:val="005D4012"/>
    <w:rsid w:val="005D4085"/>
    <w:rsid w:val="005D40BC"/>
    <w:rsid w:val="005D4243"/>
    <w:rsid w:val="005D42D3"/>
    <w:rsid w:val="005D435B"/>
    <w:rsid w:val="005D439D"/>
    <w:rsid w:val="005D4472"/>
    <w:rsid w:val="005D464D"/>
    <w:rsid w:val="005D46A4"/>
    <w:rsid w:val="005D4788"/>
    <w:rsid w:val="005D4815"/>
    <w:rsid w:val="005D4851"/>
    <w:rsid w:val="005D488B"/>
    <w:rsid w:val="005D4961"/>
    <w:rsid w:val="005D49F4"/>
    <w:rsid w:val="005D4A52"/>
    <w:rsid w:val="005D4D09"/>
    <w:rsid w:val="005D4D88"/>
    <w:rsid w:val="005D4DB1"/>
    <w:rsid w:val="005D4ED5"/>
    <w:rsid w:val="005D4F12"/>
    <w:rsid w:val="005D4F3B"/>
    <w:rsid w:val="005D5058"/>
    <w:rsid w:val="005D5069"/>
    <w:rsid w:val="005D5136"/>
    <w:rsid w:val="005D51FE"/>
    <w:rsid w:val="005D549C"/>
    <w:rsid w:val="005D5680"/>
    <w:rsid w:val="005D574D"/>
    <w:rsid w:val="005D57A8"/>
    <w:rsid w:val="005D57FB"/>
    <w:rsid w:val="005D580E"/>
    <w:rsid w:val="005D582E"/>
    <w:rsid w:val="005D5843"/>
    <w:rsid w:val="005D59D9"/>
    <w:rsid w:val="005D5A6B"/>
    <w:rsid w:val="005D5CCE"/>
    <w:rsid w:val="005D5D70"/>
    <w:rsid w:val="005D5E29"/>
    <w:rsid w:val="005D5F08"/>
    <w:rsid w:val="005D5F4C"/>
    <w:rsid w:val="005D5F76"/>
    <w:rsid w:val="005D5F78"/>
    <w:rsid w:val="005D6060"/>
    <w:rsid w:val="005D6158"/>
    <w:rsid w:val="005D619E"/>
    <w:rsid w:val="005D6334"/>
    <w:rsid w:val="005D6344"/>
    <w:rsid w:val="005D6436"/>
    <w:rsid w:val="005D6448"/>
    <w:rsid w:val="005D652F"/>
    <w:rsid w:val="005D660D"/>
    <w:rsid w:val="005D6781"/>
    <w:rsid w:val="005D686C"/>
    <w:rsid w:val="005D68C2"/>
    <w:rsid w:val="005D68F5"/>
    <w:rsid w:val="005D6BAE"/>
    <w:rsid w:val="005D6DA7"/>
    <w:rsid w:val="005D6DEF"/>
    <w:rsid w:val="005D6EA6"/>
    <w:rsid w:val="005D6F6F"/>
    <w:rsid w:val="005D6FDA"/>
    <w:rsid w:val="005D6FEB"/>
    <w:rsid w:val="005D7036"/>
    <w:rsid w:val="005D709E"/>
    <w:rsid w:val="005D72AB"/>
    <w:rsid w:val="005D734B"/>
    <w:rsid w:val="005D753C"/>
    <w:rsid w:val="005D7634"/>
    <w:rsid w:val="005D766B"/>
    <w:rsid w:val="005D7682"/>
    <w:rsid w:val="005D76B5"/>
    <w:rsid w:val="005D77B6"/>
    <w:rsid w:val="005D79B6"/>
    <w:rsid w:val="005D7AD8"/>
    <w:rsid w:val="005D7B51"/>
    <w:rsid w:val="005D7CAD"/>
    <w:rsid w:val="005D7E7E"/>
    <w:rsid w:val="005D7EB8"/>
    <w:rsid w:val="005D7FA2"/>
    <w:rsid w:val="005E00F5"/>
    <w:rsid w:val="005E0194"/>
    <w:rsid w:val="005E0216"/>
    <w:rsid w:val="005E02D7"/>
    <w:rsid w:val="005E03E8"/>
    <w:rsid w:val="005E048B"/>
    <w:rsid w:val="005E0588"/>
    <w:rsid w:val="005E0592"/>
    <w:rsid w:val="005E068E"/>
    <w:rsid w:val="005E0715"/>
    <w:rsid w:val="005E07DA"/>
    <w:rsid w:val="005E08BC"/>
    <w:rsid w:val="005E094B"/>
    <w:rsid w:val="005E098D"/>
    <w:rsid w:val="005E0A54"/>
    <w:rsid w:val="005E0B3A"/>
    <w:rsid w:val="005E0C78"/>
    <w:rsid w:val="005E0D48"/>
    <w:rsid w:val="005E0D98"/>
    <w:rsid w:val="005E0EBD"/>
    <w:rsid w:val="005E0F50"/>
    <w:rsid w:val="005E0F56"/>
    <w:rsid w:val="005E0F7C"/>
    <w:rsid w:val="005E0FCB"/>
    <w:rsid w:val="005E1034"/>
    <w:rsid w:val="005E1039"/>
    <w:rsid w:val="005E1068"/>
    <w:rsid w:val="005E1232"/>
    <w:rsid w:val="005E1287"/>
    <w:rsid w:val="005E1373"/>
    <w:rsid w:val="005E13FB"/>
    <w:rsid w:val="005E1488"/>
    <w:rsid w:val="005E1508"/>
    <w:rsid w:val="005E1531"/>
    <w:rsid w:val="005E1634"/>
    <w:rsid w:val="005E1680"/>
    <w:rsid w:val="005E175A"/>
    <w:rsid w:val="005E18F4"/>
    <w:rsid w:val="005E1929"/>
    <w:rsid w:val="005E1938"/>
    <w:rsid w:val="005E199E"/>
    <w:rsid w:val="005E1A47"/>
    <w:rsid w:val="005E1B14"/>
    <w:rsid w:val="005E1B69"/>
    <w:rsid w:val="005E1C8C"/>
    <w:rsid w:val="005E1CD0"/>
    <w:rsid w:val="005E1D0B"/>
    <w:rsid w:val="005E1DE6"/>
    <w:rsid w:val="005E1DFC"/>
    <w:rsid w:val="005E1F3C"/>
    <w:rsid w:val="005E2019"/>
    <w:rsid w:val="005E2065"/>
    <w:rsid w:val="005E2167"/>
    <w:rsid w:val="005E234D"/>
    <w:rsid w:val="005E239F"/>
    <w:rsid w:val="005E246D"/>
    <w:rsid w:val="005E24BE"/>
    <w:rsid w:val="005E24D8"/>
    <w:rsid w:val="005E2531"/>
    <w:rsid w:val="005E255B"/>
    <w:rsid w:val="005E2745"/>
    <w:rsid w:val="005E28D6"/>
    <w:rsid w:val="005E292B"/>
    <w:rsid w:val="005E29AC"/>
    <w:rsid w:val="005E2A43"/>
    <w:rsid w:val="005E2A4A"/>
    <w:rsid w:val="005E2A78"/>
    <w:rsid w:val="005E2A8F"/>
    <w:rsid w:val="005E2B29"/>
    <w:rsid w:val="005E2BA3"/>
    <w:rsid w:val="005E2BEE"/>
    <w:rsid w:val="005E2C78"/>
    <w:rsid w:val="005E2CDA"/>
    <w:rsid w:val="005E2CE0"/>
    <w:rsid w:val="005E2D38"/>
    <w:rsid w:val="005E2D5F"/>
    <w:rsid w:val="005E2D96"/>
    <w:rsid w:val="005E2E03"/>
    <w:rsid w:val="005E2E1E"/>
    <w:rsid w:val="005E2E70"/>
    <w:rsid w:val="005E2E82"/>
    <w:rsid w:val="005E2FE0"/>
    <w:rsid w:val="005E303B"/>
    <w:rsid w:val="005E309C"/>
    <w:rsid w:val="005E31B1"/>
    <w:rsid w:val="005E34E0"/>
    <w:rsid w:val="005E3570"/>
    <w:rsid w:val="005E357D"/>
    <w:rsid w:val="005E358C"/>
    <w:rsid w:val="005E3594"/>
    <w:rsid w:val="005E35CB"/>
    <w:rsid w:val="005E35F9"/>
    <w:rsid w:val="005E3620"/>
    <w:rsid w:val="005E37A9"/>
    <w:rsid w:val="005E3977"/>
    <w:rsid w:val="005E3ACD"/>
    <w:rsid w:val="005E3AFC"/>
    <w:rsid w:val="005E3B3A"/>
    <w:rsid w:val="005E3B46"/>
    <w:rsid w:val="005E3B9B"/>
    <w:rsid w:val="005E3CB6"/>
    <w:rsid w:val="005E3DC9"/>
    <w:rsid w:val="005E3E83"/>
    <w:rsid w:val="005E3EC3"/>
    <w:rsid w:val="005E3F1D"/>
    <w:rsid w:val="005E3F75"/>
    <w:rsid w:val="005E4001"/>
    <w:rsid w:val="005E40E0"/>
    <w:rsid w:val="005E411F"/>
    <w:rsid w:val="005E4177"/>
    <w:rsid w:val="005E4179"/>
    <w:rsid w:val="005E41DB"/>
    <w:rsid w:val="005E439B"/>
    <w:rsid w:val="005E4552"/>
    <w:rsid w:val="005E45AA"/>
    <w:rsid w:val="005E4611"/>
    <w:rsid w:val="005E4637"/>
    <w:rsid w:val="005E46A2"/>
    <w:rsid w:val="005E46B9"/>
    <w:rsid w:val="005E46C4"/>
    <w:rsid w:val="005E47A1"/>
    <w:rsid w:val="005E483E"/>
    <w:rsid w:val="005E490B"/>
    <w:rsid w:val="005E4977"/>
    <w:rsid w:val="005E49F2"/>
    <w:rsid w:val="005E4A7B"/>
    <w:rsid w:val="005E4BD1"/>
    <w:rsid w:val="005E4CDB"/>
    <w:rsid w:val="005E4D28"/>
    <w:rsid w:val="005E4D4C"/>
    <w:rsid w:val="005E4D5F"/>
    <w:rsid w:val="005E4DE4"/>
    <w:rsid w:val="005E4E5C"/>
    <w:rsid w:val="005E4E7A"/>
    <w:rsid w:val="005E4E7E"/>
    <w:rsid w:val="005E4E8F"/>
    <w:rsid w:val="005E4F24"/>
    <w:rsid w:val="005E4F96"/>
    <w:rsid w:val="005E5052"/>
    <w:rsid w:val="005E506D"/>
    <w:rsid w:val="005E5196"/>
    <w:rsid w:val="005E521F"/>
    <w:rsid w:val="005E5290"/>
    <w:rsid w:val="005E53EE"/>
    <w:rsid w:val="005E541D"/>
    <w:rsid w:val="005E549D"/>
    <w:rsid w:val="005E556D"/>
    <w:rsid w:val="005E5572"/>
    <w:rsid w:val="005E569C"/>
    <w:rsid w:val="005E571F"/>
    <w:rsid w:val="005E57F7"/>
    <w:rsid w:val="005E583D"/>
    <w:rsid w:val="005E58DF"/>
    <w:rsid w:val="005E5B25"/>
    <w:rsid w:val="005E5CAF"/>
    <w:rsid w:val="005E5D0E"/>
    <w:rsid w:val="005E5D1B"/>
    <w:rsid w:val="005E5D4D"/>
    <w:rsid w:val="005E5D8D"/>
    <w:rsid w:val="005E5ED1"/>
    <w:rsid w:val="005E5F6C"/>
    <w:rsid w:val="005E5FC6"/>
    <w:rsid w:val="005E605F"/>
    <w:rsid w:val="005E6061"/>
    <w:rsid w:val="005E623F"/>
    <w:rsid w:val="005E62BA"/>
    <w:rsid w:val="005E62DF"/>
    <w:rsid w:val="005E6445"/>
    <w:rsid w:val="005E64E6"/>
    <w:rsid w:val="005E657D"/>
    <w:rsid w:val="005E660F"/>
    <w:rsid w:val="005E67FC"/>
    <w:rsid w:val="005E6807"/>
    <w:rsid w:val="005E686F"/>
    <w:rsid w:val="005E68A9"/>
    <w:rsid w:val="005E68D5"/>
    <w:rsid w:val="005E68EF"/>
    <w:rsid w:val="005E6AA6"/>
    <w:rsid w:val="005E6B2F"/>
    <w:rsid w:val="005E6B45"/>
    <w:rsid w:val="005E6BA1"/>
    <w:rsid w:val="005E6D77"/>
    <w:rsid w:val="005E6F2B"/>
    <w:rsid w:val="005E6FDF"/>
    <w:rsid w:val="005E71B0"/>
    <w:rsid w:val="005E71C5"/>
    <w:rsid w:val="005E71FC"/>
    <w:rsid w:val="005E721E"/>
    <w:rsid w:val="005E724F"/>
    <w:rsid w:val="005E7345"/>
    <w:rsid w:val="005E735E"/>
    <w:rsid w:val="005E7446"/>
    <w:rsid w:val="005E74F4"/>
    <w:rsid w:val="005E7573"/>
    <w:rsid w:val="005E7577"/>
    <w:rsid w:val="005E75BC"/>
    <w:rsid w:val="005E77C7"/>
    <w:rsid w:val="005E789C"/>
    <w:rsid w:val="005E7926"/>
    <w:rsid w:val="005E7A79"/>
    <w:rsid w:val="005E7BE5"/>
    <w:rsid w:val="005E7CC8"/>
    <w:rsid w:val="005E7D2F"/>
    <w:rsid w:val="005E7D3B"/>
    <w:rsid w:val="005E7F41"/>
    <w:rsid w:val="005E7FA2"/>
    <w:rsid w:val="005F0023"/>
    <w:rsid w:val="005F0101"/>
    <w:rsid w:val="005F0295"/>
    <w:rsid w:val="005F029A"/>
    <w:rsid w:val="005F030F"/>
    <w:rsid w:val="005F0409"/>
    <w:rsid w:val="005F0653"/>
    <w:rsid w:val="005F078F"/>
    <w:rsid w:val="005F07B4"/>
    <w:rsid w:val="005F07D9"/>
    <w:rsid w:val="005F0847"/>
    <w:rsid w:val="005F0890"/>
    <w:rsid w:val="005F09E6"/>
    <w:rsid w:val="005F0A5E"/>
    <w:rsid w:val="005F0A9A"/>
    <w:rsid w:val="005F0B9E"/>
    <w:rsid w:val="005F0C85"/>
    <w:rsid w:val="005F0CF4"/>
    <w:rsid w:val="005F0D17"/>
    <w:rsid w:val="005F0D28"/>
    <w:rsid w:val="005F0D75"/>
    <w:rsid w:val="005F108F"/>
    <w:rsid w:val="005F14AE"/>
    <w:rsid w:val="005F15BB"/>
    <w:rsid w:val="005F15D6"/>
    <w:rsid w:val="005F181A"/>
    <w:rsid w:val="005F1960"/>
    <w:rsid w:val="005F1A18"/>
    <w:rsid w:val="005F1A99"/>
    <w:rsid w:val="005F1A9F"/>
    <w:rsid w:val="005F1CB9"/>
    <w:rsid w:val="005F1F57"/>
    <w:rsid w:val="005F1FCE"/>
    <w:rsid w:val="005F20C3"/>
    <w:rsid w:val="005F21BC"/>
    <w:rsid w:val="005F21DA"/>
    <w:rsid w:val="005F21F2"/>
    <w:rsid w:val="005F22E9"/>
    <w:rsid w:val="005F2307"/>
    <w:rsid w:val="005F245D"/>
    <w:rsid w:val="005F24E0"/>
    <w:rsid w:val="005F24F0"/>
    <w:rsid w:val="005F24F3"/>
    <w:rsid w:val="005F2579"/>
    <w:rsid w:val="005F2671"/>
    <w:rsid w:val="005F2691"/>
    <w:rsid w:val="005F2705"/>
    <w:rsid w:val="005F2716"/>
    <w:rsid w:val="005F2855"/>
    <w:rsid w:val="005F28E0"/>
    <w:rsid w:val="005F2988"/>
    <w:rsid w:val="005F2A5E"/>
    <w:rsid w:val="005F2BFF"/>
    <w:rsid w:val="005F2EB2"/>
    <w:rsid w:val="005F3053"/>
    <w:rsid w:val="005F3221"/>
    <w:rsid w:val="005F328E"/>
    <w:rsid w:val="005F32AA"/>
    <w:rsid w:val="005F32E9"/>
    <w:rsid w:val="005F336A"/>
    <w:rsid w:val="005F348F"/>
    <w:rsid w:val="005F349C"/>
    <w:rsid w:val="005F351A"/>
    <w:rsid w:val="005F3637"/>
    <w:rsid w:val="005F3684"/>
    <w:rsid w:val="005F3722"/>
    <w:rsid w:val="005F3761"/>
    <w:rsid w:val="005F378E"/>
    <w:rsid w:val="005F37A3"/>
    <w:rsid w:val="005F37C4"/>
    <w:rsid w:val="005F3955"/>
    <w:rsid w:val="005F3989"/>
    <w:rsid w:val="005F3A25"/>
    <w:rsid w:val="005F3A50"/>
    <w:rsid w:val="005F3B05"/>
    <w:rsid w:val="005F3BBF"/>
    <w:rsid w:val="005F3C8E"/>
    <w:rsid w:val="005F3CB6"/>
    <w:rsid w:val="005F3D3F"/>
    <w:rsid w:val="005F3D90"/>
    <w:rsid w:val="005F3E2D"/>
    <w:rsid w:val="005F3FDC"/>
    <w:rsid w:val="005F406A"/>
    <w:rsid w:val="005F4112"/>
    <w:rsid w:val="005F4115"/>
    <w:rsid w:val="005F4261"/>
    <w:rsid w:val="005F4354"/>
    <w:rsid w:val="005F447E"/>
    <w:rsid w:val="005F4577"/>
    <w:rsid w:val="005F45AF"/>
    <w:rsid w:val="005F4817"/>
    <w:rsid w:val="005F48BA"/>
    <w:rsid w:val="005F4903"/>
    <w:rsid w:val="005F495A"/>
    <w:rsid w:val="005F4A1B"/>
    <w:rsid w:val="005F4B49"/>
    <w:rsid w:val="005F4BF8"/>
    <w:rsid w:val="005F4C77"/>
    <w:rsid w:val="005F4CDE"/>
    <w:rsid w:val="005F4D3B"/>
    <w:rsid w:val="005F4DE3"/>
    <w:rsid w:val="005F4F1E"/>
    <w:rsid w:val="005F4FB3"/>
    <w:rsid w:val="005F5032"/>
    <w:rsid w:val="005F5105"/>
    <w:rsid w:val="005F5275"/>
    <w:rsid w:val="005F527A"/>
    <w:rsid w:val="005F52F6"/>
    <w:rsid w:val="005F5578"/>
    <w:rsid w:val="005F55F9"/>
    <w:rsid w:val="005F562C"/>
    <w:rsid w:val="005F5886"/>
    <w:rsid w:val="005F59BB"/>
    <w:rsid w:val="005F5A47"/>
    <w:rsid w:val="005F5AE2"/>
    <w:rsid w:val="005F5BA8"/>
    <w:rsid w:val="005F5BE4"/>
    <w:rsid w:val="005F5C2D"/>
    <w:rsid w:val="005F5C98"/>
    <w:rsid w:val="005F5F36"/>
    <w:rsid w:val="005F6093"/>
    <w:rsid w:val="005F6126"/>
    <w:rsid w:val="005F613F"/>
    <w:rsid w:val="005F63E1"/>
    <w:rsid w:val="005F647B"/>
    <w:rsid w:val="005F6631"/>
    <w:rsid w:val="005F6636"/>
    <w:rsid w:val="005F669A"/>
    <w:rsid w:val="005F678B"/>
    <w:rsid w:val="005F68DB"/>
    <w:rsid w:val="005F6BD3"/>
    <w:rsid w:val="005F6C9B"/>
    <w:rsid w:val="005F6DE1"/>
    <w:rsid w:val="005F6F2B"/>
    <w:rsid w:val="005F6F42"/>
    <w:rsid w:val="005F7040"/>
    <w:rsid w:val="005F71D2"/>
    <w:rsid w:val="005F723A"/>
    <w:rsid w:val="005F7346"/>
    <w:rsid w:val="005F73B5"/>
    <w:rsid w:val="005F7530"/>
    <w:rsid w:val="005F756E"/>
    <w:rsid w:val="005F7575"/>
    <w:rsid w:val="005F757E"/>
    <w:rsid w:val="005F75B7"/>
    <w:rsid w:val="005F7628"/>
    <w:rsid w:val="005F77B5"/>
    <w:rsid w:val="005F77C2"/>
    <w:rsid w:val="005F785C"/>
    <w:rsid w:val="005F7930"/>
    <w:rsid w:val="005F7A06"/>
    <w:rsid w:val="005F7A4C"/>
    <w:rsid w:val="005F7A69"/>
    <w:rsid w:val="005F7B10"/>
    <w:rsid w:val="005F7C53"/>
    <w:rsid w:val="005F7D0B"/>
    <w:rsid w:val="005F7E34"/>
    <w:rsid w:val="005F7EAD"/>
    <w:rsid w:val="00600022"/>
    <w:rsid w:val="006001D4"/>
    <w:rsid w:val="006001F7"/>
    <w:rsid w:val="00600237"/>
    <w:rsid w:val="00600239"/>
    <w:rsid w:val="006002C8"/>
    <w:rsid w:val="006002F0"/>
    <w:rsid w:val="00600315"/>
    <w:rsid w:val="0060049D"/>
    <w:rsid w:val="006004E1"/>
    <w:rsid w:val="00600521"/>
    <w:rsid w:val="0060064E"/>
    <w:rsid w:val="0060070E"/>
    <w:rsid w:val="006007D2"/>
    <w:rsid w:val="00600805"/>
    <w:rsid w:val="006009CF"/>
    <w:rsid w:val="00600ABB"/>
    <w:rsid w:val="00600B50"/>
    <w:rsid w:val="00600BA0"/>
    <w:rsid w:val="00600BA1"/>
    <w:rsid w:val="00600D71"/>
    <w:rsid w:val="00600D86"/>
    <w:rsid w:val="00600F73"/>
    <w:rsid w:val="00601009"/>
    <w:rsid w:val="0060106D"/>
    <w:rsid w:val="00601195"/>
    <w:rsid w:val="006013E9"/>
    <w:rsid w:val="0060149C"/>
    <w:rsid w:val="00601637"/>
    <w:rsid w:val="00601845"/>
    <w:rsid w:val="0060186B"/>
    <w:rsid w:val="006018B3"/>
    <w:rsid w:val="0060191D"/>
    <w:rsid w:val="006019EB"/>
    <w:rsid w:val="00601A72"/>
    <w:rsid w:val="00601ADC"/>
    <w:rsid w:val="00601C14"/>
    <w:rsid w:val="00601C5B"/>
    <w:rsid w:val="00601E0A"/>
    <w:rsid w:val="00601E7C"/>
    <w:rsid w:val="00601EB7"/>
    <w:rsid w:val="00601EED"/>
    <w:rsid w:val="00601EFF"/>
    <w:rsid w:val="00601F1B"/>
    <w:rsid w:val="00601F5A"/>
    <w:rsid w:val="00602013"/>
    <w:rsid w:val="00602073"/>
    <w:rsid w:val="006020C3"/>
    <w:rsid w:val="006020D7"/>
    <w:rsid w:val="00602133"/>
    <w:rsid w:val="006021B5"/>
    <w:rsid w:val="00602246"/>
    <w:rsid w:val="006022D1"/>
    <w:rsid w:val="00602349"/>
    <w:rsid w:val="00602487"/>
    <w:rsid w:val="006024B3"/>
    <w:rsid w:val="006025B4"/>
    <w:rsid w:val="006025C8"/>
    <w:rsid w:val="00602600"/>
    <w:rsid w:val="00602766"/>
    <w:rsid w:val="00602791"/>
    <w:rsid w:val="00602799"/>
    <w:rsid w:val="006027C6"/>
    <w:rsid w:val="0060290C"/>
    <w:rsid w:val="00602980"/>
    <w:rsid w:val="00602A76"/>
    <w:rsid w:val="00602B00"/>
    <w:rsid w:val="00602B27"/>
    <w:rsid w:val="00602B53"/>
    <w:rsid w:val="00602B72"/>
    <w:rsid w:val="00602BC6"/>
    <w:rsid w:val="00602C85"/>
    <w:rsid w:val="00602F55"/>
    <w:rsid w:val="00603149"/>
    <w:rsid w:val="0060319B"/>
    <w:rsid w:val="006032F9"/>
    <w:rsid w:val="006033F5"/>
    <w:rsid w:val="00603427"/>
    <w:rsid w:val="00603440"/>
    <w:rsid w:val="00603498"/>
    <w:rsid w:val="00603575"/>
    <w:rsid w:val="00603867"/>
    <w:rsid w:val="00603A25"/>
    <w:rsid w:val="00603B2B"/>
    <w:rsid w:val="00603C54"/>
    <w:rsid w:val="00603CAD"/>
    <w:rsid w:val="00603CDF"/>
    <w:rsid w:val="00603D25"/>
    <w:rsid w:val="00603E77"/>
    <w:rsid w:val="00603FE9"/>
    <w:rsid w:val="0060401A"/>
    <w:rsid w:val="006040C4"/>
    <w:rsid w:val="0060411F"/>
    <w:rsid w:val="00604185"/>
    <w:rsid w:val="006041C0"/>
    <w:rsid w:val="006042E4"/>
    <w:rsid w:val="0060433C"/>
    <w:rsid w:val="006045A1"/>
    <w:rsid w:val="006045A7"/>
    <w:rsid w:val="0060461A"/>
    <w:rsid w:val="00604620"/>
    <w:rsid w:val="00604708"/>
    <w:rsid w:val="006048DF"/>
    <w:rsid w:val="006048ED"/>
    <w:rsid w:val="00604AAC"/>
    <w:rsid w:val="00604AD8"/>
    <w:rsid w:val="00604B62"/>
    <w:rsid w:val="00604CE3"/>
    <w:rsid w:val="00604CF8"/>
    <w:rsid w:val="00604D8F"/>
    <w:rsid w:val="00604E3B"/>
    <w:rsid w:val="00604F0B"/>
    <w:rsid w:val="00605045"/>
    <w:rsid w:val="00605210"/>
    <w:rsid w:val="0060522F"/>
    <w:rsid w:val="006052FB"/>
    <w:rsid w:val="0060533A"/>
    <w:rsid w:val="006054C0"/>
    <w:rsid w:val="0060565E"/>
    <w:rsid w:val="00605662"/>
    <w:rsid w:val="006056D1"/>
    <w:rsid w:val="00605808"/>
    <w:rsid w:val="0060580D"/>
    <w:rsid w:val="006058CE"/>
    <w:rsid w:val="0060596C"/>
    <w:rsid w:val="00605BF6"/>
    <w:rsid w:val="00605C14"/>
    <w:rsid w:val="00605C7D"/>
    <w:rsid w:val="00605D6D"/>
    <w:rsid w:val="00605E79"/>
    <w:rsid w:val="00605E80"/>
    <w:rsid w:val="00605ECB"/>
    <w:rsid w:val="00605F13"/>
    <w:rsid w:val="00606015"/>
    <w:rsid w:val="006061B0"/>
    <w:rsid w:val="006061E2"/>
    <w:rsid w:val="006061F4"/>
    <w:rsid w:val="00606294"/>
    <w:rsid w:val="0060639E"/>
    <w:rsid w:val="006064BE"/>
    <w:rsid w:val="00606613"/>
    <w:rsid w:val="0060677C"/>
    <w:rsid w:val="0060678D"/>
    <w:rsid w:val="006067E1"/>
    <w:rsid w:val="0060691C"/>
    <w:rsid w:val="00606962"/>
    <w:rsid w:val="00606998"/>
    <w:rsid w:val="006069A0"/>
    <w:rsid w:val="00606BCD"/>
    <w:rsid w:val="00606C2E"/>
    <w:rsid w:val="00606CAE"/>
    <w:rsid w:val="00606D59"/>
    <w:rsid w:val="00606DA8"/>
    <w:rsid w:val="00606DD8"/>
    <w:rsid w:val="00606E2F"/>
    <w:rsid w:val="00606E39"/>
    <w:rsid w:val="00606F33"/>
    <w:rsid w:val="00607068"/>
    <w:rsid w:val="0060715C"/>
    <w:rsid w:val="00607260"/>
    <w:rsid w:val="00607276"/>
    <w:rsid w:val="0060727A"/>
    <w:rsid w:val="006075DF"/>
    <w:rsid w:val="0060761D"/>
    <w:rsid w:val="00607733"/>
    <w:rsid w:val="0060775B"/>
    <w:rsid w:val="006077BD"/>
    <w:rsid w:val="00607A58"/>
    <w:rsid w:val="00607A8F"/>
    <w:rsid w:val="00607B60"/>
    <w:rsid w:val="00607C6C"/>
    <w:rsid w:val="00607CF0"/>
    <w:rsid w:val="00607E32"/>
    <w:rsid w:val="00607E35"/>
    <w:rsid w:val="00607F02"/>
    <w:rsid w:val="00607F13"/>
    <w:rsid w:val="00607FD7"/>
    <w:rsid w:val="006101E1"/>
    <w:rsid w:val="0061027A"/>
    <w:rsid w:val="006102D9"/>
    <w:rsid w:val="006103D2"/>
    <w:rsid w:val="006103D9"/>
    <w:rsid w:val="00610439"/>
    <w:rsid w:val="0061044E"/>
    <w:rsid w:val="00610486"/>
    <w:rsid w:val="006105D5"/>
    <w:rsid w:val="006106DC"/>
    <w:rsid w:val="00610709"/>
    <w:rsid w:val="006107A5"/>
    <w:rsid w:val="006107AE"/>
    <w:rsid w:val="006108FE"/>
    <w:rsid w:val="00610963"/>
    <w:rsid w:val="0061099A"/>
    <w:rsid w:val="006109AD"/>
    <w:rsid w:val="00610A1D"/>
    <w:rsid w:val="00610A1F"/>
    <w:rsid w:val="00610A83"/>
    <w:rsid w:val="00610CDE"/>
    <w:rsid w:val="00610E14"/>
    <w:rsid w:val="00610EA7"/>
    <w:rsid w:val="00610ECF"/>
    <w:rsid w:val="00610F02"/>
    <w:rsid w:val="00610FDA"/>
    <w:rsid w:val="00611041"/>
    <w:rsid w:val="0061110F"/>
    <w:rsid w:val="00611131"/>
    <w:rsid w:val="00611191"/>
    <w:rsid w:val="006111BA"/>
    <w:rsid w:val="006112E9"/>
    <w:rsid w:val="00611319"/>
    <w:rsid w:val="0061136D"/>
    <w:rsid w:val="006113B5"/>
    <w:rsid w:val="006113C7"/>
    <w:rsid w:val="006113D7"/>
    <w:rsid w:val="006115BB"/>
    <w:rsid w:val="006115BD"/>
    <w:rsid w:val="006116B5"/>
    <w:rsid w:val="006116E8"/>
    <w:rsid w:val="0061174B"/>
    <w:rsid w:val="00611907"/>
    <w:rsid w:val="00611ACC"/>
    <w:rsid w:val="00611AE9"/>
    <w:rsid w:val="00611B44"/>
    <w:rsid w:val="00611B9B"/>
    <w:rsid w:val="00611BA5"/>
    <w:rsid w:val="00611C0D"/>
    <w:rsid w:val="00611C16"/>
    <w:rsid w:val="00611DAE"/>
    <w:rsid w:val="00611DCC"/>
    <w:rsid w:val="0061204D"/>
    <w:rsid w:val="00612058"/>
    <w:rsid w:val="0061207E"/>
    <w:rsid w:val="0061208B"/>
    <w:rsid w:val="0061218F"/>
    <w:rsid w:val="006123C3"/>
    <w:rsid w:val="006123E7"/>
    <w:rsid w:val="00612577"/>
    <w:rsid w:val="00612578"/>
    <w:rsid w:val="00612581"/>
    <w:rsid w:val="006125AA"/>
    <w:rsid w:val="006125F0"/>
    <w:rsid w:val="0061264D"/>
    <w:rsid w:val="006127BF"/>
    <w:rsid w:val="006129E4"/>
    <w:rsid w:val="00612A5B"/>
    <w:rsid w:val="00612B14"/>
    <w:rsid w:val="00612C92"/>
    <w:rsid w:val="00612D70"/>
    <w:rsid w:val="00612E1A"/>
    <w:rsid w:val="00612E4B"/>
    <w:rsid w:val="00612E4C"/>
    <w:rsid w:val="00612EEA"/>
    <w:rsid w:val="00612F9D"/>
    <w:rsid w:val="00612FA2"/>
    <w:rsid w:val="00612FCC"/>
    <w:rsid w:val="0061307C"/>
    <w:rsid w:val="006130E9"/>
    <w:rsid w:val="00613130"/>
    <w:rsid w:val="00613167"/>
    <w:rsid w:val="0061317E"/>
    <w:rsid w:val="0061320D"/>
    <w:rsid w:val="00613254"/>
    <w:rsid w:val="00613473"/>
    <w:rsid w:val="0061350C"/>
    <w:rsid w:val="0061359B"/>
    <w:rsid w:val="006136DA"/>
    <w:rsid w:val="0061372D"/>
    <w:rsid w:val="006137AE"/>
    <w:rsid w:val="006138DF"/>
    <w:rsid w:val="00613933"/>
    <w:rsid w:val="00613C13"/>
    <w:rsid w:val="00613CE5"/>
    <w:rsid w:val="00613DE6"/>
    <w:rsid w:val="00613ED1"/>
    <w:rsid w:val="00613F21"/>
    <w:rsid w:val="00614156"/>
    <w:rsid w:val="00614201"/>
    <w:rsid w:val="00614260"/>
    <w:rsid w:val="00614349"/>
    <w:rsid w:val="006143ED"/>
    <w:rsid w:val="006144B4"/>
    <w:rsid w:val="006144C5"/>
    <w:rsid w:val="00614570"/>
    <w:rsid w:val="006146E1"/>
    <w:rsid w:val="00614801"/>
    <w:rsid w:val="00614BCA"/>
    <w:rsid w:val="00614C16"/>
    <w:rsid w:val="00614C3F"/>
    <w:rsid w:val="00614C7A"/>
    <w:rsid w:val="00614CA1"/>
    <w:rsid w:val="00614EA1"/>
    <w:rsid w:val="00614FDE"/>
    <w:rsid w:val="00614FED"/>
    <w:rsid w:val="00615003"/>
    <w:rsid w:val="0061515A"/>
    <w:rsid w:val="006151F7"/>
    <w:rsid w:val="00615221"/>
    <w:rsid w:val="006152D7"/>
    <w:rsid w:val="006153AE"/>
    <w:rsid w:val="006154EF"/>
    <w:rsid w:val="0061551B"/>
    <w:rsid w:val="0061554A"/>
    <w:rsid w:val="00615615"/>
    <w:rsid w:val="006156FC"/>
    <w:rsid w:val="006157C7"/>
    <w:rsid w:val="00615859"/>
    <w:rsid w:val="00615966"/>
    <w:rsid w:val="00615987"/>
    <w:rsid w:val="00615A59"/>
    <w:rsid w:val="00615BA4"/>
    <w:rsid w:val="00615BAF"/>
    <w:rsid w:val="00615BD3"/>
    <w:rsid w:val="00615BE0"/>
    <w:rsid w:val="00615C18"/>
    <w:rsid w:val="00615C3F"/>
    <w:rsid w:val="00615C42"/>
    <w:rsid w:val="00615C49"/>
    <w:rsid w:val="00615F23"/>
    <w:rsid w:val="00615F28"/>
    <w:rsid w:val="00615FCD"/>
    <w:rsid w:val="00616048"/>
    <w:rsid w:val="006160EB"/>
    <w:rsid w:val="00616145"/>
    <w:rsid w:val="006161BE"/>
    <w:rsid w:val="00616270"/>
    <w:rsid w:val="0061633A"/>
    <w:rsid w:val="0061636F"/>
    <w:rsid w:val="0061643C"/>
    <w:rsid w:val="0061650F"/>
    <w:rsid w:val="0061655C"/>
    <w:rsid w:val="006165BD"/>
    <w:rsid w:val="00616711"/>
    <w:rsid w:val="0061679C"/>
    <w:rsid w:val="0061683D"/>
    <w:rsid w:val="00616896"/>
    <w:rsid w:val="00616A03"/>
    <w:rsid w:val="00616A28"/>
    <w:rsid w:val="00616B52"/>
    <w:rsid w:val="00616B62"/>
    <w:rsid w:val="00616B9D"/>
    <w:rsid w:val="00616CEB"/>
    <w:rsid w:val="00616E12"/>
    <w:rsid w:val="00616F1E"/>
    <w:rsid w:val="00616F84"/>
    <w:rsid w:val="00616FAC"/>
    <w:rsid w:val="00617041"/>
    <w:rsid w:val="00617096"/>
    <w:rsid w:val="00617106"/>
    <w:rsid w:val="0061725B"/>
    <w:rsid w:val="006172F2"/>
    <w:rsid w:val="0061743F"/>
    <w:rsid w:val="006176CA"/>
    <w:rsid w:val="0061773D"/>
    <w:rsid w:val="006177D2"/>
    <w:rsid w:val="00617836"/>
    <w:rsid w:val="006178AA"/>
    <w:rsid w:val="00617956"/>
    <w:rsid w:val="006179D4"/>
    <w:rsid w:val="00617B89"/>
    <w:rsid w:val="00617C11"/>
    <w:rsid w:val="00617C32"/>
    <w:rsid w:val="00617D13"/>
    <w:rsid w:val="00617D99"/>
    <w:rsid w:val="00617E6F"/>
    <w:rsid w:val="00617E9A"/>
    <w:rsid w:val="00617EA7"/>
    <w:rsid w:val="00617FD5"/>
    <w:rsid w:val="006200F4"/>
    <w:rsid w:val="006200FA"/>
    <w:rsid w:val="00620172"/>
    <w:rsid w:val="006201CD"/>
    <w:rsid w:val="006202BF"/>
    <w:rsid w:val="00620433"/>
    <w:rsid w:val="0062048C"/>
    <w:rsid w:val="006204AE"/>
    <w:rsid w:val="006205CF"/>
    <w:rsid w:val="0062074C"/>
    <w:rsid w:val="006208B3"/>
    <w:rsid w:val="006208FA"/>
    <w:rsid w:val="0062090D"/>
    <w:rsid w:val="00620945"/>
    <w:rsid w:val="00620A99"/>
    <w:rsid w:val="00620B3F"/>
    <w:rsid w:val="00620B9E"/>
    <w:rsid w:val="00620C0F"/>
    <w:rsid w:val="00620D90"/>
    <w:rsid w:val="00621068"/>
    <w:rsid w:val="006210F3"/>
    <w:rsid w:val="00621225"/>
    <w:rsid w:val="00621265"/>
    <w:rsid w:val="006212B5"/>
    <w:rsid w:val="00621371"/>
    <w:rsid w:val="006213AC"/>
    <w:rsid w:val="006213D4"/>
    <w:rsid w:val="006213D5"/>
    <w:rsid w:val="00621454"/>
    <w:rsid w:val="0062147B"/>
    <w:rsid w:val="006214A8"/>
    <w:rsid w:val="00621691"/>
    <w:rsid w:val="006216B5"/>
    <w:rsid w:val="006216D2"/>
    <w:rsid w:val="006217B6"/>
    <w:rsid w:val="006217E3"/>
    <w:rsid w:val="006219B5"/>
    <w:rsid w:val="00621A84"/>
    <w:rsid w:val="00621A90"/>
    <w:rsid w:val="00621C4D"/>
    <w:rsid w:val="00621C63"/>
    <w:rsid w:val="00621CD4"/>
    <w:rsid w:val="00621E4D"/>
    <w:rsid w:val="00621E60"/>
    <w:rsid w:val="00621EDF"/>
    <w:rsid w:val="00621FED"/>
    <w:rsid w:val="00621FF8"/>
    <w:rsid w:val="006220D3"/>
    <w:rsid w:val="006221B5"/>
    <w:rsid w:val="006222D0"/>
    <w:rsid w:val="0062231E"/>
    <w:rsid w:val="006223A5"/>
    <w:rsid w:val="00622562"/>
    <w:rsid w:val="0062265B"/>
    <w:rsid w:val="00622709"/>
    <w:rsid w:val="006228F6"/>
    <w:rsid w:val="00622930"/>
    <w:rsid w:val="00622BC6"/>
    <w:rsid w:val="00622C2C"/>
    <w:rsid w:val="00622F09"/>
    <w:rsid w:val="0062301C"/>
    <w:rsid w:val="006231E5"/>
    <w:rsid w:val="0062328E"/>
    <w:rsid w:val="00623314"/>
    <w:rsid w:val="006233B8"/>
    <w:rsid w:val="006233C6"/>
    <w:rsid w:val="00623544"/>
    <w:rsid w:val="00623632"/>
    <w:rsid w:val="00623667"/>
    <w:rsid w:val="0062369C"/>
    <w:rsid w:val="006236F7"/>
    <w:rsid w:val="0062379D"/>
    <w:rsid w:val="0062394D"/>
    <w:rsid w:val="00623A81"/>
    <w:rsid w:val="00623B66"/>
    <w:rsid w:val="00623B7D"/>
    <w:rsid w:val="00623D21"/>
    <w:rsid w:val="00623DD2"/>
    <w:rsid w:val="00623DE4"/>
    <w:rsid w:val="00623EE0"/>
    <w:rsid w:val="00623F4C"/>
    <w:rsid w:val="00623F9B"/>
    <w:rsid w:val="006240B1"/>
    <w:rsid w:val="00624181"/>
    <w:rsid w:val="006241C5"/>
    <w:rsid w:val="006242CA"/>
    <w:rsid w:val="0062430F"/>
    <w:rsid w:val="0062437B"/>
    <w:rsid w:val="0062443F"/>
    <w:rsid w:val="006244D0"/>
    <w:rsid w:val="006244D7"/>
    <w:rsid w:val="006245A4"/>
    <w:rsid w:val="00624632"/>
    <w:rsid w:val="00624636"/>
    <w:rsid w:val="0062465B"/>
    <w:rsid w:val="00624733"/>
    <w:rsid w:val="006247BB"/>
    <w:rsid w:val="006247CA"/>
    <w:rsid w:val="0062486F"/>
    <w:rsid w:val="00624925"/>
    <w:rsid w:val="00624A02"/>
    <w:rsid w:val="00624AE2"/>
    <w:rsid w:val="00624AFC"/>
    <w:rsid w:val="00624C35"/>
    <w:rsid w:val="00624D29"/>
    <w:rsid w:val="00624F14"/>
    <w:rsid w:val="00624F29"/>
    <w:rsid w:val="006250A6"/>
    <w:rsid w:val="006250FB"/>
    <w:rsid w:val="00625187"/>
    <w:rsid w:val="006251AE"/>
    <w:rsid w:val="00625510"/>
    <w:rsid w:val="0062552E"/>
    <w:rsid w:val="0062553B"/>
    <w:rsid w:val="0062559E"/>
    <w:rsid w:val="006255A3"/>
    <w:rsid w:val="00625604"/>
    <w:rsid w:val="00625634"/>
    <w:rsid w:val="00625796"/>
    <w:rsid w:val="00625907"/>
    <w:rsid w:val="006259E7"/>
    <w:rsid w:val="00625B9A"/>
    <w:rsid w:val="00625C28"/>
    <w:rsid w:val="00625D06"/>
    <w:rsid w:val="00625D52"/>
    <w:rsid w:val="00625DD0"/>
    <w:rsid w:val="00625E9C"/>
    <w:rsid w:val="00625F33"/>
    <w:rsid w:val="00625FED"/>
    <w:rsid w:val="00626371"/>
    <w:rsid w:val="00626428"/>
    <w:rsid w:val="0062643D"/>
    <w:rsid w:val="00626549"/>
    <w:rsid w:val="006265E2"/>
    <w:rsid w:val="006266D7"/>
    <w:rsid w:val="00626707"/>
    <w:rsid w:val="00626732"/>
    <w:rsid w:val="006267CA"/>
    <w:rsid w:val="00626841"/>
    <w:rsid w:val="006268EB"/>
    <w:rsid w:val="0062693E"/>
    <w:rsid w:val="00626B03"/>
    <w:rsid w:val="00626C55"/>
    <w:rsid w:val="00626C6D"/>
    <w:rsid w:val="00626DC3"/>
    <w:rsid w:val="00626DC4"/>
    <w:rsid w:val="00626E98"/>
    <w:rsid w:val="00626EBD"/>
    <w:rsid w:val="00626FB2"/>
    <w:rsid w:val="0062703B"/>
    <w:rsid w:val="006271B4"/>
    <w:rsid w:val="006271BE"/>
    <w:rsid w:val="00627282"/>
    <w:rsid w:val="006272EC"/>
    <w:rsid w:val="00627574"/>
    <w:rsid w:val="0062757C"/>
    <w:rsid w:val="00627606"/>
    <w:rsid w:val="00627628"/>
    <w:rsid w:val="00627767"/>
    <w:rsid w:val="00627936"/>
    <w:rsid w:val="00627AE7"/>
    <w:rsid w:val="00627BC4"/>
    <w:rsid w:val="00627C2A"/>
    <w:rsid w:val="00627CC3"/>
    <w:rsid w:val="00627D13"/>
    <w:rsid w:val="00627D84"/>
    <w:rsid w:val="00627D8B"/>
    <w:rsid w:val="00627DB7"/>
    <w:rsid w:val="00627DBF"/>
    <w:rsid w:val="00627E42"/>
    <w:rsid w:val="00627F58"/>
    <w:rsid w:val="00627F7A"/>
    <w:rsid w:val="00627F92"/>
    <w:rsid w:val="00627FAD"/>
    <w:rsid w:val="0063027B"/>
    <w:rsid w:val="0063037D"/>
    <w:rsid w:val="00630610"/>
    <w:rsid w:val="0063063D"/>
    <w:rsid w:val="00630700"/>
    <w:rsid w:val="00630715"/>
    <w:rsid w:val="00630862"/>
    <w:rsid w:val="00630864"/>
    <w:rsid w:val="00630983"/>
    <w:rsid w:val="006309AA"/>
    <w:rsid w:val="00630AE2"/>
    <w:rsid w:val="00630B99"/>
    <w:rsid w:val="00630BC9"/>
    <w:rsid w:val="00630ECD"/>
    <w:rsid w:val="00631172"/>
    <w:rsid w:val="00631223"/>
    <w:rsid w:val="00631259"/>
    <w:rsid w:val="0063146F"/>
    <w:rsid w:val="006314FB"/>
    <w:rsid w:val="00631514"/>
    <w:rsid w:val="00631572"/>
    <w:rsid w:val="00631702"/>
    <w:rsid w:val="0063170D"/>
    <w:rsid w:val="00631929"/>
    <w:rsid w:val="00631957"/>
    <w:rsid w:val="0063196B"/>
    <w:rsid w:val="00631CC3"/>
    <w:rsid w:val="00631D5E"/>
    <w:rsid w:val="00631DB6"/>
    <w:rsid w:val="00631E3F"/>
    <w:rsid w:val="00631EC5"/>
    <w:rsid w:val="00631F7B"/>
    <w:rsid w:val="00631FB7"/>
    <w:rsid w:val="0063212E"/>
    <w:rsid w:val="006322AD"/>
    <w:rsid w:val="00632416"/>
    <w:rsid w:val="00632424"/>
    <w:rsid w:val="00632597"/>
    <w:rsid w:val="006325CC"/>
    <w:rsid w:val="006327E8"/>
    <w:rsid w:val="00632812"/>
    <w:rsid w:val="00632919"/>
    <w:rsid w:val="00632DF1"/>
    <w:rsid w:val="00632E6D"/>
    <w:rsid w:val="00632EC5"/>
    <w:rsid w:val="00632F36"/>
    <w:rsid w:val="00633050"/>
    <w:rsid w:val="00633068"/>
    <w:rsid w:val="00633074"/>
    <w:rsid w:val="00633165"/>
    <w:rsid w:val="0063345A"/>
    <w:rsid w:val="006334F2"/>
    <w:rsid w:val="006334FE"/>
    <w:rsid w:val="006335CC"/>
    <w:rsid w:val="00633680"/>
    <w:rsid w:val="00633804"/>
    <w:rsid w:val="00633897"/>
    <w:rsid w:val="006339AE"/>
    <w:rsid w:val="00633B89"/>
    <w:rsid w:val="00633E43"/>
    <w:rsid w:val="00633E48"/>
    <w:rsid w:val="00633ECE"/>
    <w:rsid w:val="00633F25"/>
    <w:rsid w:val="00633F92"/>
    <w:rsid w:val="00633FDE"/>
    <w:rsid w:val="006340A1"/>
    <w:rsid w:val="006340EB"/>
    <w:rsid w:val="00634123"/>
    <w:rsid w:val="00634172"/>
    <w:rsid w:val="006341D5"/>
    <w:rsid w:val="006343FE"/>
    <w:rsid w:val="00634430"/>
    <w:rsid w:val="006344C8"/>
    <w:rsid w:val="006345AD"/>
    <w:rsid w:val="00634711"/>
    <w:rsid w:val="006347EA"/>
    <w:rsid w:val="006348A1"/>
    <w:rsid w:val="006348B6"/>
    <w:rsid w:val="0063494B"/>
    <w:rsid w:val="00634993"/>
    <w:rsid w:val="00634A02"/>
    <w:rsid w:val="00634B09"/>
    <w:rsid w:val="00634B2B"/>
    <w:rsid w:val="00634C2D"/>
    <w:rsid w:val="00634DF1"/>
    <w:rsid w:val="00634E5C"/>
    <w:rsid w:val="00634E76"/>
    <w:rsid w:val="00634F60"/>
    <w:rsid w:val="00635147"/>
    <w:rsid w:val="00635156"/>
    <w:rsid w:val="00635195"/>
    <w:rsid w:val="00635196"/>
    <w:rsid w:val="00635442"/>
    <w:rsid w:val="006354EA"/>
    <w:rsid w:val="00635517"/>
    <w:rsid w:val="00635620"/>
    <w:rsid w:val="006357C5"/>
    <w:rsid w:val="006357C7"/>
    <w:rsid w:val="00635808"/>
    <w:rsid w:val="0063584D"/>
    <w:rsid w:val="00635979"/>
    <w:rsid w:val="00635C8D"/>
    <w:rsid w:val="00635CEF"/>
    <w:rsid w:val="00635D18"/>
    <w:rsid w:val="00635D9A"/>
    <w:rsid w:val="00635DB0"/>
    <w:rsid w:val="00635DF1"/>
    <w:rsid w:val="00635EE9"/>
    <w:rsid w:val="00635F41"/>
    <w:rsid w:val="00636031"/>
    <w:rsid w:val="00636194"/>
    <w:rsid w:val="006361D9"/>
    <w:rsid w:val="00636237"/>
    <w:rsid w:val="00636247"/>
    <w:rsid w:val="00636250"/>
    <w:rsid w:val="00636318"/>
    <w:rsid w:val="006363C0"/>
    <w:rsid w:val="006364B3"/>
    <w:rsid w:val="006364B8"/>
    <w:rsid w:val="006365E5"/>
    <w:rsid w:val="006366F3"/>
    <w:rsid w:val="0063672A"/>
    <w:rsid w:val="00636760"/>
    <w:rsid w:val="00636809"/>
    <w:rsid w:val="00636893"/>
    <w:rsid w:val="006368B5"/>
    <w:rsid w:val="00636912"/>
    <w:rsid w:val="006369B1"/>
    <w:rsid w:val="00636A30"/>
    <w:rsid w:val="00636A39"/>
    <w:rsid w:val="00636A7C"/>
    <w:rsid w:val="00636AEF"/>
    <w:rsid w:val="00636B62"/>
    <w:rsid w:val="00636E62"/>
    <w:rsid w:val="00636F0D"/>
    <w:rsid w:val="00636F0E"/>
    <w:rsid w:val="00636F2F"/>
    <w:rsid w:val="0063712C"/>
    <w:rsid w:val="006371E5"/>
    <w:rsid w:val="00637210"/>
    <w:rsid w:val="00637326"/>
    <w:rsid w:val="0063732A"/>
    <w:rsid w:val="0063738D"/>
    <w:rsid w:val="006374C9"/>
    <w:rsid w:val="00637579"/>
    <w:rsid w:val="006375E1"/>
    <w:rsid w:val="00637743"/>
    <w:rsid w:val="0063786F"/>
    <w:rsid w:val="0063791A"/>
    <w:rsid w:val="0063794E"/>
    <w:rsid w:val="006379D8"/>
    <w:rsid w:val="00637A07"/>
    <w:rsid w:val="00637A6D"/>
    <w:rsid w:val="00637BB6"/>
    <w:rsid w:val="00637C93"/>
    <w:rsid w:val="00637CEF"/>
    <w:rsid w:val="00637EE9"/>
    <w:rsid w:val="00637EEF"/>
    <w:rsid w:val="00637F29"/>
    <w:rsid w:val="00637F37"/>
    <w:rsid w:val="00637F68"/>
    <w:rsid w:val="00637FC1"/>
    <w:rsid w:val="00640271"/>
    <w:rsid w:val="006402AE"/>
    <w:rsid w:val="006404B4"/>
    <w:rsid w:val="00640619"/>
    <w:rsid w:val="006408C1"/>
    <w:rsid w:val="00640A15"/>
    <w:rsid w:val="00640BAC"/>
    <w:rsid w:val="00640C3D"/>
    <w:rsid w:val="00640CD3"/>
    <w:rsid w:val="00640D33"/>
    <w:rsid w:val="00640D62"/>
    <w:rsid w:val="00640DB6"/>
    <w:rsid w:val="00640E8F"/>
    <w:rsid w:val="00640ED5"/>
    <w:rsid w:val="00640F12"/>
    <w:rsid w:val="00640F1E"/>
    <w:rsid w:val="00640F45"/>
    <w:rsid w:val="006410F1"/>
    <w:rsid w:val="0064110F"/>
    <w:rsid w:val="00641232"/>
    <w:rsid w:val="006412D2"/>
    <w:rsid w:val="00641328"/>
    <w:rsid w:val="006415D6"/>
    <w:rsid w:val="006415DC"/>
    <w:rsid w:val="00641660"/>
    <w:rsid w:val="0064177A"/>
    <w:rsid w:val="006419F7"/>
    <w:rsid w:val="00641A2D"/>
    <w:rsid w:val="00641A5B"/>
    <w:rsid w:val="00641AF5"/>
    <w:rsid w:val="00641B01"/>
    <w:rsid w:val="00641B14"/>
    <w:rsid w:val="00641B78"/>
    <w:rsid w:val="00641B8B"/>
    <w:rsid w:val="00641B8E"/>
    <w:rsid w:val="00641BD5"/>
    <w:rsid w:val="00641CE0"/>
    <w:rsid w:val="00641DC1"/>
    <w:rsid w:val="00641DFB"/>
    <w:rsid w:val="00641E47"/>
    <w:rsid w:val="0064201B"/>
    <w:rsid w:val="00642041"/>
    <w:rsid w:val="00642051"/>
    <w:rsid w:val="006421EB"/>
    <w:rsid w:val="00642226"/>
    <w:rsid w:val="00642250"/>
    <w:rsid w:val="006423FC"/>
    <w:rsid w:val="00642487"/>
    <w:rsid w:val="006424F4"/>
    <w:rsid w:val="00642579"/>
    <w:rsid w:val="006425A5"/>
    <w:rsid w:val="006425C2"/>
    <w:rsid w:val="00642630"/>
    <w:rsid w:val="00642660"/>
    <w:rsid w:val="006429A8"/>
    <w:rsid w:val="00642C8E"/>
    <w:rsid w:val="00642D15"/>
    <w:rsid w:val="00642E20"/>
    <w:rsid w:val="00642E5F"/>
    <w:rsid w:val="00642EE3"/>
    <w:rsid w:val="00642F1D"/>
    <w:rsid w:val="00642F2E"/>
    <w:rsid w:val="00643012"/>
    <w:rsid w:val="006430F7"/>
    <w:rsid w:val="0064316B"/>
    <w:rsid w:val="00643188"/>
    <w:rsid w:val="006431CE"/>
    <w:rsid w:val="0064325A"/>
    <w:rsid w:val="006432B0"/>
    <w:rsid w:val="006432E1"/>
    <w:rsid w:val="006432E5"/>
    <w:rsid w:val="00643384"/>
    <w:rsid w:val="00643386"/>
    <w:rsid w:val="00643442"/>
    <w:rsid w:val="00643545"/>
    <w:rsid w:val="00643620"/>
    <w:rsid w:val="0064363B"/>
    <w:rsid w:val="0064375F"/>
    <w:rsid w:val="006437A5"/>
    <w:rsid w:val="0064384F"/>
    <w:rsid w:val="006439AC"/>
    <w:rsid w:val="00643D01"/>
    <w:rsid w:val="00643DB6"/>
    <w:rsid w:val="00643E3E"/>
    <w:rsid w:val="00644170"/>
    <w:rsid w:val="0064426A"/>
    <w:rsid w:val="0064431D"/>
    <w:rsid w:val="0064441F"/>
    <w:rsid w:val="006444EC"/>
    <w:rsid w:val="00644635"/>
    <w:rsid w:val="00644878"/>
    <w:rsid w:val="006448D8"/>
    <w:rsid w:val="0064491C"/>
    <w:rsid w:val="00644920"/>
    <w:rsid w:val="0064493C"/>
    <w:rsid w:val="00644963"/>
    <w:rsid w:val="00644982"/>
    <w:rsid w:val="00644A26"/>
    <w:rsid w:val="00644AA4"/>
    <w:rsid w:val="00644AC0"/>
    <w:rsid w:val="00644AC3"/>
    <w:rsid w:val="00644B1F"/>
    <w:rsid w:val="00644BC5"/>
    <w:rsid w:val="00644BE9"/>
    <w:rsid w:val="00644C40"/>
    <w:rsid w:val="00644C85"/>
    <w:rsid w:val="00644CF7"/>
    <w:rsid w:val="00644D6C"/>
    <w:rsid w:val="00644DB4"/>
    <w:rsid w:val="00644E4C"/>
    <w:rsid w:val="00644F0C"/>
    <w:rsid w:val="00644FEF"/>
    <w:rsid w:val="0064500F"/>
    <w:rsid w:val="006450C2"/>
    <w:rsid w:val="00645112"/>
    <w:rsid w:val="00645331"/>
    <w:rsid w:val="00645361"/>
    <w:rsid w:val="00645475"/>
    <w:rsid w:val="0064549A"/>
    <w:rsid w:val="0064568D"/>
    <w:rsid w:val="00645756"/>
    <w:rsid w:val="006457BD"/>
    <w:rsid w:val="00645832"/>
    <w:rsid w:val="00645843"/>
    <w:rsid w:val="00645872"/>
    <w:rsid w:val="006458D0"/>
    <w:rsid w:val="00645AE4"/>
    <w:rsid w:val="00645B9C"/>
    <w:rsid w:val="00645BC9"/>
    <w:rsid w:val="00645BE1"/>
    <w:rsid w:val="00645C3B"/>
    <w:rsid w:val="00645D24"/>
    <w:rsid w:val="00645E1A"/>
    <w:rsid w:val="00645EDA"/>
    <w:rsid w:val="00645F54"/>
    <w:rsid w:val="00646005"/>
    <w:rsid w:val="00646058"/>
    <w:rsid w:val="0064618B"/>
    <w:rsid w:val="0064621C"/>
    <w:rsid w:val="00646264"/>
    <w:rsid w:val="006463B6"/>
    <w:rsid w:val="00646473"/>
    <w:rsid w:val="006465DB"/>
    <w:rsid w:val="00646604"/>
    <w:rsid w:val="0064661B"/>
    <w:rsid w:val="00646987"/>
    <w:rsid w:val="00646A63"/>
    <w:rsid w:val="00646AF4"/>
    <w:rsid w:val="00646B2E"/>
    <w:rsid w:val="00646C4B"/>
    <w:rsid w:val="00646C5A"/>
    <w:rsid w:val="00646C7C"/>
    <w:rsid w:val="00646EE4"/>
    <w:rsid w:val="006470A1"/>
    <w:rsid w:val="00647171"/>
    <w:rsid w:val="00647183"/>
    <w:rsid w:val="00647186"/>
    <w:rsid w:val="006471D5"/>
    <w:rsid w:val="006473B5"/>
    <w:rsid w:val="0064746B"/>
    <w:rsid w:val="006476B5"/>
    <w:rsid w:val="00647778"/>
    <w:rsid w:val="006477A2"/>
    <w:rsid w:val="006478D3"/>
    <w:rsid w:val="00647927"/>
    <w:rsid w:val="00647958"/>
    <w:rsid w:val="006479A0"/>
    <w:rsid w:val="006479C9"/>
    <w:rsid w:val="00647A9A"/>
    <w:rsid w:val="00647BDE"/>
    <w:rsid w:val="00647CF7"/>
    <w:rsid w:val="00647DEF"/>
    <w:rsid w:val="00647E7B"/>
    <w:rsid w:val="00647F56"/>
    <w:rsid w:val="00650107"/>
    <w:rsid w:val="0065016C"/>
    <w:rsid w:val="0065016F"/>
    <w:rsid w:val="00650371"/>
    <w:rsid w:val="00650601"/>
    <w:rsid w:val="0065067B"/>
    <w:rsid w:val="006506AC"/>
    <w:rsid w:val="006506FD"/>
    <w:rsid w:val="00650B26"/>
    <w:rsid w:val="00650B57"/>
    <w:rsid w:val="00650B65"/>
    <w:rsid w:val="00650BDE"/>
    <w:rsid w:val="00650CF9"/>
    <w:rsid w:val="00650D52"/>
    <w:rsid w:val="00650DCD"/>
    <w:rsid w:val="00650F62"/>
    <w:rsid w:val="00651163"/>
    <w:rsid w:val="006511DD"/>
    <w:rsid w:val="0065122E"/>
    <w:rsid w:val="006512DF"/>
    <w:rsid w:val="00651476"/>
    <w:rsid w:val="00651501"/>
    <w:rsid w:val="00651596"/>
    <w:rsid w:val="006515FC"/>
    <w:rsid w:val="006516AF"/>
    <w:rsid w:val="006516E1"/>
    <w:rsid w:val="0065183E"/>
    <w:rsid w:val="00651843"/>
    <w:rsid w:val="00651A0C"/>
    <w:rsid w:val="00651AA9"/>
    <w:rsid w:val="00651B29"/>
    <w:rsid w:val="00651C29"/>
    <w:rsid w:val="00651C48"/>
    <w:rsid w:val="00651CAB"/>
    <w:rsid w:val="00651E90"/>
    <w:rsid w:val="00651F64"/>
    <w:rsid w:val="00651F68"/>
    <w:rsid w:val="00651F7F"/>
    <w:rsid w:val="0065212A"/>
    <w:rsid w:val="00652193"/>
    <w:rsid w:val="006521D2"/>
    <w:rsid w:val="00652318"/>
    <w:rsid w:val="0065232E"/>
    <w:rsid w:val="00652400"/>
    <w:rsid w:val="00652401"/>
    <w:rsid w:val="006525F1"/>
    <w:rsid w:val="006525F3"/>
    <w:rsid w:val="0065266A"/>
    <w:rsid w:val="00652686"/>
    <w:rsid w:val="006527DC"/>
    <w:rsid w:val="006527EB"/>
    <w:rsid w:val="006527F6"/>
    <w:rsid w:val="00652CC4"/>
    <w:rsid w:val="00652CC7"/>
    <w:rsid w:val="00652CD3"/>
    <w:rsid w:val="00652D16"/>
    <w:rsid w:val="00652D96"/>
    <w:rsid w:val="00652E16"/>
    <w:rsid w:val="00652E1F"/>
    <w:rsid w:val="006531DB"/>
    <w:rsid w:val="006532D1"/>
    <w:rsid w:val="006533BF"/>
    <w:rsid w:val="00653476"/>
    <w:rsid w:val="006534AC"/>
    <w:rsid w:val="006534FA"/>
    <w:rsid w:val="006535A1"/>
    <w:rsid w:val="0065362A"/>
    <w:rsid w:val="00653683"/>
    <w:rsid w:val="00653756"/>
    <w:rsid w:val="00653832"/>
    <w:rsid w:val="00653839"/>
    <w:rsid w:val="006539B2"/>
    <w:rsid w:val="006539CC"/>
    <w:rsid w:val="00653A57"/>
    <w:rsid w:val="00653AD9"/>
    <w:rsid w:val="00653B07"/>
    <w:rsid w:val="00653BB1"/>
    <w:rsid w:val="00653C4E"/>
    <w:rsid w:val="00653C5A"/>
    <w:rsid w:val="00653D04"/>
    <w:rsid w:val="00653D72"/>
    <w:rsid w:val="00653E03"/>
    <w:rsid w:val="00653E28"/>
    <w:rsid w:val="00653E5B"/>
    <w:rsid w:val="00653F1A"/>
    <w:rsid w:val="00653FB1"/>
    <w:rsid w:val="0065430E"/>
    <w:rsid w:val="00654313"/>
    <w:rsid w:val="00654395"/>
    <w:rsid w:val="006544DE"/>
    <w:rsid w:val="00654513"/>
    <w:rsid w:val="0065452D"/>
    <w:rsid w:val="006545A8"/>
    <w:rsid w:val="00654620"/>
    <w:rsid w:val="0065464B"/>
    <w:rsid w:val="00654656"/>
    <w:rsid w:val="00654825"/>
    <w:rsid w:val="006549FE"/>
    <w:rsid w:val="00654A7D"/>
    <w:rsid w:val="00654B6B"/>
    <w:rsid w:val="00654C20"/>
    <w:rsid w:val="00654D86"/>
    <w:rsid w:val="00654EA3"/>
    <w:rsid w:val="00654F2F"/>
    <w:rsid w:val="00654F84"/>
    <w:rsid w:val="0065502C"/>
    <w:rsid w:val="00655112"/>
    <w:rsid w:val="00655191"/>
    <w:rsid w:val="0065531D"/>
    <w:rsid w:val="00655487"/>
    <w:rsid w:val="00655535"/>
    <w:rsid w:val="00655577"/>
    <w:rsid w:val="0065567A"/>
    <w:rsid w:val="006556AC"/>
    <w:rsid w:val="006556EA"/>
    <w:rsid w:val="00655848"/>
    <w:rsid w:val="006559D7"/>
    <w:rsid w:val="00655B36"/>
    <w:rsid w:val="00655BCE"/>
    <w:rsid w:val="00655C14"/>
    <w:rsid w:val="00655E1D"/>
    <w:rsid w:val="00655F44"/>
    <w:rsid w:val="00656080"/>
    <w:rsid w:val="006560DF"/>
    <w:rsid w:val="006561B0"/>
    <w:rsid w:val="00656216"/>
    <w:rsid w:val="00656238"/>
    <w:rsid w:val="00656375"/>
    <w:rsid w:val="00656449"/>
    <w:rsid w:val="00656469"/>
    <w:rsid w:val="0065656E"/>
    <w:rsid w:val="006566BC"/>
    <w:rsid w:val="0065676E"/>
    <w:rsid w:val="006567DB"/>
    <w:rsid w:val="00656800"/>
    <w:rsid w:val="00656870"/>
    <w:rsid w:val="006568C5"/>
    <w:rsid w:val="00656D3D"/>
    <w:rsid w:val="00656DED"/>
    <w:rsid w:val="00656DFC"/>
    <w:rsid w:val="00656EC3"/>
    <w:rsid w:val="00656F40"/>
    <w:rsid w:val="006570D4"/>
    <w:rsid w:val="0065711E"/>
    <w:rsid w:val="00657131"/>
    <w:rsid w:val="00657135"/>
    <w:rsid w:val="00657164"/>
    <w:rsid w:val="00657188"/>
    <w:rsid w:val="00657207"/>
    <w:rsid w:val="006572D8"/>
    <w:rsid w:val="00657331"/>
    <w:rsid w:val="006573E9"/>
    <w:rsid w:val="006573F7"/>
    <w:rsid w:val="00657476"/>
    <w:rsid w:val="0065768D"/>
    <w:rsid w:val="0065773B"/>
    <w:rsid w:val="006577A4"/>
    <w:rsid w:val="00657803"/>
    <w:rsid w:val="00657849"/>
    <w:rsid w:val="0065788D"/>
    <w:rsid w:val="0065790F"/>
    <w:rsid w:val="00657953"/>
    <w:rsid w:val="00657965"/>
    <w:rsid w:val="0065797B"/>
    <w:rsid w:val="00657989"/>
    <w:rsid w:val="00657A31"/>
    <w:rsid w:val="00657CFC"/>
    <w:rsid w:val="00657DD4"/>
    <w:rsid w:val="00657E4A"/>
    <w:rsid w:val="00657E7E"/>
    <w:rsid w:val="00657EE3"/>
    <w:rsid w:val="00657EE5"/>
    <w:rsid w:val="0066006B"/>
    <w:rsid w:val="0066012E"/>
    <w:rsid w:val="00660597"/>
    <w:rsid w:val="006605E9"/>
    <w:rsid w:val="00660700"/>
    <w:rsid w:val="00660746"/>
    <w:rsid w:val="006608C6"/>
    <w:rsid w:val="0066092B"/>
    <w:rsid w:val="006609AB"/>
    <w:rsid w:val="00660AAC"/>
    <w:rsid w:val="00660AED"/>
    <w:rsid w:val="00660BD9"/>
    <w:rsid w:val="00660C11"/>
    <w:rsid w:val="00660CDA"/>
    <w:rsid w:val="00660D6C"/>
    <w:rsid w:val="00661088"/>
    <w:rsid w:val="00661089"/>
    <w:rsid w:val="006612C6"/>
    <w:rsid w:val="006612EF"/>
    <w:rsid w:val="0066136F"/>
    <w:rsid w:val="0066145D"/>
    <w:rsid w:val="00661550"/>
    <w:rsid w:val="006615A7"/>
    <w:rsid w:val="006616D6"/>
    <w:rsid w:val="00661707"/>
    <w:rsid w:val="00661747"/>
    <w:rsid w:val="00661777"/>
    <w:rsid w:val="006617AC"/>
    <w:rsid w:val="006617CB"/>
    <w:rsid w:val="00661807"/>
    <w:rsid w:val="00661A97"/>
    <w:rsid w:val="00661B28"/>
    <w:rsid w:val="00661B36"/>
    <w:rsid w:val="00661B7F"/>
    <w:rsid w:val="00661BB9"/>
    <w:rsid w:val="00661BEF"/>
    <w:rsid w:val="00661CC7"/>
    <w:rsid w:val="00661EA1"/>
    <w:rsid w:val="00661F17"/>
    <w:rsid w:val="00662055"/>
    <w:rsid w:val="006620D6"/>
    <w:rsid w:val="0066215E"/>
    <w:rsid w:val="006621BA"/>
    <w:rsid w:val="006621F1"/>
    <w:rsid w:val="0066232E"/>
    <w:rsid w:val="0066234C"/>
    <w:rsid w:val="006623BD"/>
    <w:rsid w:val="00662427"/>
    <w:rsid w:val="0066247F"/>
    <w:rsid w:val="006626FF"/>
    <w:rsid w:val="00662738"/>
    <w:rsid w:val="00662788"/>
    <w:rsid w:val="006627F6"/>
    <w:rsid w:val="0066282C"/>
    <w:rsid w:val="00662964"/>
    <w:rsid w:val="0066297F"/>
    <w:rsid w:val="00662E30"/>
    <w:rsid w:val="00662E37"/>
    <w:rsid w:val="00662EE7"/>
    <w:rsid w:val="00662EF8"/>
    <w:rsid w:val="00663042"/>
    <w:rsid w:val="00663086"/>
    <w:rsid w:val="006630EC"/>
    <w:rsid w:val="006631B5"/>
    <w:rsid w:val="00663365"/>
    <w:rsid w:val="0066337D"/>
    <w:rsid w:val="00663423"/>
    <w:rsid w:val="00663461"/>
    <w:rsid w:val="0066348A"/>
    <w:rsid w:val="006634EB"/>
    <w:rsid w:val="006635D7"/>
    <w:rsid w:val="0066365C"/>
    <w:rsid w:val="00663705"/>
    <w:rsid w:val="00663717"/>
    <w:rsid w:val="006637D6"/>
    <w:rsid w:val="00663941"/>
    <w:rsid w:val="00663967"/>
    <w:rsid w:val="00663971"/>
    <w:rsid w:val="006639D5"/>
    <w:rsid w:val="006639F2"/>
    <w:rsid w:val="00663A0B"/>
    <w:rsid w:val="00663A6D"/>
    <w:rsid w:val="00663C51"/>
    <w:rsid w:val="00663C94"/>
    <w:rsid w:val="00663D3F"/>
    <w:rsid w:val="00663E5D"/>
    <w:rsid w:val="00663E83"/>
    <w:rsid w:val="00663F83"/>
    <w:rsid w:val="00663FC2"/>
    <w:rsid w:val="00663FCD"/>
    <w:rsid w:val="0066419A"/>
    <w:rsid w:val="006641B0"/>
    <w:rsid w:val="006641D7"/>
    <w:rsid w:val="00664331"/>
    <w:rsid w:val="006644CA"/>
    <w:rsid w:val="006646A4"/>
    <w:rsid w:val="006646F9"/>
    <w:rsid w:val="006646FB"/>
    <w:rsid w:val="006648E9"/>
    <w:rsid w:val="00664901"/>
    <w:rsid w:val="00664903"/>
    <w:rsid w:val="00664949"/>
    <w:rsid w:val="00664976"/>
    <w:rsid w:val="00664989"/>
    <w:rsid w:val="006649D1"/>
    <w:rsid w:val="00664A81"/>
    <w:rsid w:val="00664C86"/>
    <w:rsid w:val="00664D6A"/>
    <w:rsid w:val="00664D78"/>
    <w:rsid w:val="00664F5B"/>
    <w:rsid w:val="00664F82"/>
    <w:rsid w:val="00665054"/>
    <w:rsid w:val="00665220"/>
    <w:rsid w:val="00665266"/>
    <w:rsid w:val="006652BA"/>
    <w:rsid w:val="0066532F"/>
    <w:rsid w:val="0066561E"/>
    <w:rsid w:val="0066566A"/>
    <w:rsid w:val="006657E7"/>
    <w:rsid w:val="00665D29"/>
    <w:rsid w:val="00665E57"/>
    <w:rsid w:val="00665F37"/>
    <w:rsid w:val="00665F63"/>
    <w:rsid w:val="00665F9F"/>
    <w:rsid w:val="0066606D"/>
    <w:rsid w:val="0066611F"/>
    <w:rsid w:val="00666190"/>
    <w:rsid w:val="00666196"/>
    <w:rsid w:val="00666205"/>
    <w:rsid w:val="00666236"/>
    <w:rsid w:val="006662E8"/>
    <w:rsid w:val="00666319"/>
    <w:rsid w:val="00666329"/>
    <w:rsid w:val="006663A8"/>
    <w:rsid w:val="0066646B"/>
    <w:rsid w:val="006664BE"/>
    <w:rsid w:val="006665E5"/>
    <w:rsid w:val="00666635"/>
    <w:rsid w:val="006666E1"/>
    <w:rsid w:val="0066685B"/>
    <w:rsid w:val="0066693A"/>
    <w:rsid w:val="00666A67"/>
    <w:rsid w:val="00666AF4"/>
    <w:rsid w:val="00666B44"/>
    <w:rsid w:val="00666C08"/>
    <w:rsid w:val="00666C75"/>
    <w:rsid w:val="00666E14"/>
    <w:rsid w:val="00666E58"/>
    <w:rsid w:val="00666E72"/>
    <w:rsid w:val="00666EDC"/>
    <w:rsid w:val="0066706B"/>
    <w:rsid w:val="006670F8"/>
    <w:rsid w:val="00667104"/>
    <w:rsid w:val="0066711B"/>
    <w:rsid w:val="0066711E"/>
    <w:rsid w:val="006671FF"/>
    <w:rsid w:val="00667216"/>
    <w:rsid w:val="00667335"/>
    <w:rsid w:val="00667336"/>
    <w:rsid w:val="006674A5"/>
    <w:rsid w:val="00667581"/>
    <w:rsid w:val="006676DE"/>
    <w:rsid w:val="0066796E"/>
    <w:rsid w:val="00667A6C"/>
    <w:rsid w:val="00667AE2"/>
    <w:rsid w:val="00667BA6"/>
    <w:rsid w:val="00667C37"/>
    <w:rsid w:val="00667CED"/>
    <w:rsid w:val="00667CFE"/>
    <w:rsid w:val="00667E30"/>
    <w:rsid w:val="00667FCE"/>
    <w:rsid w:val="00670083"/>
    <w:rsid w:val="00670088"/>
    <w:rsid w:val="00670228"/>
    <w:rsid w:val="006702E7"/>
    <w:rsid w:val="00670352"/>
    <w:rsid w:val="00670407"/>
    <w:rsid w:val="00670481"/>
    <w:rsid w:val="0067051B"/>
    <w:rsid w:val="00670569"/>
    <w:rsid w:val="0067056E"/>
    <w:rsid w:val="0067057B"/>
    <w:rsid w:val="00670657"/>
    <w:rsid w:val="006706DF"/>
    <w:rsid w:val="00670722"/>
    <w:rsid w:val="00670805"/>
    <w:rsid w:val="006708E3"/>
    <w:rsid w:val="00670A73"/>
    <w:rsid w:val="00670AE2"/>
    <w:rsid w:val="00670B40"/>
    <w:rsid w:val="00670BBD"/>
    <w:rsid w:val="00670BE8"/>
    <w:rsid w:val="00670D01"/>
    <w:rsid w:val="00670D3C"/>
    <w:rsid w:val="00670DDF"/>
    <w:rsid w:val="00670E31"/>
    <w:rsid w:val="00670E7D"/>
    <w:rsid w:val="00670F00"/>
    <w:rsid w:val="00670FC2"/>
    <w:rsid w:val="0067100E"/>
    <w:rsid w:val="00671047"/>
    <w:rsid w:val="00671134"/>
    <w:rsid w:val="006711FB"/>
    <w:rsid w:val="006712A4"/>
    <w:rsid w:val="0067135C"/>
    <w:rsid w:val="00671435"/>
    <w:rsid w:val="006715AE"/>
    <w:rsid w:val="006715CF"/>
    <w:rsid w:val="006716BA"/>
    <w:rsid w:val="0067175C"/>
    <w:rsid w:val="00671770"/>
    <w:rsid w:val="006718EF"/>
    <w:rsid w:val="00671910"/>
    <w:rsid w:val="00671DD5"/>
    <w:rsid w:val="00671E49"/>
    <w:rsid w:val="0067201F"/>
    <w:rsid w:val="006720A1"/>
    <w:rsid w:val="0067213A"/>
    <w:rsid w:val="0067216E"/>
    <w:rsid w:val="00672242"/>
    <w:rsid w:val="006722DA"/>
    <w:rsid w:val="0067270F"/>
    <w:rsid w:val="0067271C"/>
    <w:rsid w:val="006727B7"/>
    <w:rsid w:val="006727E7"/>
    <w:rsid w:val="0067285C"/>
    <w:rsid w:val="0067285E"/>
    <w:rsid w:val="00672981"/>
    <w:rsid w:val="00672A55"/>
    <w:rsid w:val="00672AA8"/>
    <w:rsid w:val="00672B4A"/>
    <w:rsid w:val="00672CFF"/>
    <w:rsid w:val="00672E5D"/>
    <w:rsid w:val="00672E6E"/>
    <w:rsid w:val="00672F94"/>
    <w:rsid w:val="00672FEB"/>
    <w:rsid w:val="0067309B"/>
    <w:rsid w:val="00673205"/>
    <w:rsid w:val="006732F1"/>
    <w:rsid w:val="0067330E"/>
    <w:rsid w:val="00673540"/>
    <w:rsid w:val="006735B8"/>
    <w:rsid w:val="006736AF"/>
    <w:rsid w:val="00673753"/>
    <w:rsid w:val="0067379E"/>
    <w:rsid w:val="0067398C"/>
    <w:rsid w:val="006739D0"/>
    <w:rsid w:val="006739F6"/>
    <w:rsid w:val="00673A92"/>
    <w:rsid w:val="00673F5D"/>
    <w:rsid w:val="00673F7B"/>
    <w:rsid w:val="00673FC2"/>
    <w:rsid w:val="00674028"/>
    <w:rsid w:val="0067407B"/>
    <w:rsid w:val="00674208"/>
    <w:rsid w:val="00674273"/>
    <w:rsid w:val="00674342"/>
    <w:rsid w:val="006744C1"/>
    <w:rsid w:val="00674599"/>
    <w:rsid w:val="006746EF"/>
    <w:rsid w:val="00674702"/>
    <w:rsid w:val="00674724"/>
    <w:rsid w:val="00674883"/>
    <w:rsid w:val="00674955"/>
    <w:rsid w:val="0067495F"/>
    <w:rsid w:val="00674A9F"/>
    <w:rsid w:val="00674B52"/>
    <w:rsid w:val="00674D61"/>
    <w:rsid w:val="00674E4F"/>
    <w:rsid w:val="00674F98"/>
    <w:rsid w:val="00675006"/>
    <w:rsid w:val="00675066"/>
    <w:rsid w:val="0067508D"/>
    <w:rsid w:val="006750DE"/>
    <w:rsid w:val="006751BA"/>
    <w:rsid w:val="006751C1"/>
    <w:rsid w:val="00675486"/>
    <w:rsid w:val="00675511"/>
    <w:rsid w:val="006755A5"/>
    <w:rsid w:val="006755D1"/>
    <w:rsid w:val="006755E1"/>
    <w:rsid w:val="0067568C"/>
    <w:rsid w:val="006757B6"/>
    <w:rsid w:val="006757CB"/>
    <w:rsid w:val="00675AAC"/>
    <w:rsid w:val="00675D1E"/>
    <w:rsid w:val="00675E5B"/>
    <w:rsid w:val="00676000"/>
    <w:rsid w:val="00676020"/>
    <w:rsid w:val="0067602A"/>
    <w:rsid w:val="00676052"/>
    <w:rsid w:val="006762C6"/>
    <w:rsid w:val="00676319"/>
    <w:rsid w:val="006764ED"/>
    <w:rsid w:val="0067656C"/>
    <w:rsid w:val="0067660E"/>
    <w:rsid w:val="0067666C"/>
    <w:rsid w:val="00676703"/>
    <w:rsid w:val="00676738"/>
    <w:rsid w:val="0067692E"/>
    <w:rsid w:val="00676995"/>
    <w:rsid w:val="006769BB"/>
    <w:rsid w:val="006769FA"/>
    <w:rsid w:val="00676B0E"/>
    <w:rsid w:val="00676B4A"/>
    <w:rsid w:val="00676B68"/>
    <w:rsid w:val="00676B6E"/>
    <w:rsid w:val="00676C5D"/>
    <w:rsid w:val="00676C72"/>
    <w:rsid w:val="00676DE9"/>
    <w:rsid w:val="00676E55"/>
    <w:rsid w:val="00676FB1"/>
    <w:rsid w:val="00677101"/>
    <w:rsid w:val="00677108"/>
    <w:rsid w:val="0067757D"/>
    <w:rsid w:val="0067773B"/>
    <w:rsid w:val="006777E2"/>
    <w:rsid w:val="006779ED"/>
    <w:rsid w:val="00677AAD"/>
    <w:rsid w:val="00677AB3"/>
    <w:rsid w:val="00677ABE"/>
    <w:rsid w:val="00677B4B"/>
    <w:rsid w:val="00677B7A"/>
    <w:rsid w:val="00677CDC"/>
    <w:rsid w:val="00677D19"/>
    <w:rsid w:val="00677DA8"/>
    <w:rsid w:val="00677E59"/>
    <w:rsid w:val="00677FBC"/>
    <w:rsid w:val="0068008E"/>
    <w:rsid w:val="006800B6"/>
    <w:rsid w:val="006802E5"/>
    <w:rsid w:val="006804C5"/>
    <w:rsid w:val="00680569"/>
    <w:rsid w:val="006805D4"/>
    <w:rsid w:val="00680620"/>
    <w:rsid w:val="00680759"/>
    <w:rsid w:val="006808B0"/>
    <w:rsid w:val="006808B9"/>
    <w:rsid w:val="00680993"/>
    <w:rsid w:val="00680A3D"/>
    <w:rsid w:val="00680B38"/>
    <w:rsid w:val="00680C43"/>
    <w:rsid w:val="00680DBB"/>
    <w:rsid w:val="00680E60"/>
    <w:rsid w:val="00680FB7"/>
    <w:rsid w:val="00681032"/>
    <w:rsid w:val="00681122"/>
    <w:rsid w:val="00681132"/>
    <w:rsid w:val="006811CB"/>
    <w:rsid w:val="006811E5"/>
    <w:rsid w:val="00681258"/>
    <w:rsid w:val="00681355"/>
    <w:rsid w:val="00681412"/>
    <w:rsid w:val="00681437"/>
    <w:rsid w:val="006816B4"/>
    <w:rsid w:val="00681771"/>
    <w:rsid w:val="006817B0"/>
    <w:rsid w:val="006817B4"/>
    <w:rsid w:val="00681898"/>
    <w:rsid w:val="0068192A"/>
    <w:rsid w:val="0068195B"/>
    <w:rsid w:val="00681BB7"/>
    <w:rsid w:val="00681BD2"/>
    <w:rsid w:val="00681C95"/>
    <w:rsid w:val="00681D1E"/>
    <w:rsid w:val="00681DF8"/>
    <w:rsid w:val="00681DFF"/>
    <w:rsid w:val="00681E9E"/>
    <w:rsid w:val="0068203C"/>
    <w:rsid w:val="00682074"/>
    <w:rsid w:val="006820A2"/>
    <w:rsid w:val="00682189"/>
    <w:rsid w:val="006821E2"/>
    <w:rsid w:val="00682254"/>
    <w:rsid w:val="00682326"/>
    <w:rsid w:val="00682372"/>
    <w:rsid w:val="00682455"/>
    <w:rsid w:val="006824FE"/>
    <w:rsid w:val="00682755"/>
    <w:rsid w:val="00682853"/>
    <w:rsid w:val="0068287D"/>
    <w:rsid w:val="00682882"/>
    <w:rsid w:val="006828DD"/>
    <w:rsid w:val="00682902"/>
    <w:rsid w:val="00682ACC"/>
    <w:rsid w:val="00682B63"/>
    <w:rsid w:val="00682B97"/>
    <w:rsid w:val="00682C98"/>
    <w:rsid w:val="00682CFA"/>
    <w:rsid w:val="00682E35"/>
    <w:rsid w:val="00682E53"/>
    <w:rsid w:val="00683046"/>
    <w:rsid w:val="006830B9"/>
    <w:rsid w:val="00683126"/>
    <w:rsid w:val="00683292"/>
    <w:rsid w:val="00683429"/>
    <w:rsid w:val="0068343D"/>
    <w:rsid w:val="00683479"/>
    <w:rsid w:val="00683699"/>
    <w:rsid w:val="0068384F"/>
    <w:rsid w:val="00683872"/>
    <w:rsid w:val="00683885"/>
    <w:rsid w:val="0068395F"/>
    <w:rsid w:val="006839AD"/>
    <w:rsid w:val="00683A83"/>
    <w:rsid w:val="00683C83"/>
    <w:rsid w:val="00683E00"/>
    <w:rsid w:val="00683FAB"/>
    <w:rsid w:val="006840A4"/>
    <w:rsid w:val="00684112"/>
    <w:rsid w:val="00684118"/>
    <w:rsid w:val="006841A8"/>
    <w:rsid w:val="006841EF"/>
    <w:rsid w:val="006842EA"/>
    <w:rsid w:val="00684355"/>
    <w:rsid w:val="00684387"/>
    <w:rsid w:val="00684409"/>
    <w:rsid w:val="006844F7"/>
    <w:rsid w:val="006845E7"/>
    <w:rsid w:val="00684696"/>
    <w:rsid w:val="00684776"/>
    <w:rsid w:val="00684781"/>
    <w:rsid w:val="006847F2"/>
    <w:rsid w:val="0068496E"/>
    <w:rsid w:val="00684B15"/>
    <w:rsid w:val="00684C01"/>
    <w:rsid w:val="00684C34"/>
    <w:rsid w:val="00684C7C"/>
    <w:rsid w:val="00684EA2"/>
    <w:rsid w:val="0068512B"/>
    <w:rsid w:val="0068519F"/>
    <w:rsid w:val="006852D4"/>
    <w:rsid w:val="0068531A"/>
    <w:rsid w:val="00685362"/>
    <w:rsid w:val="006856D2"/>
    <w:rsid w:val="00685751"/>
    <w:rsid w:val="006858B3"/>
    <w:rsid w:val="00685987"/>
    <w:rsid w:val="00685AA9"/>
    <w:rsid w:val="00685AAD"/>
    <w:rsid w:val="00685B36"/>
    <w:rsid w:val="00685B37"/>
    <w:rsid w:val="00685B39"/>
    <w:rsid w:val="00685C05"/>
    <w:rsid w:val="00685C6A"/>
    <w:rsid w:val="00685C75"/>
    <w:rsid w:val="00685C80"/>
    <w:rsid w:val="00685CE6"/>
    <w:rsid w:val="00685DD7"/>
    <w:rsid w:val="00685F3F"/>
    <w:rsid w:val="00685FA5"/>
    <w:rsid w:val="00685FB5"/>
    <w:rsid w:val="0068601E"/>
    <w:rsid w:val="00686343"/>
    <w:rsid w:val="00686345"/>
    <w:rsid w:val="00686460"/>
    <w:rsid w:val="006865D7"/>
    <w:rsid w:val="00686664"/>
    <w:rsid w:val="0068666E"/>
    <w:rsid w:val="0068671E"/>
    <w:rsid w:val="006867A1"/>
    <w:rsid w:val="006867A6"/>
    <w:rsid w:val="00686878"/>
    <w:rsid w:val="006868B0"/>
    <w:rsid w:val="006869DD"/>
    <w:rsid w:val="00686ACA"/>
    <w:rsid w:val="00686D76"/>
    <w:rsid w:val="00686E3C"/>
    <w:rsid w:val="00686F3D"/>
    <w:rsid w:val="00686FC6"/>
    <w:rsid w:val="006870A9"/>
    <w:rsid w:val="006871A1"/>
    <w:rsid w:val="006872CB"/>
    <w:rsid w:val="00687375"/>
    <w:rsid w:val="0068742D"/>
    <w:rsid w:val="00687474"/>
    <w:rsid w:val="00687496"/>
    <w:rsid w:val="00687510"/>
    <w:rsid w:val="00687526"/>
    <w:rsid w:val="00687566"/>
    <w:rsid w:val="00687581"/>
    <w:rsid w:val="006875A5"/>
    <w:rsid w:val="00687620"/>
    <w:rsid w:val="00687774"/>
    <w:rsid w:val="00687830"/>
    <w:rsid w:val="00687975"/>
    <w:rsid w:val="00687A52"/>
    <w:rsid w:val="00687F07"/>
    <w:rsid w:val="00687F36"/>
    <w:rsid w:val="00690062"/>
    <w:rsid w:val="0069015F"/>
    <w:rsid w:val="00690333"/>
    <w:rsid w:val="00690385"/>
    <w:rsid w:val="0069038F"/>
    <w:rsid w:val="00690461"/>
    <w:rsid w:val="006905EA"/>
    <w:rsid w:val="00690677"/>
    <w:rsid w:val="00690804"/>
    <w:rsid w:val="00690827"/>
    <w:rsid w:val="00690888"/>
    <w:rsid w:val="00690A9C"/>
    <w:rsid w:val="00690AE3"/>
    <w:rsid w:val="00690AF5"/>
    <w:rsid w:val="00690AFB"/>
    <w:rsid w:val="00690B63"/>
    <w:rsid w:val="00690BC3"/>
    <w:rsid w:val="00690BEB"/>
    <w:rsid w:val="00690C6F"/>
    <w:rsid w:val="00690CCD"/>
    <w:rsid w:val="00690D54"/>
    <w:rsid w:val="00690EE9"/>
    <w:rsid w:val="00690EFB"/>
    <w:rsid w:val="00690F26"/>
    <w:rsid w:val="0069106A"/>
    <w:rsid w:val="00691113"/>
    <w:rsid w:val="0069124B"/>
    <w:rsid w:val="0069127D"/>
    <w:rsid w:val="00691354"/>
    <w:rsid w:val="0069137D"/>
    <w:rsid w:val="006913CD"/>
    <w:rsid w:val="006913F1"/>
    <w:rsid w:val="00691439"/>
    <w:rsid w:val="00691471"/>
    <w:rsid w:val="00691498"/>
    <w:rsid w:val="0069155A"/>
    <w:rsid w:val="0069160A"/>
    <w:rsid w:val="00691628"/>
    <w:rsid w:val="006916E5"/>
    <w:rsid w:val="00691879"/>
    <w:rsid w:val="00691AC1"/>
    <w:rsid w:val="00691B02"/>
    <w:rsid w:val="00691BF7"/>
    <w:rsid w:val="00691D4C"/>
    <w:rsid w:val="00691DEE"/>
    <w:rsid w:val="00691F01"/>
    <w:rsid w:val="00691FDD"/>
    <w:rsid w:val="006920F3"/>
    <w:rsid w:val="00692108"/>
    <w:rsid w:val="00692148"/>
    <w:rsid w:val="006923E9"/>
    <w:rsid w:val="00692452"/>
    <w:rsid w:val="00692534"/>
    <w:rsid w:val="00692592"/>
    <w:rsid w:val="006927E3"/>
    <w:rsid w:val="006927F7"/>
    <w:rsid w:val="00692896"/>
    <w:rsid w:val="006928B8"/>
    <w:rsid w:val="0069295E"/>
    <w:rsid w:val="00692C85"/>
    <w:rsid w:val="0069304C"/>
    <w:rsid w:val="006930D4"/>
    <w:rsid w:val="006930EC"/>
    <w:rsid w:val="00693306"/>
    <w:rsid w:val="0069342A"/>
    <w:rsid w:val="006934E7"/>
    <w:rsid w:val="006935B9"/>
    <w:rsid w:val="00693A7E"/>
    <w:rsid w:val="00693AAA"/>
    <w:rsid w:val="00693C23"/>
    <w:rsid w:val="00693CC5"/>
    <w:rsid w:val="00693D64"/>
    <w:rsid w:val="00694015"/>
    <w:rsid w:val="006940C7"/>
    <w:rsid w:val="006941FA"/>
    <w:rsid w:val="006943F1"/>
    <w:rsid w:val="006943F2"/>
    <w:rsid w:val="0069440D"/>
    <w:rsid w:val="00694420"/>
    <w:rsid w:val="006944CF"/>
    <w:rsid w:val="006945FB"/>
    <w:rsid w:val="00694786"/>
    <w:rsid w:val="00694A50"/>
    <w:rsid w:val="00694AD2"/>
    <w:rsid w:val="00694B04"/>
    <w:rsid w:val="00694BEE"/>
    <w:rsid w:val="00694C2C"/>
    <w:rsid w:val="00694CE3"/>
    <w:rsid w:val="00694D83"/>
    <w:rsid w:val="00694DCC"/>
    <w:rsid w:val="00694E11"/>
    <w:rsid w:val="00694EBA"/>
    <w:rsid w:val="00694EC0"/>
    <w:rsid w:val="00695196"/>
    <w:rsid w:val="00695343"/>
    <w:rsid w:val="0069537E"/>
    <w:rsid w:val="006953B2"/>
    <w:rsid w:val="006953E7"/>
    <w:rsid w:val="006954E9"/>
    <w:rsid w:val="006954EA"/>
    <w:rsid w:val="00695510"/>
    <w:rsid w:val="0069553C"/>
    <w:rsid w:val="0069557F"/>
    <w:rsid w:val="006956B4"/>
    <w:rsid w:val="0069570D"/>
    <w:rsid w:val="00695775"/>
    <w:rsid w:val="00695936"/>
    <w:rsid w:val="006959D6"/>
    <w:rsid w:val="00695A2E"/>
    <w:rsid w:val="00695A85"/>
    <w:rsid w:val="00695BA4"/>
    <w:rsid w:val="00695C02"/>
    <w:rsid w:val="00695C82"/>
    <w:rsid w:val="00695CA3"/>
    <w:rsid w:val="00695CC9"/>
    <w:rsid w:val="00695D0F"/>
    <w:rsid w:val="00695E82"/>
    <w:rsid w:val="00695EDE"/>
    <w:rsid w:val="00695F2F"/>
    <w:rsid w:val="00695F61"/>
    <w:rsid w:val="006960B8"/>
    <w:rsid w:val="006965FC"/>
    <w:rsid w:val="00696676"/>
    <w:rsid w:val="00696681"/>
    <w:rsid w:val="00696684"/>
    <w:rsid w:val="006967AE"/>
    <w:rsid w:val="006967F0"/>
    <w:rsid w:val="00696822"/>
    <w:rsid w:val="00696A11"/>
    <w:rsid w:val="00696C7A"/>
    <w:rsid w:val="00696CA4"/>
    <w:rsid w:val="00696E28"/>
    <w:rsid w:val="00696E53"/>
    <w:rsid w:val="00696E63"/>
    <w:rsid w:val="00696E74"/>
    <w:rsid w:val="00696ED7"/>
    <w:rsid w:val="00696F31"/>
    <w:rsid w:val="0069719F"/>
    <w:rsid w:val="0069738E"/>
    <w:rsid w:val="0069741C"/>
    <w:rsid w:val="006974AD"/>
    <w:rsid w:val="006974D5"/>
    <w:rsid w:val="006976B6"/>
    <w:rsid w:val="0069783D"/>
    <w:rsid w:val="00697996"/>
    <w:rsid w:val="00697BC3"/>
    <w:rsid w:val="00697CF6"/>
    <w:rsid w:val="00697DD3"/>
    <w:rsid w:val="00697EA5"/>
    <w:rsid w:val="0069AD12"/>
    <w:rsid w:val="006A0149"/>
    <w:rsid w:val="006A0285"/>
    <w:rsid w:val="006A02EA"/>
    <w:rsid w:val="006A02FF"/>
    <w:rsid w:val="006A0388"/>
    <w:rsid w:val="006A038A"/>
    <w:rsid w:val="006A04C2"/>
    <w:rsid w:val="006A053A"/>
    <w:rsid w:val="006A0726"/>
    <w:rsid w:val="006A075C"/>
    <w:rsid w:val="006A076D"/>
    <w:rsid w:val="006A07F8"/>
    <w:rsid w:val="006A085B"/>
    <w:rsid w:val="006A0865"/>
    <w:rsid w:val="006A0877"/>
    <w:rsid w:val="006A08BC"/>
    <w:rsid w:val="006A0A18"/>
    <w:rsid w:val="006A0A8D"/>
    <w:rsid w:val="006A0B91"/>
    <w:rsid w:val="006A0BED"/>
    <w:rsid w:val="006A0C6F"/>
    <w:rsid w:val="006A0D07"/>
    <w:rsid w:val="006A0DF5"/>
    <w:rsid w:val="006A0E98"/>
    <w:rsid w:val="006A0EB7"/>
    <w:rsid w:val="006A0F6E"/>
    <w:rsid w:val="006A1078"/>
    <w:rsid w:val="006A11AE"/>
    <w:rsid w:val="006A14F2"/>
    <w:rsid w:val="006A15AF"/>
    <w:rsid w:val="006A15C7"/>
    <w:rsid w:val="006A164B"/>
    <w:rsid w:val="006A1672"/>
    <w:rsid w:val="006A16D0"/>
    <w:rsid w:val="006A16FF"/>
    <w:rsid w:val="006A17B1"/>
    <w:rsid w:val="006A1825"/>
    <w:rsid w:val="006A1888"/>
    <w:rsid w:val="006A1A6D"/>
    <w:rsid w:val="006A1AA9"/>
    <w:rsid w:val="006A1BF8"/>
    <w:rsid w:val="006A1BFC"/>
    <w:rsid w:val="006A1CBB"/>
    <w:rsid w:val="006A1CFD"/>
    <w:rsid w:val="006A1D7F"/>
    <w:rsid w:val="006A1D94"/>
    <w:rsid w:val="006A1DC2"/>
    <w:rsid w:val="006A1DC9"/>
    <w:rsid w:val="006A1EA1"/>
    <w:rsid w:val="006A200C"/>
    <w:rsid w:val="006A2075"/>
    <w:rsid w:val="006A211D"/>
    <w:rsid w:val="006A22A8"/>
    <w:rsid w:val="006A2363"/>
    <w:rsid w:val="006A23AE"/>
    <w:rsid w:val="006A23B8"/>
    <w:rsid w:val="006A2440"/>
    <w:rsid w:val="006A2547"/>
    <w:rsid w:val="006A2632"/>
    <w:rsid w:val="006A2636"/>
    <w:rsid w:val="006A27C1"/>
    <w:rsid w:val="006A285F"/>
    <w:rsid w:val="006A290E"/>
    <w:rsid w:val="006A295C"/>
    <w:rsid w:val="006A2A3A"/>
    <w:rsid w:val="006A2AB4"/>
    <w:rsid w:val="006A2AD9"/>
    <w:rsid w:val="006A2B1E"/>
    <w:rsid w:val="006A2B56"/>
    <w:rsid w:val="006A2D64"/>
    <w:rsid w:val="006A3025"/>
    <w:rsid w:val="006A3146"/>
    <w:rsid w:val="006A3316"/>
    <w:rsid w:val="006A3395"/>
    <w:rsid w:val="006A3454"/>
    <w:rsid w:val="006A34E1"/>
    <w:rsid w:val="006A34E2"/>
    <w:rsid w:val="006A36B5"/>
    <w:rsid w:val="006A36F7"/>
    <w:rsid w:val="006A37B9"/>
    <w:rsid w:val="006A37BC"/>
    <w:rsid w:val="006A39C4"/>
    <w:rsid w:val="006A39E4"/>
    <w:rsid w:val="006A3AB6"/>
    <w:rsid w:val="006A3B3B"/>
    <w:rsid w:val="006A3B97"/>
    <w:rsid w:val="006A3BAD"/>
    <w:rsid w:val="006A3C7A"/>
    <w:rsid w:val="006A3D88"/>
    <w:rsid w:val="006A3E16"/>
    <w:rsid w:val="006A3E50"/>
    <w:rsid w:val="006A40E5"/>
    <w:rsid w:val="006A41ED"/>
    <w:rsid w:val="006A4215"/>
    <w:rsid w:val="006A4271"/>
    <w:rsid w:val="006A4291"/>
    <w:rsid w:val="006A42E5"/>
    <w:rsid w:val="006A42F8"/>
    <w:rsid w:val="006A44F0"/>
    <w:rsid w:val="006A44FF"/>
    <w:rsid w:val="006A450B"/>
    <w:rsid w:val="006A4704"/>
    <w:rsid w:val="006A4709"/>
    <w:rsid w:val="006A4759"/>
    <w:rsid w:val="006A48BE"/>
    <w:rsid w:val="006A48E6"/>
    <w:rsid w:val="006A48E7"/>
    <w:rsid w:val="006A4915"/>
    <w:rsid w:val="006A4A33"/>
    <w:rsid w:val="006A4A38"/>
    <w:rsid w:val="006A4A92"/>
    <w:rsid w:val="006A4B01"/>
    <w:rsid w:val="006A4BE9"/>
    <w:rsid w:val="006A4E56"/>
    <w:rsid w:val="006A4F32"/>
    <w:rsid w:val="006A50A3"/>
    <w:rsid w:val="006A5323"/>
    <w:rsid w:val="006A5351"/>
    <w:rsid w:val="006A5502"/>
    <w:rsid w:val="006A5586"/>
    <w:rsid w:val="006A55C2"/>
    <w:rsid w:val="006A567A"/>
    <w:rsid w:val="006A56B4"/>
    <w:rsid w:val="006A56D8"/>
    <w:rsid w:val="006A5751"/>
    <w:rsid w:val="006A581E"/>
    <w:rsid w:val="006A59AA"/>
    <w:rsid w:val="006A5B0B"/>
    <w:rsid w:val="006A5BCC"/>
    <w:rsid w:val="006A5C74"/>
    <w:rsid w:val="006A5C7B"/>
    <w:rsid w:val="006A5D3F"/>
    <w:rsid w:val="006A5FED"/>
    <w:rsid w:val="006A6040"/>
    <w:rsid w:val="006A6065"/>
    <w:rsid w:val="006A608B"/>
    <w:rsid w:val="006A614E"/>
    <w:rsid w:val="006A6382"/>
    <w:rsid w:val="006A6444"/>
    <w:rsid w:val="006A645F"/>
    <w:rsid w:val="006A6518"/>
    <w:rsid w:val="006A661C"/>
    <w:rsid w:val="006A6676"/>
    <w:rsid w:val="006A6855"/>
    <w:rsid w:val="006A6A1A"/>
    <w:rsid w:val="006A6A79"/>
    <w:rsid w:val="006A6AB2"/>
    <w:rsid w:val="006A6B1C"/>
    <w:rsid w:val="006A6CDE"/>
    <w:rsid w:val="006A6D1F"/>
    <w:rsid w:val="006A6D6D"/>
    <w:rsid w:val="006A6E77"/>
    <w:rsid w:val="006A6E7C"/>
    <w:rsid w:val="006A6E98"/>
    <w:rsid w:val="006A6F2A"/>
    <w:rsid w:val="006A7005"/>
    <w:rsid w:val="006A70FA"/>
    <w:rsid w:val="006A71EE"/>
    <w:rsid w:val="006A726A"/>
    <w:rsid w:val="006A72DA"/>
    <w:rsid w:val="006A7300"/>
    <w:rsid w:val="006A73BA"/>
    <w:rsid w:val="006A73BE"/>
    <w:rsid w:val="006A7413"/>
    <w:rsid w:val="006A7575"/>
    <w:rsid w:val="006A768C"/>
    <w:rsid w:val="006A76E3"/>
    <w:rsid w:val="006A7795"/>
    <w:rsid w:val="006A780B"/>
    <w:rsid w:val="006A787A"/>
    <w:rsid w:val="006A7937"/>
    <w:rsid w:val="006A7980"/>
    <w:rsid w:val="006A7A83"/>
    <w:rsid w:val="006A7ADB"/>
    <w:rsid w:val="006A7AFA"/>
    <w:rsid w:val="006A7B00"/>
    <w:rsid w:val="006A7B7A"/>
    <w:rsid w:val="006A7BF6"/>
    <w:rsid w:val="006A7CB9"/>
    <w:rsid w:val="006A7CDC"/>
    <w:rsid w:val="006A7D1E"/>
    <w:rsid w:val="006A7F35"/>
    <w:rsid w:val="006B0157"/>
    <w:rsid w:val="006B0226"/>
    <w:rsid w:val="006B03F6"/>
    <w:rsid w:val="006B042F"/>
    <w:rsid w:val="006B0595"/>
    <w:rsid w:val="006B05CB"/>
    <w:rsid w:val="006B060D"/>
    <w:rsid w:val="006B069E"/>
    <w:rsid w:val="006B06C5"/>
    <w:rsid w:val="006B07DB"/>
    <w:rsid w:val="006B0B85"/>
    <w:rsid w:val="006B0C21"/>
    <w:rsid w:val="006B0C75"/>
    <w:rsid w:val="006B0CA4"/>
    <w:rsid w:val="006B0DA4"/>
    <w:rsid w:val="006B0DF1"/>
    <w:rsid w:val="006B0EAA"/>
    <w:rsid w:val="006B0F96"/>
    <w:rsid w:val="006B1046"/>
    <w:rsid w:val="006B1175"/>
    <w:rsid w:val="006B13EE"/>
    <w:rsid w:val="006B1456"/>
    <w:rsid w:val="006B145C"/>
    <w:rsid w:val="006B1514"/>
    <w:rsid w:val="006B155A"/>
    <w:rsid w:val="006B166A"/>
    <w:rsid w:val="006B17C7"/>
    <w:rsid w:val="006B17FE"/>
    <w:rsid w:val="006B185D"/>
    <w:rsid w:val="006B18B7"/>
    <w:rsid w:val="006B19EA"/>
    <w:rsid w:val="006B1BDA"/>
    <w:rsid w:val="006B1C14"/>
    <w:rsid w:val="006B1C55"/>
    <w:rsid w:val="006B1C75"/>
    <w:rsid w:val="006B1C8F"/>
    <w:rsid w:val="006B1D6C"/>
    <w:rsid w:val="006B20A4"/>
    <w:rsid w:val="006B218A"/>
    <w:rsid w:val="006B2335"/>
    <w:rsid w:val="006B24A2"/>
    <w:rsid w:val="006B2608"/>
    <w:rsid w:val="006B26DA"/>
    <w:rsid w:val="006B273C"/>
    <w:rsid w:val="006B274A"/>
    <w:rsid w:val="006B2767"/>
    <w:rsid w:val="006B2785"/>
    <w:rsid w:val="006B2818"/>
    <w:rsid w:val="006B2854"/>
    <w:rsid w:val="006B28B3"/>
    <w:rsid w:val="006B28E8"/>
    <w:rsid w:val="006B2952"/>
    <w:rsid w:val="006B29EA"/>
    <w:rsid w:val="006B2B2D"/>
    <w:rsid w:val="006B2B38"/>
    <w:rsid w:val="006B2F2A"/>
    <w:rsid w:val="006B3036"/>
    <w:rsid w:val="006B3123"/>
    <w:rsid w:val="006B3160"/>
    <w:rsid w:val="006B3348"/>
    <w:rsid w:val="006B3638"/>
    <w:rsid w:val="006B391C"/>
    <w:rsid w:val="006B392A"/>
    <w:rsid w:val="006B392D"/>
    <w:rsid w:val="006B3944"/>
    <w:rsid w:val="006B3A53"/>
    <w:rsid w:val="006B3B06"/>
    <w:rsid w:val="006B3C53"/>
    <w:rsid w:val="006B3D8E"/>
    <w:rsid w:val="006B3F12"/>
    <w:rsid w:val="006B4037"/>
    <w:rsid w:val="006B408A"/>
    <w:rsid w:val="006B41CD"/>
    <w:rsid w:val="006B41EA"/>
    <w:rsid w:val="006B4381"/>
    <w:rsid w:val="006B43AC"/>
    <w:rsid w:val="006B4483"/>
    <w:rsid w:val="006B4554"/>
    <w:rsid w:val="006B46BC"/>
    <w:rsid w:val="006B481C"/>
    <w:rsid w:val="006B49E8"/>
    <w:rsid w:val="006B4A92"/>
    <w:rsid w:val="006B4AA0"/>
    <w:rsid w:val="006B4D46"/>
    <w:rsid w:val="006B4D78"/>
    <w:rsid w:val="006B4D7F"/>
    <w:rsid w:val="006B4E4F"/>
    <w:rsid w:val="006B4E5C"/>
    <w:rsid w:val="006B4E69"/>
    <w:rsid w:val="006B4E89"/>
    <w:rsid w:val="006B4F85"/>
    <w:rsid w:val="006B4F97"/>
    <w:rsid w:val="006B502C"/>
    <w:rsid w:val="006B5235"/>
    <w:rsid w:val="006B534B"/>
    <w:rsid w:val="006B5358"/>
    <w:rsid w:val="006B547E"/>
    <w:rsid w:val="006B5500"/>
    <w:rsid w:val="006B550D"/>
    <w:rsid w:val="006B552E"/>
    <w:rsid w:val="006B5573"/>
    <w:rsid w:val="006B570A"/>
    <w:rsid w:val="006B570C"/>
    <w:rsid w:val="006B581F"/>
    <w:rsid w:val="006B5894"/>
    <w:rsid w:val="006B58E2"/>
    <w:rsid w:val="006B5908"/>
    <w:rsid w:val="006B5995"/>
    <w:rsid w:val="006B5A2F"/>
    <w:rsid w:val="006B5B0C"/>
    <w:rsid w:val="006B5B92"/>
    <w:rsid w:val="006B5D29"/>
    <w:rsid w:val="006B5D45"/>
    <w:rsid w:val="006B5DF2"/>
    <w:rsid w:val="006B5E38"/>
    <w:rsid w:val="006B5E6E"/>
    <w:rsid w:val="006B5F86"/>
    <w:rsid w:val="006B603E"/>
    <w:rsid w:val="006B6075"/>
    <w:rsid w:val="006B63A9"/>
    <w:rsid w:val="006B6478"/>
    <w:rsid w:val="006B660F"/>
    <w:rsid w:val="006B6610"/>
    <w:rsid w:val="006B6694"/>
    <w:rsid w:val="006B67E6"/>
    <w:rsid w:val="006B6863"/>
    <w:rsid w:val="006B6A8F"/>
    <w:rsid w:val="006B6A93"/>
    <w:rsid w:val="006B6ACC"/>
    <w:rsid w:val="006B6B41"/>
    <w:rsid w:val="006B6B9D"/>
    <w:rsid w:val="006B6BC1"/>
    <w:rsid w:val="006B6BEE"/>
    <w:rsid w:val="006B6C1A"/>
    <w:rsid w:val="006B6C31"/>
    <w:rsid w:val="006B6F11"/>
    <w:rsid w:val="006B6F37"/>
    <w:rsid w:val="006B6FB1"/>
    <w:rsid w:val="006B6FE8"/>
    <w:rsid w:val="006B71D3"/>
    <w:rsid w:val="006B7215"/>
    <w:rsid w:val="006B721B"/>
    <w:rsid w:val="006B730D"/>
    <w:rsid w:val="006B74C4"/>
    <w:rsid w:val="006B7AC1"/>
    <w:rsid w:val="006B7B11"/>
    <w:rsid w:val="006B7B72"/>
    <w:rsid w:val="006B7DEC"/>
    <w:rsid w:val="006B7E22"/>
    <w:rsid w:val="006B7ECF"/>
    <w:rsid w:val="006C010E"/>
    <w:rsid w:val="006C01F6"/>
    <w:rsid w:val="006C029A"/>
    <w:rsid w:val="006C038A"/>
    <w:rsid w:val="006C040B"/>
    <w:rsid w:val="006C05D8"/>
    <w:rsid w:val="006C06BB"/>
    <w:rsid w:val="006C0770"/>
    <w:rsid w:val="006C08D5"/>
    <w:rsid w:val="006C09C5"/>
    <w:rsid w:val="006C09F2"/>
    <w:rsid w:val="006C0B37"/>
    <w:rsid w:val="006C0BA0"/>
    <w:rsid w:val="006C0C23"/>
    <w:rsid w:val="006C0CB4"/>
    <w:rsid w:val="006C0CEB"/>
    <w:rsid w:val="006C0D06"/>
    <w:rsid w:val="006C0DEA"/>
    <w:rsid w:val="006C0DEB"/>
    <w:rsid w:val="006C0F16"/>
    <w:rsid w:val="006C0F5D"/>
    <w:rsid w:val="006C1117"/>
    <w:rsid w:val="006C11C4"/>
    <w:rsid w:val="006C11E2"/>
    <w:rsid w:val="006C124C"/>
    <w:rsid w:val="006C124D"/>
    <w:rsid w:val="006C12AC"/>
    <w:rsid w:val="006C13B0"/>
    <w:rsid w:val="006C13B7"/>
    <w:rsid w:val="006C150C"/>
    <w:rsid w:val="006C1537"/>
    <w:rsid w:val="006C1544"/>
    <w:rsid w:val="006C158C"/>
    <w:rsid w:val="006C1697"/>
    <w:rsid w:val="006C1755"/>
    <w:rsid w:val="006C1760"/>
    <w:rsid w:val="006C1769"/>
    <w:rsid w:val="006C1953"/>
    <w:rsid w:val="006C19C2"/>
    <w:rsid w:val="006C1A25"/>
    <w:rsid w:val="006C1A72"/>
    <w:rsid w:val="006C1C13"/>
    <w:rsid w:val="006C1C59"/>
    <w:rsid w:val="006C1DFB"/>
    <w:rsid w:val="006C1EAF"/>
    <w:rsid w:val="006C20DD"/>
    <w:rsid w:val="006C20E0"/>
    <w:rsid w:val="006C20E9"/>
    <w:rsid w:val="006C21D0"/>
    <w:rsid w:val="006C2253"/>
    <w:rsid w:val="006C228D"/>
    <w:rsid w:val="006C22B3"/>
    <w:rsid w:val="006C22BD"/>
    <w:rsid w:val="006C2461"/>
    <w:rsid w:val="006C24F6"/>
    <w:rsid w:val="006C258E"/>
    <w:rsid w:val="006C259C"/>
    <w:rsid w:val="006C25C2"/>
    <w:rsid w:val="006C25D2"/>
    <w:rsid w:val="006C2762"/>
    <w:rsid w:val="006C27BD"/>
    <w:rsid w:val="006C27C4"/>
    <w:rsid w:val="006C287E"/>
    <w:rsid w:val="006C28BB"/>
    <w:rsid w:val="006C28CF"/>
    <w:rsid w:val="006C28F3"/>
    <w:rsid w:val="006C296B"/>
    <w:rsid w:val="006C2A28"/>
    <w:rsid w:val="006C2ADC"/>
    <w:rsid w:val="006C2BD4"/>
    <w:rsid w:val="006C2BF4"/>
    <w:rsid w:val="006C2EA8"/>
    <w:rsid w:val="006C2F53"/>
    <w:rsid w:val="006C30B3"/>
    <w:rsid w:val="006C30F5"/>
    <w:rsid w:val="006C322A"/>
    <w:rsid w:val="006C32D3"/>
    <w:rsid w:val="006C3364"/>
    <w:rsid w:val="006C340B"/>
    <w:rsid w:val="006C34C7"/>
    <w:rsid w:val="006C3519"/>
    <w:rsid w:val="006C3572"/>
    <w:rsid w:val="006C3575"/>
    <w:rsid w:val="006C3639"/>
    <w:rsid w:val="006C3734"/>
    <w:rsid w:val="006C391E"/>
    <w:rsid w:val="006C3993"/>
    <w:rsid w:val="006C39C6"/>
    <w:rsid w:val="006C3A01"/>
    <w:rsid w:val="006C3A62"/>
    <w:rsid w:val="006C3C3A"/>
    <w:rsid w:val="006C3CE2"/>
    <w:rsid w:val="006C3D9B"/>
    <w:rsid w:val="006C3E57"/>
    <w:rsid w:val="006C3F00"/>
    <w:rsid w:val="006C3FC8"/>
    <w:rsid w:val="006C41B4"/>
    <w:rsid w:val="006C41DC"/>
    <w:rsid w:val="006C4302"/>
    <w:rsid w:val="006C43B5"/>
    <w:rsid w:val="006C4433"/>
    <w:rsid w:val="006C468D"/>
    <w:rsid w:val="006C47C1"/>
    <w:rsid w:val="006C4854"/>
    <w:rsid w:val="006C4904"/>
    <w:rsid w:val="006C4964"/>
    <w:rsid w:val="006C498A"/>
    <w:rsid w:val="006C499A"/>
    <w:rsid w:val="006C499C"/>
    <w:rsid w:val="006C4A24"/>
    <w:rsid w:val="006C4A31"/>
    <w:rsid w:val="006C4BE4"/>
    <w:rsid w:val="006C4C15"/>
    <w:rsid w:val="006C4C3C"/>
    <w:rsid w:val="006C4C6E"/>
    <w:rsid w:val="006C4C77"/>
    <w:rsid w:val="006C4D26"/>
    <w:rsid w:val="006C4D8E"/>
    <w:rsid w:val="006C4FA9"/>
    <w:rsid w:val="006C4FDA"/>
    <w:rsid w:val="006C50DA"/>
    <w:rsid w:val="006C51DA"/>
    <w:rsid w:val="006C5346"/>
    <w:rsid w:val="006C5495"/>
    <w:rsid w:val="006C554F"/>
    <w:rsid w:val="006C565E"/>
    <w:rsid w:val="006C56B5"/>
    <w:rsid w:val="006C571E"/>
    <w:rsid w:val="006C574F"/>
    <w:rsid w:val="006C5773"/>
    <w:rsid w:val="006C5775"/>
    <w:rsid w:val="006C578F"/>
    <w:rsid w:val="006C58E7"/>
    <w:rsid w:val="006C59DF"/>
    <w:rsid w:val="006C5A0C"/>
    <w:rsid w:val="006C5AA4"/>
    <w:rsid w:val="006C5D2F"/>
    <w:rsid w:val="006C5D6F"/>
    <w:rsid w:val="006C5DCA"/>
    <w:rsid w:val="006C5E57"/>
    <w:rsid w:val="006C5EC4"/>
    <w:rsid w:val="006C5F3B"/>
    <w:rsid w:val="006C60B1"/>
    <w:rsid w:val="006C60E4"/>
    <w:rsid w:val="006C618F"/>
    <w:rsid w:val="006C62C3"/>
    <w:rsid w:val="006C6374"/>
    <w:rsid w:val="006C639F"/>
    <w:rsid w:val="006C64AB"/>
    <w:rsid w:val="006C6574"/>
    <w:rsid w:val="006C65E0"/>
    <w:rsid w:val="006C6664"/>
    <w:rsid w:val="006C668D"/>
    <w:rsid w:val="006C678C"/>
    <w:rsid w:val="006C6800"/>
    <w:rsid w:val="006C68FF"/>
    <w:rsid w:val="006C6997"/>
    <w:rsid w:val="006C6A44"/>
    <w:rsid w:val="006C6AE2"/>
    <w:rsid w:val="006C6B30"/>
    <w:rsid w:val="006C6D9B"/>
    <w:rsid w:val="006C6E39"/>
    <w:rsid w:val="006C6EAB"/>
    <w:rsid w:val="006C6FB8"/>
    <w:rsid w:val="006C6FD1"/>
    <w:rsid w:val="006C7099"/>
    <w:rsid w:val="006C7176"/>
    <w:rsid w:val="006C71BB"/>
    <w:rsid w:val="006C7288"/>
    <w:rsid w:val="006C7382"/>
    <w:rsid w:val="006C7400"/>
    <w:rsid w:val="006C7492"/>
    <w:rsid w:val="006C75BA"/>
    <w:rsid w:val="006C76FE"/>
    <w:rsid w:val="006C7754"/>
    <w:rsid w:val="006C777F"/>
    <w:rsid w:val="006C779D"/>
    <w:rsid w:val="006C7805"/>
    <w:rsid w:val="006C7929"/>
    <w:rsid w:val="006C7ACA"/>
    <w:rsid w:val="006C7BDD"/>
    <w:rsid w:val="006C7BF3"/>
    <w:rsid w:val="006C7D6A"/>
    <w:rsid w:val="006C7D89"/>
    <w:rsid w:val="006C7D9D"/>
    <w:rsid w:val="006C7E1C"/>
    <w:rsid w:val="006D000C"/>
    <w:rsid w:val="006D00D0"/>
    <w:rsid w:val="006D0108"/>
    <w:rsid w:val="006D0249"/>
    <w:rsid w:val="006D0413"/>
    <w:rsid w:val="006D048D"/>
    <w:rsid w:val="006D04D4"/>
    <w:rsid w:val="006D054F"/>
    <w:rsid w:val="006D0578"/>
    <w:rsid w:val="006D05B1"/>
    <w:rsid w:val="006D05EA"/>
    <w:rsid w:val="006D06FC"/>
    <w:rsid w:val="006D0996"/>
    <w:rsid w:val="006D0A2C"/>
    <w:rsid w:val="006D0A5E"/>
    <w:rsid w:val="006D0AF6"/>
    <w:rsid w:val="006D0B26"/>
    <w:rsid w:val="006D0B2F"/>
    <w:rsid w:val="006D0B5E"/>
    <w:rsid w:val="006D0B76"/>
    <w:rsid w:val="006D0BB7"/>
    <w:rsid w:val="006D0BDF"/>
    <w:rsid w:val="006D0BE0"/>
    <w:rsid w:val="006D0C12"/>
    <w:rsid w:val="006D0C6D"/>
    <w:rsid w:val="006D0CD6"/>
    <w:rsid w:val="006D0DC8"/>
    <w:rsid w:val="006D0E72"/>
    <w:rsid w:val="006D0EAB"/>
    <w:rsid w:val="006D1063"/>
    <w:rsid w:val="006D1091"/>
    <w:rsid w:val="006D1300"/>
    <w:rsid w:val="006D1316"/>
    <w:rsid w:val="006D14AF"/>
    <w:rsid w:val="006D15D2"/>
    <w:rsid w:val="006D17DE"/>
    <w:rsid w:val="006D1A9F"/>
    <w:rsid w:val="006D1E5B"/>
    <w:rsid w:val="006D1F00"/>
    <w:rsid w:val="006D1F1C"/>
    <w:rsid w:val="006D20EB"/>
    <w:rsid w:val="006D217F"/>
    <w:rsid w:val="006D221B"/>
    <w:rsid w:val="006D2235"/>
    <w:rsid w:val="006D2281"/>
    <w:rsid w:val="006D23D4"/>
    <w:rsid w:val="006D240C"/>
    <w:rsid w:val="006D265C"/>
    <w:rsid w:val="006D265D"/>
    <w:rsid w:val="006D2680"/>
    <w:rsid w:val="006D2743"/>
    <w:rsid w:val="006D292D"/>
    <w:rsid w:val="006D2964"/>
    <w:rsid w:val="006D2C36"/>
    <w:rsid w:val="006D2EAA"/>
    <w:rsid w:val="006D2F67"/>
    <w:rsid w:val="006D2F71"/>
    <w:rsid w:val="006D3020"/>
    <w:rsid w:val="006D31BA"/>
    <w:rsid w:val="006D328F"/>
    <w:rsid w:val="006D32A0"/>
    <w:rsid w:val="006D33B2"/>
    <w:rsid w:val="006D3662"/>
    <w:rsid w:val="006D3727"/>
    <w:rsid w:val="006D3760"/>
    <w:rsid w:val="006D379A"/>
    <w:rsid w:val="006D37A0"/>
    <w:rsid w:val="006D380D"/>
    <w:rsid w:val="006D3983"/>
    <w:rsid w:val="006D3A05"/>
    <w:rsid w:val="006D3A92"/>
    <w:rsid w:val="006D3B1D"/>
    <w:rsid w:val="006D3C33"/>
    <w:rsid w:val="006D3C81"/>
    <w:rsid w:val="006D3DBE"/>
    <w:rsid w:val="006D3EBD"/>
    <w:rsid w:val="006D3F61"/>
    <w:rsid w:val="006D404A"/>
    <w:rsid w:val="006D4173"/>
    <w:rsid w:val="006D41F3"/>
    <w:rsid w:val="006D4403"/>
    <w:rsid w:val="006D446D"/>
    <w:rsid w:val="006D44B9"/>
    <w:rsid w:val="006D459C"/>
    <w:rsid w:val="006D45DC"/>
    <w:rsid w:val="006D4605"/>
    <w:rsid w:val="006D4704"/>
    <w:rsid w:val="006D4743"/>
    <w:rsid w:val="006D47A3"/>
    <w:rsid w:val="006D4844"/>
    <w:rsid w:val="006D48A0"/>
    <w:rsid w:val="006D4977"/>
    <w:rsid w:val="006D49AA"/>
    <w:rsid w:val="006D4AF3"/>
    <w:rsid w:val="006D4B8B"/>
    <w:rsid w:val="006D4CD9"/>
    <w:rsid w:val="006D4D7F"/>
    <w:rsid w:val="006D4E2F"/>
    <w:rsid w:val="006D4E4F"/>
    <w:rsid w:val="006D4F89"/>
    <w:rsid w:val="006D4FE9"/>
    <w:rsid w:val="006D502E"/>
    <w:rsid w:val="006D5084"/>
    <w:rsid w:val="006D5284"/>
    <w:rsid w:val="006D5292"/>
    <w:rsid w:val="006D5300"/>
    <w:rsid w:val="006D5306"/>
    <w:rsid w:val="006D5423"/>
    <w:rsid w:val="006D542A"/>
    <w:rsid w:val="006D55DF"/>
    <w:rsid w:val="006D562A"/>
    <w:rsid w:val="006D562E"/>
    <w:rsid w:val="006D56F5"/>
    <w:rsid w:val="006D5709"/>
    <w:rsid w:val="006D570E"/>
    <w:rsid w:val="006D5753"/>
    <w:rsid w:val="006D5A03"/>
    <w:rsid w:val="006D5B64"/>
    <w:rsid w:val="006D5BEF"/>
    <w:rsid w:val="006D5BF5"/>
    <w:rsid w:val="006D5BF9"/>
    <w:rsid w:val="006D5C00"/>
    <w:rsid w:val="006D5D18"/>
    <w:rsid w:val="006D5D2C"/>
    <w:rsid w:val="006D5D4A"/>
    <w:rsid w:val="006D5D5F"/>
    <w:rsid w:val="006D5D65"/>
    <w:rsid w:val="006D5E64"/>
    <w:rsid w:val="006D5FD7"/>
    <w:rsid w:val="006D60BD"/>
    <w:rsid w:val="006D6107"/>
    <w:rsid w:val="006D613D"/>
    <w:rsid w:val="006D6243"/>
    <w:rsid w:val="006D63C8"/>
    <w:rsid w:val="006D63DD"/>
    <w:rsid w:val="006D63F3"/>
    <w:rsid w:val="006D64AA"/>
    <w:rsid w:val="006D6532"/>
    <w:rsid w:val="006D6568"/>
    <w:rsid w:val="006D65B2"/>
    <w:rsid w:val="006D66B3"/>
    <w:rsid w:val="006D66DE"/>
    <w:rsid w:val="006D6825"/>
    <w:rsid w:val="006D691D"/>
    <w:rsid w:val="006D698B"/>
    <w:rsid w:val="006D69AA"/>
    <w:rsid w:val="006D6A10"/>
    <w:rsid w:val="006D6AC1"/>
    <w:rsid w:val="006D6D20"/>
    <w:rsid w:val="006D6E16"/>
    <w:rsid w:val="006D6F02"/>
    <w:rsid w:val="006D6F46"/>
    <w:rsid w:val="006D7038"/>
    <w:rsid w:val="006D706E"/>
    <w:rsid w:val="006D70F6"/>
    <w:rsid w:val="006D7185"/>
    <w:rsid w:val="006D7254"/>
    <w:rsid w:val="006D726E"/>
    <w:rsid w:val="006D72B5"/>
    <w:rsid w:val="006D734C"/>
    <w:rsid w:val="006D738D"/>
    <w:rsid w:val="006D73B6"/>
    <w:rsid w:val="006D7486"/>
    <w:rsid w:val="006D7608"/>
    <w:rsid w:val="006D7676"/>
    <w:rsid w:val="006D7737"/>
    <w:rsid w:val="006D77AD"/>
    <w:rsid w:val="006D77F9"/>
    <w:rsid w:val="006D77FC"/>
    <w:rsid w:val="006D781D"/>
    <w:rsid w:val="006D78A5"/>
    <w:rsid w:val="006D78E1"/>
    <w:rsid w:val="006D792A"/>
    <w:rsid w:val="006D7A0C"/>
    <w:rsid w:val="006D7A99"/>
    <w:rsid w:val="006D7B3E"/>
    <w:rsid w:val="006D7D2D"/>
    <w:rsid w:val="006D7DB8"/>
    <w:rsid w:val="006D7DD6"/>
    <w:rsid w:val="006D7E41"/>
    <w:rsid w:val="006D7E7A"/>
    <w:rsid w:val="006D7F6C"/>
    <w:rsid w:val="006D7FA7"/>
    <w:rsid w:val="006D7FE4"/>
    <w:rsid w:val="006E0188"/>
    <w:rsid w:val="006E02A7"/>
    <w:rsid w:val="006E02AD"/>
    <w:rsid w:val="006E03C4"/>
    <w:rsid w:val="006E042B"/>
    <w:rsid w:val="006E0462"/>
    <w:rsid w:val="006E04C2"/>
    <w:rsid w:val="006E0702"/>
    <w:rsid w:val="006E0858"/>
    <w:rsid w:val="006E08A9"/>
    <w:rsid w:val="006E08AE"/>
    <w:rsid w:val="006E0974"/>
    <w:rsid w:val="006E0A17"/>
    <w:rsid w:val="006E0A37"/>
    <w:rsid w:val="006E0B02"/>
    <w:rsid w:val="006E0C67"/>
    <w:rsid w:val="006E0FF9"/>
    <w:rsid w:val="006E102B"/>
    <w:rsid w:val="006E10C5"/>
    <w:rsid w:val="006E10CB"/>
    <w:rsid w:val="006E1151"/>
    <w:rsid w:val="006E1234"/>
    <w:rsid w:val="006E1275"/>
    <w:rsid w:val="006E12F0"/>
    <w:rsid w:val="006E1302"/>
    <w:rsid w:val="006E14BD"/>
    <w:rsid w:val="006E14F8"/>
    <w:rsid w:val="006E15BB"/>
    <w:rsid w:val="006E15F9"/>
    <w:rsid w:val="006E1664"/>
    <w:rsid w:val="006E16F3"/>
    <w:rsid w:val="006E172A"/>
    <w:rsid w:val="006E1762"/>
    <w:rsid w:val="006E1807"/>
    <w:rsid w:val="006E18AC"/>
    <w:rsid w:val="006E1985"/>
    <w:rsid w:val="006E19D8"/>
    <w:rsid w:val="006E1B20"/>
    <w:rsid w:val="006E1B54"/>
    <w:rsid w:val="006E1D34"/>
    <w:rsid w:val="006E1E62"/>
    <w:rsid w:val="006E1E9D"/>
    <w:rsid w:val="006E1F19"/>
    <w:rsid w:val="006E1F3B"/>
    <w:rsid w:val="006E1F98"/>
    <w:rsid w:val="006E218C"/>
    <w:rsid w:val="006E2212"/>
    <w:rsid w:val="006E2279"/>
    <w:rsid w:val="006E22FD"/>
    <w:rsid w:val="006E2438"/>
    <w:rsid w:val="006E24E1"/>
    <w:rsid w:val="006E258C"/>
    <w:rsid w:val="006E25EE"/>
    <w:rsid w:val="006E2677"/>
    <w:rsid w:val="006E26DE"/>
    <w:rsid w:val="006E291A"/>
    <w:rsid w:val="006E2A17"/>
    <w:rsid w:val="006E2BC1"/>
    <w:rsid w:val="006E2C59"/>
    <w:rsid w:val="006E2D41"/>
    <w:rsid w:val="006E2D52"/>
    <w:rsid w:val="006E2D7B"/>
    <w:rsid w:val="006E2D7E"/>
    <w:rsid w:val="006E2E02"/>
    <w:rsid w:val="006E2E42"/>
    <w:rsid w:val="006E2F3C"/>
    <w:rsid w:val="006E3127"/>
    <w:rsid w:val="006E3295"/>
    <w:rsid w:val="006E329F"/>
    <w:rsid w:val="006E32A1"/>
    <w:rsid w:val="006E32EE"/>
    <w:rsid w:val="006E3399"/>
    <w:rsid w:val="006E33F0"/>
    <w:rsid w:val="006E3449"/>
    <w:rsid w:val="006E344A"/>
    <w:rsid w:val="006E3457"/>
    <w:rsid w:val="006E34F2"/>
    <w:rsid w:val="006E3579"/>
    <w:rsid w:val="006E36A3"/>
    <w:rsid w:val="006E3764"/>
    <w:rsid w:val="006E376A"/>
    <w:rsid w:val="006E391F"/>
    <w:rsid w:val="006E39AA"/>
    <w:rsid w:val="006E3A16"/>
    <w:rsid w:val="006E3A26"/>
    <w:rsid w:val="006E3A64"/>
    <w:rsid w:val="006E3C44"/>
    <w:rsid w:val="006E3DA4"/>
    <w:rsid w:val="006E3E17"/>
    <w:rsid w:val="006E3E3B"/>
    <w:rsid w:val="006E3F2E"/>
    <w:rsid w:val="006E40D9"/>
    <w:rsid w:val="006E40F5"/>
    <w:rsid w:val="006E4172"/>
    <w:rsid w:val="006E4287"/>
    <w:rsid w:val="006E431F"/>
    <w:rsid w:val="006E44F5"/>
    <w:rsid w:val="006E4571"/>
    <w:rsid w:val="006E45FE"/>
    <w:rsid w:val="006E4678"/>
    <w:rsid w:val="006E4685"/>
    <w:rsid w:val="006E4837"/>
    <w:rsid w:val="006E49CF"/>
    <w:rsid w:val="006E4A0E"/>
    <w:rsid w:val="006E4B3B"/>
    <w:rsid w:val="006E4BBA"/>
    <w:rsid w:val="006E4BC5"/>
    <w:rsid w:val="006E4C4E"/>
    <w:rsid w:val="006E4D42"/>
    <w:rsid w:val="006E4D95"/>
    <w:rsid w:val="006E4DD9"/>
    <w:rsid w:val="006E4DDE"/>
    <w:rsid w:val="006E51BD"/>
    <w:rsid w:val="006E5205"/>
    <w:rsid w:val="006E525B"/>
    <w:rsid w:val="006E5379"/>
    <w:rsid w:val="006E542B"/>
    <w:rsid w:val="006E54B5"/>
    <w:rsid w:val="006E5534"/>
    <w:rsid w:val="006E559A"/>
    <w:rsid w:val="006E55BE"/>
    <w:rsid w:val="006E56ED"/>
    <w:rsid w:val="006E570E"/>
    <w:rsid w:val="006E582C"/>
    <w:rsid w:val="006E5878"/>
    <w:rsid w:val="006E58C8"/>
    <w:rsid w:val="006E58D7"/>
    <w:rsid w:val="006E5919"/>
    <w:rsid w:val="006E591A"/>
    <w:rsid w:val="006E5941"/>
    <w:rsid w:val="006E595B"/>
    <w:rsid w:val="006E599C"/>
    <w:rsid w:val="006E5A1C"/>
    <w:rsid w:val="006E5A49"/>
    <w:rsid w:val="006E5BDE"/>
    <w:rsid w:val="006E5CA6"/>
    <w:rsid w:val="006E5CE5"/>
    <w:rsid w:val="006E5D7F"/>
    <w:rsid w:val="006E5E47"/>
    <w:rsid w:val="006E5E60"/>
    <w:rsid w:val="006E5EF0"/>
    <w:rsid w:val="006E608E"/>
    <w:rsid w:val="006E62D1"/>
    <w:rsid w:val="006E63D5"/>
    <w:rsid w:val="006E6464"/>
    <w:rsid w:val="006E64E6"/>
    <w:rsid w:val="006E6501"/>
    <w:rsid w:val="006E6549"/>
    <w:rsid w:val="006E6599"/>
    <w:rsid w:val="006E6618"/>
    <w:rsid w:val="006E6662"/>
    <w:rsid w:val="006E6701"/>
    <w:rsid w:val="006E6718"/>
    <w:rsid w:val="006E6748"/>
    <w:rsid w:val="006E6824"/>
    <w:rsid w:val="006E6862"/>
    <w:rsid w:val="006E6877"/>
    <w:rsid w:val="006E6899"/>
    <w:rsid w:val="006E6923"/>
    <w:rsid w:val="006E699C"/>
    <w:rsid w:val="006E6B2B"/>
    <w:rsid w:val="006E6B37"/>
    <w:rsid w:val="006E6B7C"/>
    <w:rsid w:val="006E6BF2"/>
    <w:rsid w:val="006E6C48"/>
    <w:rsid w:val="006E6C5E"/>
    <w:rsid w:val="006E6C9B"/>
    <w:rsid w:val="006E6CD9"/>
    <w:rsid w:val="006E6E45"/>
    <w:rsid w:val="006E6EF2"/>
    <w:rsid w:val="006E6FCD"/>
    <w:rsid w:val="006E6FD4"/>
    <w:rsid w:val="006E7013"/>
    <w:rsid w:val="006E715E"/>
    <w:rsid w:val="006E7187"/>
    <w:rsid w:val="006E71CC"/>
    <w:rsid w:val="006E720E"/>
    <w:rsid w:val="006E72DC"/>
    <w:rsid w:val="006E72E1"/>
    <w:rsid w:val="006E7329"/>
    <w:rsid w:val="006E73C5"/>
    <w:rsid w:val="006E7516"/>
    <w:rsid w:val="006E77C8"/>
    <w:rsid w:val="006E7839"/>
    <w:rsid w:val="006E799A"/>
    <w:rsid w:val="006E79FB"/>
    <w:rsid w:val="006E7B7A"/>
    <w:rsid w:val="006E7BD2"/>
    <w:rsid w:val="006E7C3E"/>
    <w:rsid w:val="006E7CD3"/>
    <w:rsid w:val="006E7CF4"/>
    <w:rsid w:val="006E7D21"/>
    <w:rsid w:val="006E7D85"/>
    <w:rsid w:val="006E7E83"/>
    <w:rsid w:val="006E7F86"/>
    <w:rsid w:val="006F01A3"/>
    <w:rsid w:val="006F02E5"/>
    <w:rsid w:val="006F040B"/>
    <w:rsid w:val="006F055A"/>
    <w:rsid w:val="006F055D"/>
    <w:rsid w:val="006F0580"/>
    <w:rsid w:val="006F0624"/>
    <w:rsid w:val="006F062C"/>
    <w:rsid w:val="006F06DC"/>
    <w:rsid w:val="006F0739"/>
    <w:rsid w:val="006F0826"/>
    <w:rsid w:val="006F0860"/>
    <w:rsid w:val="006F0880"/>
    <w:rsid w:val="006F08E7"/>
    <w:rsid w:val="006F092A"/>
    <w:rsid w:val="006F096B"/>
    <w:rsid w:val="006F0970"/>
    <w:rsid w:val="006F0A23"/>
    <w:rsid w:val="006F0A2E"/>
    <w:rsid w:val="006F0C20"/>
    <w:rsid w:val="006F0DAB"/>
    <w:rsid w:val="006F0E18"/>
    <w:rsid w:val="006F0E63"/>
    <w:rsid w:val="006F0ECE"/>
    <w:rsid w:val="006F0F1B"/>
    <w:rsid w:val="006F0F91"/>
    <w:rsid w:val="006F0FEA"/>
    <w:rsid w:val="006F122F"/>
    <w:rsid w:val="006F1242"/>
    <w:rsid w:val="006F12E1"/>
    <w:rsid w:val="006F1875"/>
    <w:rsid w:val="006F1892"/>
    <w:rsid w:val="006F195E"/>
    <w:rsid w:val="006F1A18"/>
    <w:rsid w:val="006F1AEA"/>
    <w:rsid w:val="006F1B6A"/>
    <w:rsid w:val="006F1BF3"/>
    <w:rsid w:val="006F1D1F"/>
    <w:rsid w:val="006F1DC2"/>
    <w:rsid w:val="006F1E09"/>
    <w:rsid w:val="006F1FB3"/>
    <w:rsid w:val="006F1FDF"/>
    <w:rsid w:val="006F203F"/>
    <w:rsid w:val="006F20A0"/>
    <w:rsid w:val="006F20B7"/>
    <w:rsid w:val="006F2186"/>
    <w:rsid w:val="006F2262"/>
    <w:rsid w:val="006F2293"/>
    <w:rsid w:val="006F238C"/>
    <w:rsid w:val="006F23B8"/>
    <w:rsid w:val="006F25CC"/>
    <w:rsid w:val="006F2656"/>
    <w:rsid w:val="006F281D"/>
    <w:rsid w:val="006F2950"/>
    <w:rsid w:val="006F29EA"/>
    <w:rsid w:val="006F2B10"/>
    <w:rsid w:val="006F2D4C"/>
    <w:rsid w:val="006F2E39"/>
    <w:rsid w:val="006F2E4E"/>
    <w:rsid w:val="006F2EBD"/>
    <w:rsid w:val="006F2ED3"/>
    <w:rsid w:val="006F2EF4"/>
    <w:rsid w:val="006F31CD"/>
    <w:rsid w:val="006F3248"/>
    <w:rsid w:val="006F3267"/>
    <w:rsid w:val="006F339E"/>
    <w:rsid w:val="006F33E8"/>
    <w:rsid w:val="006F34D2"/>
    <w:rsid w:val="006F3645"/>
    <w:rsid w:val="006F36B2"/>
    <w:rsid w:val="006F371C"/>
    <w:rsid w:val="006F372A"/>
    <w:rsid w:val="006F3A46"/>
    <w:rsid w:val="006F3BBD"/>
    <w:rsid w:val="006F3BCC"/>
    <w:rsid w:val="006F3CD2"/>
    <w:rsid w:val="006F3CD8"/>
    <w:rsid w:val="006F3ECA"/>
    <w:rsid w:val="006F3FDF"/>
    <w:rsid w:val="006F3FE5"/>
    <w:rsid w:val="006F4063"/>
    <w:rsid w:val="006F4090"/>
    <w:rsid w:val="006F4105"/>
    <w:rsid w:val="006F4327"/>
    <w:rsid w:val="006F4364"/>
    <w:rsid w:val="006F44EC"/>
    <w:rsid w:val="006F44FF"/>
    <w:rsid w:val="006F4506"/>
    <w:rsid w:val="006F45F6"/>
    <w:rsid w:val="006F4820"/>
    <w:rsid w:val="006F4986"/>
    <w:rsid w:val="006F4AA7"/>
    <w:rsid w:val="006F4ADE"/>
    <w:rsid w:val="006F4BFC"/>
    <w:rsid w:val="006F4CA7"/>
    <w:rsid w:val="006F4CBB"/>
    <w:rsid w:val="006F4D7F"/>
    <w:rsid w:val="006F4D8E"/>
    <w:rsid w:val="006F4EA6"/>
    <w:rsid w:val="006F4F05"/>
    <w:rsid w:val="006F4F76"/>
    <w:rsid w:val="006F4F80"/>
    <w:rsid w:val="006F4FE3"/>
    <w:rsid w:val="006F506E"/>
    <w:rsid w:val="006F5095"/>
    <w:rsid w:val="006F51C4"/>
    <w:rsid w:val="006F51F5"/>
    <w:rsid w:val="006F5216"/>
    <w:rsid w:val="006F5254"/>
    <w:rsid w:val="006F5333"/>
    <w:rsid w:val="006F5351"/>
    <w:rsid w:val="006F5464"/>
    <w:rsid w:val="006F54BE"/>
    <w:rsid w:val="006F5539"/>
    <w:rsid w:val="006F5544"/>
    <w:rsid w:val="006F55BA"/>
    <w:rsid w:val="006F5606"/>
    <w:rsid w:val="006F57A5"/>
    <w:rsid w:val="006F5966"/>
    <w:rsid w:val="006F5A2B"/>
    <w:rsid w:val="006F5AE9"/>
    <w:rsid w:val="006F5BCB"/>
    <w:rsid w:val="006F5E03"/>
    <w:rsid w:val="006F5EB1"/>
    <w:rsid w:val="006F5F42"/>
    <w:rsid w:val="006F5FAF"/>
    <w:rsid w:val="006F6081"/>
    <w:rsid w:val="006F60FD"/>
    <w:rsid w:val="006F6124"/>
    <w:rsid w:val="006F613F"/>
    <w:rsid w:val="006F6182"/>
    <w:rsid w:val="006F61E2"/>
    <w:rsid w:val="006F62F7"/>
    <w:rsid w:val="006F637C"/>
    <w:rsid w:val="006F63DA"/>
    <w:rsid w:val="006F6696"/>
    <w:rsid w:val="006F67E0"/>
    <w:rsid w:val="006F68F2"/>
    <w:rsid w:val="006F6901"/>
    <w:rsid w:val="006F69EA"/>
    <w:rsid w:val="006F6AB5"/>
    <w:rsid w:val="006F6ACD"/>
    <w:rsid w:val="006F6C73"/>
    <w:rsid w:val="006F6D1B"/>
    <w:rsid w:val="006F6E1A"/>
    <w:rsid w:val="006F6E36"/>
    <w:rsid w:val="006F6E78"/>
    <w:rsid w:val="006F6F3B"/>
    <w:rsid w:val="006F6F91"/>
    <w:rsid w:val="006F6FAA"/>
    <w:rsid w:val="006F7079"/>
    <w:rsid w:val="006F7112"/>
    <w:rsid w:val="006F71ED"/>
    <w:rsid w:val="006F71FD"/>
    <w:rsid w:val="006F7237"/>
    <w:rsid w:val="006F72D1"/>
    <w:rsid w:val="006F72E1"/>
    <w:rsid w:val="006F731A"/>
    <w:rsid w:val="006F73D4"/>
    <w:rsid w:val="006F73E1"/>
    <w:rsid w:val="006F74BB"/>
    <w:rsid w:val="006F756D"/>
    <w:rsid w:val="006F758D"/>
    <w:rsid w:val="006F75BF"/>
    <w:rsid w:val="006F766B"/>
    <w:rsid w:val="006F77F9"/>
    <w:rsid w:val="006F78EF"/>
    <w:rsid w:val="006F7A80"/>
    <w:rsid w:val="006F7C5B"/>
    <w:rsid w:val="006F7CA4"/>
    <w:rsid w:val="006F7F69"/>
    <w:rsid w:val="006F7FFA"/>
    <w:rsid w:val="00700048"/>
    <w:rsid w:val="0070009C"/>
    <w:rsid w:val="007000BF"/>
    <w:rsid w:val="00700154"/>
    <w:rsid w:val="007002C9"/>
    <w:rsid w:val="00700326"/>
    <w:rsid w:val="007003CC"/>
    <w:rsid w:val="007003EC"/>
    <w:rsid w:val="0070055D"/>
    <w:rsid w:val="0070057B"/>
    <w:rsid w:val="007006B4"/>
    <w:rsid w:val="007006C0"/>
    <w:rsid w:val="007006D5"/>
    <w:rsid w:val="007006D7"/>
    <w:rsid w:val="0070075A"/>
    <w:rsid w:val="007007D0"/>
    <w:rsid w:val="00700839"/>
    <w:rsid w:val="007009A1"/>
    <w:rsid w:val="00700A06"/>
    <w:rsid w:val="00700AA4"/>
    <w:rsid w:val="00700B70"/>
    <w:rsid w:val="00700C06"/>
    <w:rsid w:val="00700C31"/>
    <w:rsid w:val="00700C70"/>
    <w:rsid w:val="00700CC5"/>
    <w:rsid w:val="00700E65"/>
    <w:rsid w:val="00700E8A"/>
    <w:rsid w:val="00700F01"/>
    <w:rsid w:val="00700FA2"/>
    <w:rsid w:val="00700FED"/>
    <w:rsid w:val="00701046"/>
    <w:rsid w:val="00701144"/>
    <w:rsid w:val="0070127C"/>
    <w:rsid w:val="007013E5"/>
    <w:rsid w:val="007014D3"/>
    <w:rsid w:val="007016E3"/>
    <w:rsid w:val="00701777"/>
    <w:rsid w:val="0070179D"/>
    <w:rsid w:val="007017E3"/>
    <w:rsid w:val="007017EC"/>
    <w:rsid w:val="0070184B"/>
    <w:rsid w:val="0070186D"/>
    <w:rsid w:val="00701871"/>
    <w:rsid w:val="007019B5"/>
    <w:rsid w:val="00701A3D"/>
    <w:rsid w:val="00701A61"/>
    <w:rsid w:val="00701C33"/>
    <w:rsid w:val="00701CE4"/>
    <w:rsid w:val="00701E25"/>
    <w:rsid w:val="00701E62"/>
    <w:rsid w:val="00701F54"/>
    <w:rsid w:val="00701FF2"/>
    <w:rsid w:val="007021C3"/>
    <w:rsid w:val="00702237"/>
    <w:rsid w:val="00702347"/>
    <w:rsid w:val="00702428"/>
    <w:rsid w:val="00702447"/>
    <w:rsid w:val="00702470"/>
    <w:rsid w:val="007024A5"/>
    <w:rsid w:val="00702726"/>
    <w:rsid w:val="007027B9"/>
    <w:rsid w:val="007028AE"/>
    <w:rsid w:val="00702979"/>
    <w:rsid w:val="007029DF"/>
    <w:rsid w:val="00702B19"/>
    <w:rsid w:val="00702C8A"/>
    <w:rsid w:val="00702CA5"/>
    <w:rsid w:val="00702DA0"/>
    <w:rsid w:val="00702F8F"/>
    <w:rsid w:val="00703120"/>
    <w:rsid w:val="00703218"/>
    <w:rsid w:val="007032C4"/>
    <w:rsid w:val="00703425"/>
    <w:rsid w:val="007034FA"/>
    <w:rsid w:val="00703504"/>
    <w:rsid w:val="0070356B"/>
    <w:rsid w:val="007035F9"/>
    <w:rsid w:val="007036C7"/>
    <w:rsid w:val="007037B4"/>
    <w:rsid w:val="0070392A"/>
    <w:rsid w:val="00703980"/>
    <w:rsid w:val="007039E6"/>
    <w:rsid w:val="00703A26"/>
    <w:rsid w:val="00703AD5"/>
    <w:rsid w:val="00703C01"/>
    <w:rsid w:val="00703C02"/>
    <w:rsid w:val="00703C2A"/>
    <w:rsid w:val="00703C67"/>
    <w:rsid w:val="00703C79"/>
    <w:rsid w:val="00703C95"/>
    <w:rsid w:val="00703D5E"/>
    <w:rsid w:val="00703DDE"/>
    <w:rsid w:val="00703DF8"/>
    <w:rsid w:val="00703E06"/>
    <w:rsid w:val="00703F4A"/>
    <w:rsid w:val="00703F9C"/>
    <w:rsid w:val="00704177"/>
    <w:rsid w:val="0070425B"/>
    <w:rsid w:val="007042B9"/>
    <w:rsid w:val="00704376"/>
    <w:rsid w:val="00704397"/>
    <w:rsid w:val="0070448A"/>
    <w:rsid w:val="007045CB"/>
    <w:rsid w:val="0070466C"/>
    <w:rsid w:val="00704695"/>
    <w:rsid w:val="007047D0"/>
    <w:rsid w:val="007047D3"/>
    <w:rsid w:val="007048A6"/>
    <w:rsid w:val="007048CA"/>
    <w:rsid w:val="00704941"/>
    <w:rsid w:val="00704B95"/>
    <w:rsid w:val="00704C14"/>
    <w:rsid w:val="00704C37"/>
    <w:rsid w:val="00704CFC"/>
    <w:rsid w:val="00704DA1"/>
    <w:rsid w:val="00704DA2"/>
    <w:rsid w:val="00704E43"/>
    <w:rsid w:val="00704EA7"/>
    <w:rsid w:val="00705020"/>
    <w:rsid w:val="007050C0"/>
    <w:rsid w:val="00705117"/>
    <w:rsid w:val="0070538E"/>
    <w:rsid w:val="0070539D"/>
    <w:rsid w:val="0070544C"/>
    <w:rsid w:val="007054F3"/>
    <w:rsid w:val="00705578"/>
    <w:rsid w:val="007055AB"/>
    <w:rsid w:val="00705674"/>
    <w:rsid w:val="007056EF"/>
    <w:rsid w:val="00705745"/>
    <w:rsid w:val="0070574B"/>
    <w:rsid w:val="00705859"/>
    <w:rsid w:val="007058F9"/>
    <w:rsid w:val="0070594A"/>
    <w:rsid w:val="00705A24"/>
    <w:rsid w:val="00705AD7"/>
    <w:rsid w:val="00705B12"/>
    <w:rsid w:val="00705B68"/>
    <w:rsid w:val="00705DA9"/>
    <w:rsid w:val="00705EA7"/>
    <w:rsid w:val="00705EB9"/>
    <w:rsid w:val="00706099"/>
    <w:rsid w:val="0070620D"/>
    <w:rsid w:val="00706265"/>
    <w:rsid w:val="0070632D"/>
    <w:rsid w:val="00706334"/>
    <w:rsid w:val="007063D7"/>
    <w:rsid w:val="00706442"/>
    <w:rsid w:val="0070646E"/>
    <w:rsid w:val="0070647E"/>
    <w:rsid w:val="007064CA"/>
    <w:rsid w:val="00706546"/>
    <w:rsid w:val="0070666B"/>
    <w:rsid w:val="00706786"/>
    <w:rsid w:val="00706998"/>
    <w:rsid w:val="007069BD"/>
    <w:rsid w:val="007069E1"/>
    <w:rsid w:val="00706A8A"/>
    <w:rsid w:val="00706B2A"/>
    <w:rsid w:val="00706B63"/>
    <w:rsid w:val="00706B87"/>
    <w:rsid w:val="00706BAB"/>
    <w:rsid w:val="00706D4C"/>
    <w:rsid w:val="00706EBE"/>
    <w:rsid w:val="00706EC6"/>
    <w:rsid w:val="00706EF1"/>
    <w:rsid w:val="00706EF4"/>
    <w:rsid w:val="00706F86"/>
    <w:rsid w:val="00707088"/>
    <w:rsid w:val="00707173"/>
    <w:rsid w:val="007071FA"/>
    <w:rsid w:val="0070725C"/>
    <w:rsid w:val="007073EA"/>
    <w:rsid w:val="00707445"/>
    <w:rsid w:val="00707565"/>
    <w:rsid w:val="007075FA"/>
    <w:rsid w:val="007076D2"/>
    <w:rsid w:val="00707830"/>
    <w:rsid w:val="007078A8"/>
    <w:rsid w:val="007078C7"/>
    <w:rsid w:val="00707969"/>
    <w:rsid w:val="007079BD"/>
    <w:rsid w:val="007079C6"/>
    <w:rsid w:val="00707AAC"/>
    <w:rsid w:val="00707AF2"/>
    <w:rsid w:val="00707B2F"/>
    <w:rsid w:val="00707C4D"/>
    <w:rsid w:val="00707C85"/>
    <w:rsid w:val="00707D0B"/>
    <w:rsid w:val="00707D7F"/>
    <w:rsid w:val="00707E82"/>
    <w:rsid w:val="00707EAF"/>
    <w:rsid w:val="00707EFD"/>
    <w:rsid w:val="00707FDC"/>
    <w:rsid w:val="00710007"/>
    <w:rsid w:val="00710053"/>
    <w:rsid w:val="007102E0"/>
    <w:rsid w:val="0071030D"/>
    <w:rsid w:val="0071044A"/>
    <w:rsid w:val="00710530"/>
    <w:rsid w:val="007106F2"/>
    <w:rsid w:val="007106F7"/>
    <w:rsid w:val="00710759"/>
    <w:rsid w:val="00710792"/>
    <w:rsid w:val="007107AB"/>
    <w:rsid w:val="0071084E"/>
    <w:rsid w:val="00710861"/>
    <w:rsid w:val="00710879"/>
    <w:rsid w:val="0071094F"/>
    <w:rsid w:val="00710A48"/>
    <w:rsid w:val="00710A4A"/>
    <w:rsid w:val="00710ABB"/>
    <w:rsid w:val="00710AEE"/>
    <w:rsid w:val="00710B1D"/>
    <w:rsid w:val="00710B78"/>
    <w:rsid w:val="00710BA7"/>
    <w:rsid w:val="00710BCD"/>
    <w:rsid w:val="00710C15"/>
    <w:rsid w:val="00710E77"/>
    <w:rsid w:val="00711162"/>
    <w:rsid w:val="007111E0"/>
    <w:rsid w:val="00711245"/>
    <w:rsid w:val="0071131D"/>
    <w:rsid w:val="00711474"/>
    <w:rsid w:val="00711546"/>
    <w:rsid w:val="00711575"/>
    <w:rsid w:val="0071190A"/>
    <w:rsid w:val="00711A11"/>
    <w:rsid w:val="00711A8F"/>
    <w:rsid w:val="00711AB7"/>
    <w:rsid w:val="00711B15"/>
    <w:rsid w:val="00711B37"/>
    <w:rsid w:val="00711BA5"/>
    <w:rsid w:val="00711BBF"/>
    <w:rsid w:val="00711D39"/>
    <w:rsid w:val="00711D88"/>
    <w:rsid w:val="00711DA4"/>
    <w:rsid w:val="00711DFB"/>
    <w:rsid w:val="00711E4F"/>
    <w:rsid w:val="00711E99"/>
    <w:rsid w:val="00711F6C"/>
    <w:rsid w:val="00711FAA"/>
    <w:rsid w:val="00711FD3"/>
    <w:rsid w:val="00712155"/>
    <w:rsid w:val="00712295"/>
    <w:rsid w:val="00712328"/>
    <w:rsid w:val="00712396"/>
    <w:rsid w:val="0071241B"/>
    <w:rsid w:val="0071244A"/>
    <w:rsid w:val="007124B7"/>
    <w:rsid w:val="0071278C"/>
    <w:rsid w:val="007127DD"/>
    <w:rsid w:val="0071280A"/>
    <w:rsid w:val="00712812"/>
    <w:rsid w:val="00712983"/>
    <w:rsid w:val="00712A95"/>
    <w:rsid w:val="00712CC3"/>
    <w:rsid w:val="00712D34"/>
    <w:rsid w:val="00712D5B"/>
    <w:rsid w:val="00712EA1"/>
    <w:rsid w:val="00712EF8"/>
    <w:rsid w:val="00712F06"/>
    <w:rsid w:val="00712F13"/>
    <w:rsid w:val="00712F32"/>
    <w:rsid w:val="00713006"/>
    <w:rsid w:val="00713010"/>
    <w:rsid w:val="007131CB"/>
    <w:rsid w:val="007132E9"/>
    <w:rsid w:val="00713415"/>
    <w:rsid w:val="0071345F"/>
    <w:rsid w:val="00713626"/>
    <w:rsid w:val="0071371A"/>
    <w:rsid w:val="00713741"/>
    <w:rsid w:val="00713A16"/>
    <w:rsid w:val="00713A62"/>
    <w:rsid w:val="00713AE0"/>
    <w:rsid w:val="00713BF8"/>
    <w:rsid w:val="00713C21"/>
    <w:rsid w:val="00713D04"/>
    <w:rsid w:val="00713D68"/>
    <w:rsid w:val="00713DFF"/>
    <w:rsid w:val="00713E60"/>
    <w:rsid w:val="00713F57"/>
    <w:rsid w:val="00713FE3"/>
    <w:rsid w:val="007140F2"/>
    <w:rsid w:val="00714150"/>
    <w:rsid w:val="007141B1"/>
    <w:rsid w:val="0071426B"/>
    <w:rsid w:val="00714307"/>
    <w:rsid w:val="00714330"/>
    <w:rsid w:val="00714404"/>
    <w:rsid w:val="00714558"/>
    <w:rsid w:val="00714655"/>
    <w:rsid w:val="0071471D"/>
    <w:rsid w:val="0071473A"/>
    <w:rsid w:val="007147A5"/>
    <w:rsid w:val="00714903"/>
    <w:rsid w:val="00714934"/>
    <w:rsid w:val="0071495E"/>
    <w:rsid w:val="007149F4"/>
    <w:rsid w:val="007149F6"/>
    <w:rsid w:val="00714A01"/>
    <w:rsid w:val="00714B27"/>
    <w:rsid w:val="00714B62"/>
    <w:rsid w:val="00714DF5"/>
    <w:rsid w:val="00714E57"/>
    <w:rsid w:val="00715081"/>
    <w:rsid w:val="007151BB"/>
    <w:rsid w:val="00715270"/>
    <w:rsid w:val="0071530A"/>
    <w:rsid w:val="00715333"/>
    <w:rsid w:val="00715341"/>
    <w:rsid w:val="007153C2"/>
    <w:rsid w:val="007154F9"/>
    <w:rsid w:val="00715541"/>
    <w:rsid w:val="007156DC"/>
    <w:rsid w:val="0071577B"/>
    <w:rsid w:val="00715790"/>
    <w:rsid w:val="00715911"/>
    <w:rsid w:val="00715AD2"/>
    <w:rsid w:val="00715BE1"/>
    <w:rsid w:val="00715BE6"/>
    <w:rsid w:val="00715DFA"/>
    <w:rsid w:val="00715E25"/>
    <w:rsid w:val="00715F42"/>
    <w:rsid w:val="00715F56"/>
    <w:rsid w:val="00715F80"/>
    <w:rsid w:val="0071608A"/>
    <w:rsid w:val="007160F6"/>
    <w:rsid w:val="00716107"/>
    <w:rsid w:val="0071618F"/>
    <w:rsid w:val="00716306"/>
    <w:rsid w:val="0071635D"/>
    <w:rsid w:val="007165AB"/>
    <w:rsid w:val="007165CF"/>
    <w:rsid w:val="00716638"/>
    <w:rsid w:val="0071671A"/>
    <w:rsid w:val="00716A75"/>
    <w:rsid w:val="00716B6A"/>
    <w:rsid w:val="00716CFB"/>
    <w:rsid w:val="00716D78"/>
    <w:rsid w:val="00717112"/>
    <w:rsid w:val="00717170"/>
    <w:rsid w:val="007172E0"/>
    <w:rsid w:val="00717323"/>
    <w:rsid w:val="0071743B"/>
    <w:rsid w:val="0071753F"/>
    <w:rsid w:val="007175B0"/>
    <w:rsid w:val="007175D7"/>
    <w:rsid w:val="0071779A"/>
    <w:rsid w:val="00717838"/>
    <w:rsid w:val="0071785C"/>
    <w:rsid w:val="007178F3"/>
    <w:rsid w:val="0071799F"/>
    <w:rsid w:val="00717AB1"/>
    <w:rsid w:val="00717B9F"/>
    <w:rsid w:val="00717C3A"/>
    <w:rsid w:val="00717C62"/>
    <w:rsid w:val="00717CCA"/>
    <w:rsid w:val="00717E95"/>
    <w:rsid w:val="00717EA0"/>
    <w:rsid w:val="00717EA5"/>
    <w:rsid w:val="00717F2B"/>
    <w:rsid w:val="00720108"/>
    <w:rsid w:val="0072015E"/>
    <w:rsid w:val="00720229"/>
    <w:rsid w:val="007202C6"/>
    <w:rsid w:val="00720340"/>
    <w:rsid w:val="00720368"/>
    <w:rsid w:val="0072038C"/>
    <w:rsid w:val="00720488"/>
    <w:rsid w:val="007204A8"/>
    <w:rsid w:val="00720597"/>
    <w:rsid w:val="00720706"/>
    <w:rsid w:val="00720708"/>
    <w:rsid w:val="00720779"/>
    <w:rsid w:val="0072088C"/>
    <w:rsid w:val="007208DF"/>
    <w:rsid w:val="007209AD"/>
    <w:rsid w:val="007209B4"/>
    <w:rsid w:val="00720AAD"/>
    <w:rsid w:val="00720B26"/>
    <w:rsid w:val="00720B3F"/>
    <w:rsid w:val="00720C52"/>
    <w:rsid w:val="00720C6A"/>
    <w:rsid w:val="00720D3E"/>
    <w:rsid w:val="00720EFB"/>
    <w:rsid w:val="00720FDF"/>
    <w:rsid w:val="00721003"/>
    <w:rsid w:val="00721186"/>
    <w:rsid w:val="00721203"/>
    <w:rsid w:val="007213A3"/>
    <w:rsid w:val="0072140E"/>
    <w:rsid w:val="007214AA"/>
    <w:rsid w:val="007214F4"/>
    <w:rsid w:val="0072167B"/>
    <w:rsid w:val="007219AF"/>
    <w:rsid w:val="00721A31"/>
    <w:rsid w:val="00721A36"/>
    <w:rsid w:val="00721A3C"/>
    <w:rsid w:val="00721AE3"/>
    <w:rsid w:val="00721BE4"/>
    <w:rsid w:val="00721C01"/>
    <w:rsid w:val="00721C04"/>
    <w:rsid w:val="00721C6B"/>
    <w:rsid w:val="00721CC5"/>
    <w:rsid w:val="00721D54"/>
    <w:rsid w:val="00721DD9"/>
    <w:rsid w:val="00721E1B"/>
    <w:rsid w:val="00721ECA"/>
    <w:rsid w:val="00721F2E"/>
    <w:rsid w:val="007220D4"/>
    <w:rsid w:val="007224EC"/>
    <w:rsid w:val="007225ED"/>
    <w:rsid w:val="007226BF"/>
    <w:rsid w:val="00722731"/>
    <w:rsid w:val="0072273F"/>
    <w:rsid w:val="00722751"/>
    <w:rsid w:val="00722785"/>
    <w:rsid w:val="0072278A"/>
    <w:rsid w:val="007227D3"/>
    <w:rsid w:val="00722875"/>
    <w:rsid w:val="0072287B"/>
    <w:rsid w:val="00722A4B"/>
    <w:rsid w:val="00722A62"/>
    <w:rsid w:val="00722A6A"/>
    <w:rsid w:val="00722A8E"/>
    <w:rsid w:val="00722AA5"/>
    <w:rsid w:val="00722ADB"/>
    <w:rsid w:val="00722D58"/>
    <w:rsid w:val="00722DBE"/>
    <w:rsid w:val="00722DF2"/>
    <w:rsid w:val="00722EA3"/>
    <w:rsid w:val="00722F4A"/>
    <w:rsid w:val="0072304C"/>
    <w:rsid w:val="00723078"/>
    <w:rsid w:val="007230EC"/>
    <w:rsid w:val="0072311C"/>
    <w:rsid w:val="00723189"/>
    <w:rsid w:val="007231D1"/>
    <w:rsid w:val="00723435"/>
    <w:rsid w:val="007234CE"/>
    <w:rsid w:val="0072350B"/>
    <w:rsid w:val="0072350E"/>
    <w:rsid w:val="00723521"/>
    <w:rsid w:val="007236A0"/>
    <w:rsid w:val="007236F6"/>
    <w:rsid w:val="00723706"/>
    <w:rsid w:val="00723751"/>
    <w:rsid w:val="0072394F"/>
    <w:rsid w:val="007239E7"/>
    <w:rsid w:val="00723A57"/>
    <w:rsid w:val="00723B34"/>
    <w:rsid w:val="00723C0D"/>
    <w:rsid w:val="00723C12"/>
    <w:rsid w:val="00723C98"/>
    <w:rsid w:val="00723D6E"/>
    <w:rsid w:val="00723DA1"/>
    <w:rsid w:val="00723DEC"/>
    <w:rsid w:val="00723F32"/>
    <w:rsid w:val="00724108"/>
    <w:rsid w:val="007241D3"/>
    <w:rsid w:val="007242B0"/>
    <w:rsid w:val="007242BE"/>
    <w:rsid w:val="0072436D"/>
    <w:rsid w:val="007243CE"/>
    <w:rsid w:val="007243FF"/>
    <w:rsid w:val="0072442A"/>
    <w:rsid w:val="00724454"/>
    <w:rsid w:val="00724589"/>
    <w:rsid w:val="007245EB"/>
    <w:rsid w:val="00724652"/>
    <w:rsid w:val="0072465E"/>
    <w:rsid w:val="00724A76"/>
    <w:rsid w:val="00724AB8"/>
    <w:rsid w:val="00724AD2"/>
    <w:rsid w:val="00724B0C"/>
    <w:rsid w:val="00724EB1"/>
    <w:rsid w:val="00724F3E"/>
    <w:rsid w:val="0072508E"/>
    <w:rsid w:val="007251E2"/>
    <w:rsid w:val="007253E8"/>
    <w:rsid w:val="00725448"/>
    <w:rsid w:val="0072545B"/>
    <w:rsid w:val="007254A5"/>
    <w:rsid w:val="007254C2"/>
    <w:rsid w:val="007254C7"/>
    <w:rsid w:val="007254FA"/>
    <w:rsid w:val="0072550D"/>
    <w:rsid w:val="00725887"/>
    <w:rsid w:val="007258E0"/>
    <w:rsid w:val="00725956"/>
    <w:rsid w:val="0072597F"/>
    <w:rsid w:val="00725B6D"/>
    <w:rsid w:val="00725C0C"/>
    <w:rsid w:val="00725DF1"/>
    <w:rsid w:val="007260B0"/>
    <w:rsid w:val="007260B1"/>
    <w:rsid w:val="007264B8"/>
    <w:rsid w:val="00726634"/>
    <w:rsid w:val="0072695C"/>
    <w:rsid w:val="00726A4D"/>
    <w:rsid w:val="00726AFA"/>
    <w:rsid w:val="00726B31"/>
    <w:rsid w:val="00726B55"/>
    <w:rsid w:val="00726B72"/>
    <w:rsid w:val="00726CD8"/>
    <w:rsid w:val="00726E60"/>
    <w:rsid w:val="00726EB7"/>
    <w:rsid w:val="00727180"/>
    <w:rsid w:val="0072719F"/>
    <w:rsid w:val="00727291"/>
    <w:rsid w:val="007272A4"/>
    <w:rsid w:val="007272BB"/>
    <w:rsid w:val="007272F1"/>
    <w:rsid w:val="007273BF"/>
    <w:rsid w:val="0072745D"/>
    <w:rsid w:val="007274B8"/>
    <w:rsid w:val="007275C9"/>
    <w:rsid w:val="00727602"/>
    <w:rsid w:val="00727691"/>
    <w:rsid w:val="0072770D"/>
    <w:rsid w:val="00727969"/>
    <w:rsid w:val="00727A58"/>
    <w:rsid w:val="00727BCB"/>
    <w:rsid w:val="00727BEB"/>
    <w:rsid w:val="00727BED"/>
    <w:rsid w:val="00727C2C"/>
    <w:rsid w:val="00727C3D"/>
    <w:rsid w:val="00727D9B"/>
    <w:rsid w:val="00727EFA"/>
    <w:rsid w:val="00730035"/>
    <w:rsid w:val="007301EE"/>
    <w:rsid w:val="007302A7"/>
    <w:rsid w:val="0073032B"/>
    <w:rsid w:val="00730343"/>
    <w:rsid w:val="00730663"/>
    <w:rsid w:val="00730672"/>
    <w:rsid w:val="007307B2"/>
    <w:rsid w:val="007307E5"/>
    <w:rsid w:val="0073081E"/>
    <w:rsid w:val="0073088C"/>
    <w:rsid w:val="007308EC"/>
    <w:rsid w:val="00730995"/>
    <w:rsid w:val="00730B35"/>
    <w:rsid w:val="00730B9A"/>
    <w:rsid w:val="00730BD9"/>
    <w:rsid w:val="00730D01"/>
    <w:rsid w:val="00730D9A"/>
    <w:rsid w:val="00730DE0"/>
    <w:rsid w:val="00730F07"/>
    <w:rsid w:val="00730F25"/>
    <w:rsid w:val="00730FB8"/>
    <w:rsid w:val="0073106B"/>
    <w:rsid w:val="00731092"/>
    <w:rsid w:val="007310A0"/>
    <w:rsid w:val="00731100"/>
    <w:rsid w:val="00731117"/>
    <w:rsid w:val="0073118D"/>
    <w:rsid w:val="007311BE"/>
    <w:rsid w:val="007312FE"/>
    <w:rsid w:val="0073145D"/>
    <w:rsid w:val="0073161F"/>
    <w:rsid w:val="0073182C"/>
    <w:rsid w:val="00731978"/>
    <w:rsid w:val="007319B7"/>
    <w:rsid w:val="00731AF9"/>
    <w:rsid w:val="00731B96"/>
    <w:rsid w:val="00731C27"/>
    <w:rsid w:val="00731D8F"/>
    <w:rsid w:val="00731E66"/>
    <w:rsid w:val="00731F23"/>
    <w:rsid w:val="00731F56"/>
    <w:rsid w:val="0073211B"/>
    <w:rsid w:val="0073216A"/>
    <w:rsid w:val="007321A8"/>
    <w:rsid w:val="00732366"/>
    <w:rsid w:val="00732372"/>
    <w:rsid w:val="007323BB"/>
    <w:rsid w:val="0073241B"/>
    <w:rsid w:val="0073245B"/>
    <w:rsid w:val="00732517"/>
    <w:rsid w:val="0073254C"/>
    <w:rsid w:val="007325B7"/>
    <w:rsid w:val="00732632"/>
    <w:rsid w:val="00732641"/>
    <w:rsid w:val="007326F0"/>
    <w:rsid w:val="007326FD"/>
    <w:rsid w:val="0073279A"/>
    <w:rsid w:val="007327DA"/>
    <w:rsid w:val="007328DB"/>
    <w:rsid w:val="007329B9"/>
    <w:rsid w:val="00732A6F"/>
    <w:rsid w:val="00732A80"/>
    <w:rsid w:val="00732AFD"/>
    <w:rsid w:val="00733188"/>
    <w:rsid w:val="00733198"/>
    <w:rsid w:val="007331CC"/>
    <w:rsid w:val="00733282"/>
    <w:rsid w:val="007333FE"/>
    <w:rsid w:val="007334F3"/>
    <w:rsid w:val="0073375E"/>
    <w:rsid w:val="007337B3"/>
    <w:rsid w:val="00733946"/>
    <w:rsid w:val="007339AE"/>
    <w:rsid w:val="007339F5"/>
    <w:rsid w:val="00733A3C"/>
    <w:rsid w:val="00733AB0"/>
    <w:rsid w:val="00733ACF"/>
    <w:rsid w:val="00733B01"/>
    <w:rsid w:val="00733B8B"/>
    <w:rsid w:val="00733BC6"/>
    <w:rsid w:val="00733D16"/>
    <w:rsid w:val="00733DDC"/>
    <w:rsid w:val="00733DE0"/>
    <w:rsid w:val="00733E50"/>
    <w:rsid w:val="00733EA2"/>
    <w:rsid w:val="00733F86"/>
    <w:rsid w:val="00734017"/>
    <w:rsid w:val="00734044"/>
    <w:rsid w:val="0073404E"/>
    <w:rsid w:val="00734058"/>
    <w:rsid w:val="00734079"/>
    <w:rsid w:val="007340C1"/>
    <w:rsid w:val="00734196"/>
    <w:rsid w:val="00734269"/>
    <w:rsid w:val="007342AA"/>
    <w:rsid w:val="00734339"/>
    <w:rsid w:val="007343D6"/>
    <w:rsid w:val="007344D4"/>
    <w:rsid w:val="00734573"/>
    <w:rsid w:val="00734752"/>
    <w:rsid w:val="00734805"/>
    <w:rsid w:val="00734882"/>
    <w:rsid w:val="007348D7"/>
    <w:rsid w:val="007348DD"/>
    <w:rsid w:val="00734944"/>
    <w:rsid w:val="00734BBB"/>
    <w:rsid w:val="00734C19"/>
    <w:rsid w:val="00734C86"/>
    <w:rsid w:val="00734C96"/>
    <w:rsid w:val="00734E1C"/>
    <w:rsid w:val="00734FC3"/>
    <w:rsid w:val="00735047"/>
    <w:rsid w:val="007351B1"/>
    <w:rsid w:val="0073523B"/>
    <w:rsid w:val="00735278"/>
    <w:rsid w:val="007352FB"/>
    <w:rsid w:val="00735353"/>
    <w:rsid w:val="0073553F"/>
    <w:rsid w:val="0073578C"/>
    <w:rsid w:val="007357F3"/>
    <w:rsid w:val="00735805"/>
    <w:rsid w:val="007358BC"/>
    <w:rsid w:val="00735917"/>
    <w:rsid w:val="00735994"/>
    <w:rsid w:val="007359D3"/>
    <w:rsid w:val="007359D9"/>
    <w:rsid w:val="00735A2E"/>
    <w:rsid w:val="00735A36"/>
    <w:rsid w:val="00735A57"/>
    <w:rsid w:val="00735B55"/>
    <w:rsid w:val="00735B67"/>
    <w:rsid w:val="00735BA0"/>
    <w:rsid w:val="00735CC1"/>
    <w:rsid w:val="00735D1D"/>
    <w:rsid w:val="00735D7D"/>
    <w:rsid w:val="00735D86"/>
    <w:rsid w:val="00735E08"/>
    <w:rsid w:val="00735E8E"/>
    <w:rsid w:val="0073605E"/>
    <w:rsid w:val="00736254"/>
    <w:rsid w:val="007362FF"/>
    <w:rsid w:val="0073630A"/>
    <w:rsid w:val="00736358"/>
    <w:rsid w:val="0073637B"/>
    <w:rsid w:val="007363EF"/>
    <w:rsid w:val="00736464"/>
    <w:rsid w:val="007365B1"/>
    <w:rsid w:val="00736601"/>
    <w:rsid w:val="00736825"/>
    <w:rsid w:val="0073686A"/>
    <w:rsid w:val="00736A80"/>
    <w:rsid w:val="00736CD2"/>
    <w:rsid w:val="00736E56"/>
    <w:rsid w:val="00736E8C"/>
    <w:rsid w:val="00736E8F"/>
    <w:rsid w:val="00736EEA"/>
    <w:rsid w:val="0073705B"/>
    <w:rsid w:val="00737142"/>
    <w:rsid w:val="00737163"/>
    <w:rsid w:val="007371A0"/>
    <w:rsid w:val="007371CA"/>
    <w:rsid w:val="00737481"/>
    <w:rsid w:val="007374E3"/>
    <w:rsid w:val="0073753A"/>
    <w:rsid w:val="007376ED"/>
    <w:rsid w:val="00737743"/>
    <w:rsid w:val="00737754"/>
    <w:rsid w:val="00737771"/>
    <w:rsid w:val="0073788A"/>
    <w:rsid w:val="0073792E"/>
    <w:rsid w:val="00737965"/>
    <w:rsid w:val="00737ABE"/>
    <w:rsid w:val="00737BE4"/>
    <w:rsid w:val="00737C82"/>
    <w:rsid w:val="00737D56"/>
    <w:rsid w:val="00737DA4"/>
    <w:rsid w:val="00737E3A"/>
    <w:rsid w:val="00737EEF"/>
    <w:rsid w:val="00737F81"/>
    <w:rsid w:val="00737F8C"/>
    <w:rsid w:val="00737FF5"/>
    <w:rsid w:val="0074004B"/>
    <w:rsid w:val="00740073"/>
    <w:rsid w:val="00740137"/>
    <w:rsid w:val="007402DB"/>
    <w:rsid w:val="0074031F"/>
    <w:rsid w:val="007403E3"/>
    <w:rsid w:val="0074049D"/>
    <w:rsid w:val="00740513"/>
    <w:rsid w:val="007406FF"/>
    <w:rsid w:val="00740711"/>
    <w:rsid w:val="00740720"/>
    <w:rsid w:val="0074075B"/>
    <w:rsid w:val="007408B8"/>
    <w:rsid w:val="007408B9"/>
    <w:rsid w:val="0074094C"/>
    <w:rsid w:val="00740989"/>
    <w:rsid w:val="00740BAD"/>
    <w:rsid w:val="00740C19"/>
    <w:rsid w:val="00740C1A"/>
    <w:rsid w:val="00740C3B"/>
    <w:rsid w:val="00740D4A"/>
    <w:rsid w:val="00740D5E"/>
    <w:rsid w:val="00740E2C"/>
    <w:rsid w:val="00740E2E"/>
    <w:rsid w:val="00740F7A"/>
    <w:rsid w:val="0074106A"/>
    <w:rsid w:val="00741262"/>
    <w:rsid w:val="007413DF"/>
    <w:rsid w:val="007414F6"/>
    <w:rsid w:val="007415C5"/>
    <w:rsid w:val="00741694"/>
    <w:rsid w:val="007416C6"/>
    <w:rsid w:val="00741780"/>
    <w:rsid w:val="0074186B"/>
    <w:rsid w:val="00741C8C"/>
    <w:rsid w:val="00741CD3"/>
    <w:rsid w:val="00741D5D"/>
    <w:rsid w:val="00741DF5"/>
    <w:rsid w:val="00741E3D"/>
    <w:rsid w:val="00741ED4"/>
    <w:rsid w:val="007420DD"/>
    <w:rsid w:val="00742281"/>
    <w:rsid w:val="007423A5"/>
    <w:rsid w:val="00742488"/>
    <w:rsid w:val="00742502"/>
    <w:rsid w:val="0074276D"/>
    <w:rsid w:val="0074279A"/>
    <w:rsid w:val="007427BD"/>
    <w:rsid w:val="007427C2"/>
    <w:rsid w:val="00742833"/>
    <w:rsid w:val="007429A0"/>
    <w:rsid w:val="00742A09"/>
    <w:rsid w:val="00742A21"/>
    <w:rsid w:val="00742B2E"/>
    <w:rsid w:val="00742B78"/>
    <w:rsid w:val="00742BED"/>
    <w:rsid w:val="00742D4F"/>
    <w:rsid w:val="00742D63"/>
    <w:rsid w:val="00742E0B"/>
    <w:rsid w:val="00742E56"/>
    <w:rsid w:val="00742EA8"/>
    <w:rsid w:val="00742FC3"/>
    <w:rsid w:val="00742FC4"/>
    <w:rsid w:val="00743021"/>
    <w:rsid w:val="007432EE"/>
    <w:rsid w:val="007433B7"/>
    <w:rsid w:val="007433CE"/>
    <w:rsid w:val="0074341E"/>
    <w:rsid w:val="007434AA"/>
    <w:rsid w:val="007434B8"/>
    <w:rsid w:val="00743708"/>
    <w:rsid w:val="007437F1"/>
    <w:rsid w:val="0074393D"/>
    <w:rsid w:val="00743961"/>
    <w:rsid w:val="007439DE"/>
    <w:rsid w:val="007439EA"/>
    <w:rsid w:val="00743ACF"/>
    <w:rsid w:val="00743B1B"/>
    <w:rsid w:val="00743BF1"/>
    <w:rsid w:val="00743D04"/>
    <w:rsid w:val="00743E13"/>
    <w:rsid w:val="00743F0D"/>
    <w:rsid w:val="00743FF9"/>
    <w:rsid w:val="0074405D"/>
    <w:rsid w:val="007440FF"/>
    <w:rsid w:val="00744484"/>
    <w:rsid w:val="00744520"/>
    <w:rsid w:val="007445B6"/>
    <w:rsid w:val="007445EB"/>
    <w:rsid w:val="00744720"/>
    <w:rsid w:val="007448BC"/>
    <w:rsid w:val="007448CA"/>
    <w:rsid w:val="00744967"/>
    <w:rsid w:val="00744B81"/>
    <w:rsid w:val="00744BAA"/>
    <w:rsid w:val="00744BB9"/>
    <w:rsid w:val="00744BF0"/>
    <w:rsid w:val="00744C30"/>
    <w:rsid w:val="00744CB9"/>
    <w:rsid w:val="00744EEB"/>
    <w:rsid w:val="00745078"/>
    <w:rsid w:val="0074534B"/>
    <w:rsid w:val="007453C1"/>
    <w:rsid w:val="007453C2"/>
    <w:rsid w:val="007453D9"/>
    <w:rsid w:val="0074543D"/>
    <w:rsid w:val="0074544E"/>
    <w:rsid w:val="00745550"/>
    <w:rsid w:val="0074562D"/>
    <w:rsid w:val="007456D5"/>
    <w:rsid w:val="00745714"/>
    <w:rsid w:val="0074578A"/>
    <w:rsid w:val="0074588C"/>
    <w:rsid w:val="00745927"/>
    <w:rsid w:val="007459DF"/>
    <w:rsid w:val="007459F7"/>
    <w:rsid w:val="00745A56"/>
    <w:rsid w:val="00745C6F"/>
    <w:rsid w:val="00745D7D"/>
    <w:rsid w:val="00746150"/>
    <w:rsid w:val="00746203"/>
    <w:rsid w:val="007463EE"/>
    <w:rsid w:val="00746488"/>
    <w:rsid w:val="00746502"/>
    <w:rsid w:val="00746535"/>
    <w:rsid w:val="0074656D"/>
    <w:rsid w:val="0074660C"/>
    <w:rsid w:val="00746614"/>
    <w:rsid w:val="00746645"/>
    <w:rsid w:val="00746656"/>
    <w:rsid w:val="0074676A"/>
    <w:rsid w:val="00746896"/>
    <w:rsid w:val="00746AE1"/>
    <w:rsid w:val="00746C05"/>
    <w:rsid w:val="00746CB3"/>
    <w:rsid w:val="00746D2F"/>
    <w:rsid w:val="00746DB8"/>
    <w:rsid w:val="00746DC9"/>
    <w:rsid w:val="00746DE8"/>
    <w:rsid w:val="00746E51"/>
    <w:rsid w:val="00746EB9"/>
    <w:rsid w:val="00747054"/>
    <w:rsid w:val="007470C3"/>
    <w:rsid w:val="007470E3"/>
    <w:rsid w:val="00747198"/>
    <w:rsid w:val="0074719C"/>
    <w:rsid w:val="007471C5"/>
    <w:rsid w:val="0074726E"/>
    <w:rsid w:val="007473EE"/>
    <w:rsid w:val="00747473"/>
    <w:rsid w:val="00747507"/>
    <w:rsid w:val="00747524"/>
    <w:rsid w:val="00747544"/>
    <w:rsid w:val="00747563"/>
    <w:rsid w:val="007475C1"/>
    <w:rsid w:val="00747603"/>
    <w:rsid w:val="007476C4"/>
    <w:rsid w:val="00747757"/>
    <w:rsid w:val="00747769"/>
    <w:rsid w:val="007477B6"/>
    <w:rsid w:val="0074781D"/>
    <w:rsid w:val="007478D3"/>
    <w:rsid w:val="0074798E"/>
    <w:rsid w:val="00747B33"/>
    <w:rsid w:val="00747C03"/>
    <w:rsid w:val="00747CB7"/>
    <w:rsid w:val="00747DF2"/>
    <w:rsid w:val="00747E35"/>
    <w:rsid w:val="00747E8D"/>
    <w:rsid w:val="00750048"/>
    <w:rsid w:val="00750214"/>
    <w:rsid w:val="00750228"/>
    <w:rsid w:val="00750230"/>
    <w:rsid w:val="00750284"/>
    <w:rsid w:val="007502E6"/>
    <w:rsid w:val="007504F0"/>
    <w:rsid w:val="00750535"/>
    <w:rsid w:val="007505E2"/>
    <w:rsid w:val="00750652"/>
    <w:rsid w:val="00750745"/>
    <w:rsid w:val="00750788"/>
    <w:rsid w:val="0075082D"/>
    <w:rsid w:val="007508FB"/>
    <w:rsid w:val="007508FF"/>
    <w:rsid w:val="00750960"/>
    <w:rsid w:val="007509FC"/>
    <w:rsid w:val="00750A2E"/>
    <w:rsid w:val="00750AD2"/>
    <w:rsid w:val="00750C12"/>
    <w:rsid w:val="00750E96"/>
    <w:rsid w:val="00750F24"/>
    <w:rsid w:val="00750F9F"/>
    <w:rsid w:val="00750FC2"/>
    <w:rsid w:val="007510C0"/>
    <w:rsid w:val="00751130"/>
    <w:rsid w:val="007511B6"/>
    <w:rsid w:val="00751464"/>
    <w:rsid w:val="0075149A"/>
    <w:rsid w:val="007514DC"/>
    <w:rsid w:val="007514F3"/>
    <w:rsid w:val="007515AC"/>
    <w:rsid w:val="007516D1"/>
    <w:rsid w:val="007517CD"/>
    <w:rsid w:val="007517FD"/>
    <w:rsid w:val="0075186E"/>
    <w:rsid w:val="00751939"/>
    <w:rsid w:val="007519B8"/>
    <w:rsid w:val="00751B46"/>
    <w:rsid w:val="00751C1A"/>
    <w:rsid w:val="00751C55"/>
    <w:rsid w:val="00751C6C"/>
    <w:rsid w:val="00751DCF"/>
    <w:rsid w:val="00751DF3"/>
    <w:rsid w:val="00751E62"/>
    <w:rsid w:val="00751E6E"/>
    <w:rsid w:val="00751EE0"/>
    <w:rsid w:val="00751F82"/>
    <w:rsid w:val="00751FA4"/>
    <w:rsid w:val="00751FBD"/>
    <w:rsid w:val="00751FD9"/>
    <w:rsid w:val="0075203E"/>
    <w:rsid w:val="00752086"/>
    <w:rsid w:val="00752278"/>
    <w:rsid w:val="00752311"/>
    <w:rsid w:val="00752480"/>
    <w:rsid w:val="00752481"/>
    <w:rsid w:val="00752606"/>
    <w:rsid w:val="007526C7"/>
    <w:rsid w:val="00752716"/>
    <w:rsid w:val="0075272C"/>
    <w:rsid w:val="00752801"/>
    <w:rsid w:val="00752874"/>
    <w:rsid w:val="007529A1"/>
    <w:rsid w:val="00752A4C"/>
    <w:rsid w:val="00752C88"/>
    <w:rsid w:val="00752CC4"/>
    <w:rsid w:val="00752E00"/>
    <w:rsid w:val="00752E06"/>
    <w:rsid w:val="00752E14"/>
    <w:rsid w:val="00752E31"/>
    <w:rsid w:val="00752E94"/>
    <w:rsid w:val="00752EB4"/>
    <w:rsid w:val="00752F94"/>
    <w:rsid w:val="00753103"/>
    <w:rsid w:val="0075317A"/>
    <w:rsid w:val="007532BB"/>
    <w:rsid w:val="00753347"/>
    <w:rsid w:val="0075342A"/>
    <w:rsid w:val="0075343E"/>
    <w:rsid w:val="0075343F"/>
    <w:rsid w:val="00753452"/>
    <w:rsid w:val="0075358C"/>
    <w:rsid w:val="007535D3"/>
    <w:rsid w:val="007535D5"/>
    <w:rsid w:val="00753621"/>
    <w:rsid w:val="00753791"/>
    <w:rsid w:val="007537E8"/>
    <w:rsid w:val="007538E6"/>
    <w:rsid w:val="007538FB"/>
    <w:rsid w:val="00753B84"/>
    <w:rsid w:val="00753BFA"/>
    <w:rsid w:val="00753C03"/>
    <w:rsid w:val="00753C6E"/>
    <w:rsid w:val="00753CBE"/>
    <w:rsid w:val="00753D52"/>
    <w:rsid w:val="00753F07"/>
    <w:rsid w:val="00753F2E"/>
    <w:rsid w:val="00753F8C"/>
    <w:rsid w:val="00754064"/>
    <w:rsid w:val="00754230"/>
    <w:rsid w:val="00754259"/>
    <w:rsid w:val="0075430D"/>
    <w:rsid w:val="00754350"/>
    <w:rsid w:val="00754368"/>
    <w:rsid w:val="007543E5"/>
    <w:rsid w:val="007543EE"/>
    <w:rsid w:val="007545B7"/>
    <w:rsid w:val="00754602"/>
    <w:rsid w:val="007549DA"/>
    <w:rsid w:val="00754A25"/>
    <w:rsid w:val="00754A49"/>
    <w:rsid w:val="00754A98"/>
    <w:rsid w:val="00754ABC"/>
    <w:rsid w:val="00754B84"/>
    <w:rsid w:val="00754BC8"/>
    <w:rsid w:val="00754E4A"/>
    <w:rsid w:val="00754EB1"/>
    <w:rsid w:val="00754EBB"/>
    <w:rsid w:val="00754F03"/>
    <w:rsid w:val="00754F75"/>
    <w:rsid w:val="00755023"/>
    <w:rsid w:val="00755042"/>
    <w:rsid w:val="007551A7"/>
    <w:rsid w:val="0075540F"/>
    <w:rsid w:val="00755512"/>
    <w:rsid w:val="0075552D"/>
    <w:rsid w:val="0075556F"/>
    <w:rsid w:val="0075558E"/>
    <w:rsid w:val="007555EC"/>
    <w:rsid w:val="0075565D"/>
    <w:rsid w:val="00755664"/>
    <w:rsid w:val="007556A4"/>
    <w:rsid w:val="00755705"/>
    <w:rsid w:val="007557C5"/>
    <w:rsid w:val="007557DD"/>
    <w:rsid w:val="007557FF"/>
    <w:rsid w:val="00755A2B"/>
    <w:rsid w:val="00755AF2"/>
    <w:rsid w:val="00755C2C"/>
    <w:rsid w:val="00755C97"/>
    <w:rsid w:val="00755D63"/>
    <w:rsid w:val="00755DE5"/>
    <w:rsid w:val="00755E4A"/>
    <w:rsid w:val="00755EA0"/>
    <w:rsid w:val="00755F52"/>
    <w:rsid w:val="00755FBF"/>
    <w:rsid w:val="00755FD2"/>
    <w:rsid w:val="00756016"/>
    <w:rsid w:val="0075603E"/>
    <w:rsid w:val="00756104"/>
    <w:rsid w:val="0075611B"/>
    <w:rsid w:val="00756219"/>
    <w:rsid w:val="0075621C"/>
    <w:rsid w:val="0075630E"/>
    <w:rsid w:val="00756312"/>
    <w:rsid w:val="0075634F"/>
    <w:rsid w:val="00756354"/>
    <w:rsid w:val="0075651F"/>
    <w:rsid w:val="00756672"/>
    <w:rsid w:val="00756797"/>
    <w:rsid w:val="00756A16"/>
    <w:rsid w:val="00756AF6"/>
    <w:rsid w:val="00756BBA"/>
    <w:rsid w:val="00756E6E"/>
    <w:rsid w:val="00756F26"/>
    <w:rsid w:val="00756FD1"/>
    <w:rsid w:val="00757162"/>
    <w:rsid w:val="007571B4"/>
    <w:rsid w:val="00757301"/>
    <w:rsid w:val="0075742D"/>
    <w:rsid w:val="00757600"/>
    <w:rsid w:val="0075761F"/>
    <w:rsid w:val="0075769B"/>
    <w:rsid w:val="007576DF"/>
    <w:rsid w:val="00757715"/>
    <w:rsid w:val="00757793"/>
    <w:rsid w:val="007577C8"/>
    <w:rsid w:val="007577D1"/>
    <w:rsid w:val="007577F3"/>
    <w:rsid w:val="00757A81"/>
    <w:rsid w:val="00757AD7"/>
    <w:rsid w:val="00757C06"/>
    <w:rsid w:val="00757DF4"/>
    <w:rsid w:val="00757DFD"/>
    <w:rsid w:val="00757E09"/>
    <w:rsid w:val="00757EA7"/>
    <w:rsid w:val="00757FA7"/>
    <w:rsid w:val="00757FB4"/>
    <w:rsid w:val="00757FBC"/>
    <w:rsid w:val="00760075"/>
    <w:rsid w:val="007601C1"/>
    <w:rsid w:val="007602C0"/>
    <w:rsid w:val="007602D8"/>
    <w:rsid w:val="00760318"/>
    <w:rsid w:val="00760388"/>
    <w:rsid w:val="007603BC"/>
    <w:rsid w:val="00760403"/>
    <w:rsid w:val="0076042A"/>
    <w:rsid w:val="007604B2"/>
    <w:rsid w:val="0076068C"/>
    <w:rsid w:val="00760A51"/>
    <w:rsid w:val="00760A67"/>
    <w:rsid w:val="00760AB3"/>
    <w:rsid w:val="00760AEE"/>
    <w:rsid w:val="00760B2F"/>
    <w:rsid w:val="00760BD3"/>
    <w:rsid w:val="00760BE6"/>
    <w:rsid w:val="00760D66"/>
    <w:rsid w:val="00760DCE"/>
    <w:rsid w:val="00760E1A"/>
    <w:rsid w:val="00760F5B"/>
    <w:rsid w:val="00760F9E"/>
    <w:rsid w:val="0076122C"/>
    <w:rsid w:val="0076131C"/>
    <w:rsid w:val="00761378"/>
    <w:rsid w:val="00761461"/>
    <w:rsid w:val="00761494"/>
    <w:rsid w:val="007614CC"/>
    <w:rsid w:val="007614E5"/>
    <w:rsid w:val="0076166E"/>
    <w:rsid w:val="00761755"/>
    <w:rsid w:val="00761836"/>
    <w:rsid w:val="007618FB"/>
    <w:rsid w:val="00761950"/>
    <w:rsid w:val="00761978"/>
    <w:rsid w:val="0076199E"/>
    <w:rsid w:val="00761A17"/>
    <w:rsid w:val="00761A38"/>
    <w:rsid w:val="00761BE3"/>
    <w:rsid w:val="00761BE4"/>
    <w:rsid w:val="00761C30"/>
    <w:rsid w:val="00761CC0"/>
    <w:rsid w:val="00761E2D"/>
    <w:rsid w:val="00761E66"/>
    <w:rsid w:val="00761EB2"/>
    <w:rsid w:val="00761F82"/>
    <w:rsid w:val="00761F83"/>
    <w:rsid w:val="0076208C"/>
    <w:rsid w:val="007620C9"/>
    <w:rsid w:val="007620F4"/>
    <w:rsid w:val="007622F5"/>
    <w:rsid w:val="0076240E"/>
    <w:rsid w:val="00762439"/>
    <w:rsid w:val="00762551"/>
    <w:rsid w:val="0076260A"/>
    <w:rsid w:val="0076287B"/>
    <w:rsid w:val="00762984"/>
    <w:rsid w:val="00762A2E"/>
    <w:rsid w:val="00762ABB"/>
    <w:rsid w:val="00762AE8"/>
    <w:rsid w:val="00762B4D"/>
    <w:rsid w:val="00762D1B"/>
    <w:rsid w:val="00762DA6"/>
    <w:rsid w:val="0076330D"/>
    <w:rsid w:val="0076337B"/>
    <w:rsid w:val="00763400"/>
    <w:rsid w:val="00763452"/>
    <w:rsid w:val="0076346D"/>
    <w:rsid w:val="00763485"/>
    <w:rsid w:val="007635C5"/>
    <w:rsid w:val="007637E0"/>
    <w:rsid w:val="00763919"/>
    <w:rsid w:val="00763983"/>
    <w:rsid w:val="00763B7F"/>
    <w:rsid w:val="00763B80"/>
    <w:rsid w:val="00763CB3"/>
    <w:rsid w:val="00763F1F"/>
    <w:rsid w:val="00763FE9"/>
    <w:rsid w:val="007641A3"/>
    <w:rsid w:val="00764221"/>
    <w:rsid w:val="00764333"/>
    <w:rsid w:val="007644BC"/>
    <w:rsid w:val="007645BD"/>
    <w:rsid w:val="00764675"/>
    <w:rsid w:val="00764679"/>
    <w:rsid w:val="00764787"/>
    <w:rsid w:val="00764857"/>
    <w:rsid w:val="0076497B"/>
    <w:rsid w:val="0076497F"/>
    <w:rsid w:val="00764A2D"/>
    <w:rsid w:val="00764CEC"/>
    <w:rsid w:val="00764E31"/>
    <w:rsid w:val="00764E8A"/>
    <w:rsid w:val="00764F13"/>
    <w:rsid w:val="00765151"/>
    <w:rsid w:val="0076517C"/>
    <w:rsid w:val="00765184"/>
    <w:rsid w:val="007651C3"/>
    <w:rsid w:val="00765230"/>
    <w:rsid w:val="007654EB"/>
    <w:rsid w:val="007655DB"/>
    <w:rsid w:val="007655E2"/>
    <w:rsid w:val="007655ED"/>
    <w:rsid w:val="00765660"/>
    <w:rsid w:val="007656DE"/>
    <w:rsid w:val="0076574B"/>
    <w:rsid w:val="00765889"/>
    <w:rsid w:val="00765A17"/>
    <w:rsid w:val="00765AB0"/>
    <w:rsid w:val="00765B11"/>
    <w:rsid w:val="00765BC5"/>
    <w:rsid w:val="00765BF1"/>
    <w:rsid w:val="00765CBF"/>
    <w:rsid w:val="00765D11"/>
    <w:rsid w:val="00765DE5"/>
    <w:rsid w:val="00765E03"/>
    <w:rsid w:val="00765E55"/>
    <w:rsid w:val="00765E6B"/>
    <w:rsid w:val="00765EE0"/>
    <w:rsid w:val="00765F2E"/>
    <w:rsid w:val="007660BF"/>
    <w:rsid w:val="007660C7"/>
    <w:rsid w:val="007662A0"/>
    <w:rsid w:val="007662CA"/>
    <w:rsid w:val="0076664F"/>
    <w:rsid w:val="0076669B"/>
    <w:rsid w:val="007667A9"/>
    <w:rsid w:val="007667B4"/>
    <w:rsid w:val="00766883"/>
    <w:rsid w:val="0076698C"/>
    <w:rsid w:val="007669F7"/>
    <w:rsid w:val="00766A3E"/>
    <w:rsid w:val="00766A56"/>
    <w:rsid w:val="00766A7B"/>
    <w:rsid w:val="00766CA7"/>
    <w:rsid w:val="00766DD6"/>
    <w:rsid w:val="00766DF4"/>
    <w:rsid w:val="00766EE0"/>
    <w:rsid w:val="00766F93"/>
    <w:rsid w:val="00766FDA"/>
    <w:rsid w:val="0076700B"/>
    <w:rsid w:val="00767036"/>
    <w:rsid w:val="00767063"/>
    <w:rsid w:val="007670A4"/>
    <w:rsid w:val="00767223"/>
    <w:rsid w:val="007672AC"/>
    <w:rsid w:val="007672B1"/>
    <w:rsid w:val="00767331"/>
    <w:rsid w:val="007673C8"/>
    <w:rsid w:val="007673CD"/>
    <w:rsid w:val="00767524"/>
    <w:rsid w:val="00767612"/>
    <w:rsid w:val="00767694"/>
    <w:rsid w:val="0076771F"/>
    <w:rsid w:val="00767763"/>
    <w:rsid w:val="00767796"/>
    <w:rsid w:val="007677A1"/>
    <w:rsid w:val="00767820"/>
    <w:rsid w:val="00767860"/>
    <w:rsid w:val="00767875"/>
    <w:rsid w:val="0076787F"/>
    <w:rsid w:val="00767A47"/>
    <w:rsid w:val="00767B55"/>
    <w:rsid w:val="00767BBD"/>
    <w:rsid w:val="00767D99"/>
    <w:rsid w:val="00767DFC"/>
    <w:rsid w:val="00767E24"/>
    <w:rsid w:val="00767E70"/>
    <w:rsid w:val="00767FDA"/>
    <w:rsid w:val="007700F2"/>
    <w:rsid w:val="007700F3"/>
    <w:rsid w:val="007701D2"/>
    <w:rsid w:val="007702AF"/>
    <w:rsid w:val="0077037E"/>
    <w:rsid w:val="00770399"/>
    <w:rsid w:val="00770437"/>
    <w:rsid w:val="00770856"/>
    <w:rsid w:val="007708EA"/>
    <w:rsid w:val="007709BA"/>
    <w:rsid w:val="00770A1E"/>
    <w:rsid w:val="00770B79"/>
    <w:rsid w:val="00770B8C"/>
    <w:rsid w:val="00770C65"/>
    <w:rsid w:val="00770EE2"/>
    <w:rsid w:val="00770F00"/>
    <w:rsid w:val="00770F8E"/>
    <w:rsid w:val="00770FE5"/>
    <w:rsid w:val="00770FF7"/>
    <w:rsid w:val="00771026"/>
    <w:rsid w:val="007710BD"/>
    <w:rsid w:val="007712D3"/>
    <w:rsid w:val="007713C0"/>
    <w:rsid w:val="00771434"/>
    <w:rsid w:val="0077158D"/>
    <w:rsid w:val="00771599"/>
    <w:rsid w:val="00771CB0"/>
    <w:rsid w:val="00771D20"/>
    <w:rsid w:val="00771D2F"/>
    <w:rsid w:val="00771ED6"/>
    <w:rsid w:val="00771F41"/>
    <w:rsid w:val="00772083"/>
    <w:rsid w:val="00772096"/>
    <w:rsid w:val="0077209E"/>
    <w:rsid w:val="007720EF"/>
    <w:rsid w:val="007720F5"/>
    <w:rsid w:val="00772131"/>
    <w:rsid w:val="0077231E"/>
    <w:rsid w:val="0077234A"/>
    <w:rsid w:val="007724F9"/>
    <w:rsid w:val="00772542"/>
    <w:rsid w:val="007726A3"/>
    <w:rsid w:val="00772894"/>
    <w:rsid w:val="00772AAE"/>
    <w:rsid w:val="00772B23"/>
    <w:rsid w:val="00772B27"/>
    <w:rsid w:val="00772C72"/>
    <w:rsid w:val="00772CEE"/>
    <w:rsid w:val="00772D9B"/>
    <w:rsid w:val="00772DF7"/>
    <w:rsid w:val="00772E51"/>
    <w:rsid w:val="00772EB1"/>
    <w:rsid w:val="00772F32"/>
    <w:rsid w:val="00772F68"/>
    <w:rsid w:val="007732ED"/>
    <w:rsid w:val="0077336C"/>
    <w:rsid w:val="00773381"/>
    <w:rsid w:val="00773469"/>
    <w:rsid w:val="00773589"/>
    <w:rsid w:val="007737A5"/>
    <w:rsid w:val="007739C6"/>
    <w:rsid w:val="007739C8"/>
    <w:rsid w:val="00773A12"/>
    <w:rsid w:val="00773AAD"/>
    <w:rsid w:val="00773B3A"/>
    <w:rsid w:val="00773C0F"/>
    <w:rsid w:val="00773C84"/>
    <w:rsid w:val="00773CE7"/>
    <w:rsid w:val="00773D3C"/>
    <w:rsid w:val="00773E61"/>
    <w:rsid w:val="00773F03"/>
    <w:rsid w:val="00773F93"/>
    <w:rsid w:val="00774033"/>
    <w:rsid w:val="0077420C"/>
    <w:rsid w:val="0077423D"/>
    <w:rsid w:val="00774249"/>
    <w:rsid w:val="007742A8"/>
    <w:rsid w:val="007743AB"/>
    <w:rsid w:val="00774407"/>
    <w:rsid w:val="00774538"/>
    <w:rsid w:val="00774607"/>
    <w:rsid w:val="007747B7"/>
    <w:rsid w:val="00774840"/>
    <w:rsid w:val="00774843"/>
    <w:rsid w:val="00774A36"/>
    <w:rsid w:val="00774B5D"/>
    <w:rsid w:val="00774B86"/>
    <w:rsid w:val="00774BF6"/>
    <w:rsid w:val="00774C58"/>
    <w:rsid w:val="00774D07"/>
    <w:rsid w:val="00774D33"/>
    <w:rsid w:val="00774D52"/>
    <w:rsid w:val="00774E74"/>
    <w:rsid w:val="00774E78"/>
    <w:rsid w:val="00774E7E"/>
    <w:rsid w:val="00774EA1"/>
    <w:rsid w:val="00774EE5"/>
    <w:rsid w:val="00774FCE"/>
    <w:rsid w:val="00775002"/>
    <w:rsid w:val="00775064"/>
    <w:rsid w:val="00775261"/>
    <w:rsid w:val="00775349"/>
    <w:rsid w:val="007753E7"/>
    <w:rsid w:val="00775492"/>
    <w:rsid w:val="00775548"/>
    <w:rsid w:val="00775642"/>
    <w:rsid w:val="00775863"/>
    <w:rsid w:val="00775A10"/>
    <w:rsid w:val="00775C76"/>
    <w:rsid w:val="00775C9C"/>
    <w:rsid w:val="00775E45"/>
    <w:rsid w:val="00775E5C"/>
    <w:rsid w:val="00775F02"/>
    <w:rsid w:val="00775F04"/>
    <w:rsid w:val="00776137"/>
    <w:rsid w:val="007762A5"/>
    <w:rsid w:val="00776300"/>
    <w:rsid w:val="007763C3"/>
    <w:rsid w:val="00776424"/>
    <w:rsid w:val="00776571"/>
    <w:rsid w:val="0077683A"/>
    <w:rsid w:val="00776851"/>
    <w:rsid w:val="00776A73"/>
    <w:rsid w:val="00776B68"/>
    <w:rsid w:val="00776BC0"/>
    <w:rsid w:val="00776D03"/>
    <w:rsid w:val="00776F51"/>
    <w:rsid w:val="00777112"/>
    <w:rsid w:val="00777162"/>
    <w:rsid w:val="0077723E"/>
    <w:rsid w:val="0077725D"/>
    <w:rsid w:val="00777277"/>
    <w:rsid w:val="007772D4"/>
    <w:rsid w:val="00777304"/>
    <w:rsid w:val="00777409"/>
    <w:rsid w:val="00777558"/>
    <w:rsid w:val="007775AF"/>
    <w:rsid w:val="007775B5"/>
    <w:rsid w:val="0077767C"/>
    <w:rsid w:val="007776B2"/>
    <w:rsid w:val="0077771F"/>
    <w:rsid w:val="0077773E"/>
    <w:rsid w:val="00777885"/>
    <w:rsid w:val="00777986"/>
    <w:rsid w:val="0077798C"/>
    <w:rsid w:val="00777A12"/>
    <w:rsid w:val="00777C02"/>
    <w:rsid w:val="00777CC5"/>
    <w:rsid w:val="00777CEF"/>
    <w:rsid w:val="00777D5A"/>
    <w:rsid w:val="00777DF3"/>
    <w:rsid w:val="00777E65"/>
    <w:rsid w:val="00777EE8"/>
    <w:rsid w:val="00777F00"/>
    <w:rsid w:val="00777F6B"/>
    <w:rsid w:val="007801B6"/>
    <w:rsid w:val="007802D6"/>
    <w:rsid w:val="007802D8"/>
    <w:rsid w:val="007803A6"/>
    <w:rsid w:val="0078058F"/>
    <w:rsid w:val="007805F0"/>
    <w:rsid w:val="0078060F"/>
    <w:rsid w:val="007807E7"/>
    <w:rsid w:val="007808DE"/>
    <w:rsid w:val="00780969"/>
    <w:rsid w:val="007809F7"/>
    <w:rsid w:val="00780A02"/>
    <w:rsid w:val="00780AC7"/>
    <w:rsid w:val="00780ADA"/>
    <w:rsid w:val="00780B0C"/>
    <w:rsid w:val="00780B4D"/>
    <w:rsid w:val="00780BF1"/>
    <w:rsid w:val="00780C05"/>
    <w:rsid w:val="00780C28"/>
    <w:rsid w:val="00780C2F"/>
    <w:rsid w:val="00780C6A"/>
    <w:rsid w:val="00780DDA"/>
    <w:rsid w:val="00780DED"/>
    <w:rsid w:val="00780E70"/>
    <w:rsid w:val="00780E8A"/>
    <w:rsid w:val="0078111B"/>
    <w:rsid w:val="00781227"/>
    <w:rsid w:val="00781318"/>
    <w:rsid w:val="007813A0"/>
    <w:rsid w:val="007813C2"/>
    <w:rsid w:val="00781439"/>
    <w:rsid w:val="0078170F"/>
    <w:rsid w:val="0078179C"/>
    <w:rsid w:val="0078181F"/>
    <w:rsid w:val="0078187B"/>
    <w:rsid w:val="00781C06"/>
    <w:rsid w:val="00781C35"/>
    <w:rsid w:val="00781CC3"/>
    <w:rsid w:val="00781D11"/>
    <w:rsid w:val="00781E19"/>
    <w:rsid w:val="00781E41"/>
    <w:rsid w:val="00781E95"/>
    <w:rsid w:val="00781EA8"/>
    <w:rsid w:val="00781F3B"/>
    <w:rsid w:val="00781F71"/>
    <w:rsid w:val="007820D8"/>
    <w:rsid w:val="007822F4"/>
    <w:rsid w:val="0078239C"/>
    <w:rsid w:val="007823EE"/>
    <w:rsid w:val="0078261E"/>
    <w:rsid w:val="007826B8"/>
    <w:rsid w:val="0078289F"/>
    <w:rsid w:val="0078292C"/>
    <w:rsid w:val="0078292D"/>
    <w:rsid w:val="00782A7D"/>
    <w:rsid w:val="00782B08"/>
    <w:rsid w:val="00782C07"/>
    <w:rsid w:val="00782DFA"/>
    <w:rsid w:val="00782E55"/>
    <w:rsid w:val="00782FCE"/>
    <w:rsid w:val="0078301F"/>
    <w:rsid w:val="0078307F"/>
    <w:rsid w:val="00783106"/>
    <w:rsid w:val="00783195"/>
    <w:rsid w:val="007831CF"/>
    <w:rsid w:val="007832C0"/>
    <w:rsid w:val="007832D6"/>
    <w:rsid w:val="0078336F"/>
    <w:rsid w:val="00783504"/>
    <w:rsid w:val="0078362C"/>
    <w:rsid w:val="0078366E"/>
    <w:rsid w:val="0078375D"/>
    <w:rsid w:val="00783808"/>
    <w:rsid w:val="00783860"/>
    <w:rsid w:val="007839ED"/>
    <w:rsid w:val="00783BD7"/>
    <w:rsid w:val="00783CB8"/>
    <w:rsid w:val="00783D7B"/>
    <w:rsid w:val="00783DEC"/>
    <w:rsid w:val="00783E53"/>
    <w:rsid w:val="00783F32"/>
    <w:rsid w:val="0078400E"/>
    <w:rsid w:val="00784173"/>
    <w:rsid w:val="00784346"/>
    <w:rsid w:val="00784560"/>
    <w:rsid w:val="00784568"/>
    <w:rsid w:val="007845E8"/>
    <w:rsid w:val="00784929"/>
    <w:rsid w:val="0078492A"/>
    <w:rsid w:val="00784AC8"/>
    <w:rsid w:val="00784C7D"/>
    <w:rsid w:val="00784C80"/>
    <w:rsid w:val="00784CD4"/>
    <w:rsid w:val="00784DEB"/>
    <w:rsid w:val="00784E56"/>
    <w:rsid w:val="00784EE9"/>
    <w:rsid w:val="00784FC7"/>
    <w:rsid w:val="00785060"/>
    <w:rsid w:val="007850F4"/>
    <w:rsid w:val="00785146"/>
    <w:rsid w:val="0078519A"/>
    <w:rsid w:val="0078520E"/>
    <w:rsid w:val="007852C2"/>
    <w:rsid w:val="00785499"/>
    <w:rsid w:val="007854A5"/>
    <w:rsid w:val="0078555A"/>
    <w:rsid w:val="0078555E"/>
    <w:rsid w:val="007855A3"/>
    <w:rsid w:val="007855E7"/>
    <w:rsid w:val="00785752"/>
    <w:rsid w:val="00785827"/>
    <w:rsid w:val="00785972"/>
    <w:rsid w:val="0078597C"/>
    <w:rsid w:val="007859D3"/>
    <w:rsid w:val="00785B09"/>
    <w:rsid w:val="00785B49"/>
    <w:rsid w:val="00785BD5"/>
    <w:rsid w:val="00785C86"/>
    <w:rsid w:val="00785C9D"/>
    <w:rsid w:val="00785D1E"/>
    <w:rsid w:val="00785D68"/>
    <w:rsid w:val="00785D70"/>
    <w:rsid w:val="00785DBD"/>
    <w:rsid w:val="00785E63"/>
    <w:rsid w:val="00785EAD"/>
    <w:rsid w:val="00785FB0"/>
    <w:rsid w:val="00785FC0"/>
    <w:rsid w:val="007860EC"/>
    <w:rsid w:val="0078622A"/>
    <w:rsid w:val="00786283"/>
    <w:rsid w:val="007862C3"/>
    <w:rsid w:val="00786351"/>
    <w:rsid w:val="007864C7"/>
    <w:rsid w:val="00786520"/>
    <w:rsid w:val="00786541"/>
    <w:rsid w:val="007865BB"/>
    <w:rsid w:val="0078660A"/>
    <w:rsid w:val="0078665A"/>
    <w:rsid w:val="007868B7"/>
    <w:rsid w:val="00786910"/>
    <w:rsid w:val="00786B40"/>
    <w:rsid w:val="00786B90"/>
    <w:rsid w:val="00786BBC"/>
    <w:rsid w:val="00786C8D"/>
    <w:rsid w:val="00786D29"/>
    <w:rsid w:val="00786F3D"/>
    <w:rsid w:val="00786F5F"/>
    <w:rsid w:val="00786FB3"/>
    <w:rsid w:val="00787079"/>
    <w:rsid w:val="0078712A"/>
    <w:rsid w:val="00787138"/>
    <w:rsid w:val="0078728B"/>
    <w:rsid w:val="007872F2"/>
    <w:rsid w:val="007872F8"/>
    <w:rsid w:val="007875B2"/>
    <w:rsid w:val="007875F4"/>
    <w:rsid w:val="007876C1"/>
    <w:rsid w:val="007876EF"/>
    <w:rsid w:val="00787892"/>
    <w:rsid w:val="00787952"/>
    <w:rsid w:val="00787982"/>
    <w:rsid w:val="00787B5C"/>
    <w:rsid w:val="00787BD0"/>
    <w:rsid w:val="00787C3D"/>
    <w:rsid w:val="00787CE6"/>
    <w:rsid w:val="00787E53"/>
    <w:rsid w:val="00787E6C"/>
    <w:rsid w:val="00787E8F"/>
    <w:rsid w:val="00787F36"/>
    <w:rsid w:val="00787F82"/>
    <w:rsid w:val="00787F83"/>
    <w:rsid w:val="00790045"/>
    <w:rsid w:val="0079029E"/>
    <w:rsid w:val="00790466"/>
    <w:rsid w:val="00790560"/>
    <w:rsid w:val="007905DA"/>
    <w:rsid w:val="0079068E"/>
    <w:rsid w:val="0079076D"/>
    <w:rsid w:val="00790837"/>
    <w:rsid w:val="00790888"/>
    <w:rsid w:val="007908D3"/>
    <w:rsid w:val="007908E5"/>
    <w:rsid w:val="00790905"/>
    <w:rsid w:val="00790AC9"/>
    <w:rsid w:val="00790B77"/>
    <w:rsid w:val="00790BD7"/>
    <w:rsid w:val="00790C1F"/>
    <w:rsid w:val="00790C38"/>
    <w:rsid w:val="00790C69"/>
    <w:rsid w:val="00790C9D"/>
    <w:rsid w:val="00790CD4"/>
    <w:rsid w:val="00790D12"/>
    <w:rsid w:val="00790E56"/>
    <w:rsid w:val="00790FDD"/>
    <w:rsid w:val="007910CE"/>
    <w:rsid w:val="0079114F"/>
    <w:rsid w:val="00791151"/>
    <w:rsid w:val="007912CE"/>
    <w:rsid w:val="007912E1"/>
    <w:rsid w:val="0079136C"/>
    <w:rsid w:val="0079138A"/>
    <w:rsid w:val="00791393"/>
    <w:rsid w:val="0079139D"/>
    <w:rsid w:val="00791520"/>
    <w:rsid w:val="00791603"/>
    <w:rsid w:val="007916E6"/>
    <w:rsid w:val="0079186D"/>
    <w:rsid w:val="007918D4"/>
    <w:rsid w:val="00791903"/>
    <w:rsid w:val="00791920"/>
    <w:rsid w:val="00791970"/>
    <w:rsid w:val="0079198B"/>
    <w:rsid w:val="007919AA"/>
    <w:rsid w:val="00791A0F"/>
    <w:rsid w:val="00791C9C"/>
    <w:rsid w:val="00791CAA"/>
    <w:rsid w:val="00791CFC"/>
    <w:rsid w:val="00791D5E"/>
    <w:rsid w:val="00791D64"/>
    <w:rsid w:val="00791D73"/>
    <w:rsid w:val="00791D89"/>
    <w:rsid w:val="00791E25"/>
    <w:rsid w:val="00791F70"/>
    <w:rsid w:val="007920DB"/>
    <w:rsid w:val="00792112"/>
    <w:rsid w:val="00792193"/>
    <w:rsid w:val="007921F3"/>
    <w:rsid w:val="00792246"/>
    <w:rsid w:val="007923B7"/>
    <w:rsid w:val="007923BE"/>
    <w:rsid w:val="0079264E"/>
    <w:rsid w:val="007926F9"/>
    <w:rsid w:val="00792A0E"/>
    <w:rsid w:val="00792A42"/>
    <w:rsid w:val="00792B10"/>
    <w:rsid w:val="00792C76"/>
    <w:rsid w:val="00792D27"/>
    <w:rsid w:val="00792D32"/>
    <w:rsid w:val="00792D9E"/>
    <w:rsid w:val="00792ED7"/>
    <w:rsid w:val="00792F24"/>
    <w:rsid w:val="00792FC8"/>
    <w:rsid w:val="00793041"/>
    <w:rsid w:val="00793079"/>
    <w:rsid w:val="007931DA"/>
    <w:rsid w:val="0079325F"/>
    <w:rsid w:val="007933BC"/>
    <w:rsid w:val="00793465"/>
    <w:rsid w:val="007934BB"/>
    <w:rsid w:val="00793564"/>
    <w:rsid w:val="007936D5"/>
    <w:rsid w:val="00793711"/>
    <w:rsid w:val="0079395A"/>
    <w:rsid w:val="007939D9"/>
    <w:rsid w:val="00793A1A"/>
    <w:rsid w:val="00793A4E"/>
    <w:rsid w:val="00793BFA"/>
    <w:rsid w:val="00793DD6"/>
    <w:rsid w:val="00793E02"/>
    <w:rsid w:val="00793E11"/>
    <w:rsid w:val="00793F1D"/>
    <w:rsid w:val="00793FB3"/>
    <w:rsid w:val="0079400A"/>
    <w:rsid w:val="0079403B"/>
    <w:rsid w:val="00794058"/>
    <w:rsid w:val="007941CC"/>
    <w:rsid w:val="0079420B"/>
    <w:rsid w:val="007942E4"/>
    <w:rsid w:val="007942FA"/>
    <w:rsid w:val="007943AA"/>
    <w:rsid w:val="00794417"/>
    <w:rsid w:val="00794424"/>
    <w:rsid w:val="00794431"/>
    <w:rsid w:val="0079447F"/>
    <w:rsid w:val="0079458F"/>
    <w:rsid w:val="00794948"/>
    <w:rsid w:val="007949D4"/>
    <w:rsid w:val="00794CFA"/>
    <w:rsid w:val="00794EEB"/>
    <w:rsid w:val="00794F53"/>
    <w:rsid w:val="007952F7"/>
    <w:rsid w:val="00795408"/>
    <w:rsid w:val="00795627"/>
    <w:rsid w:val="0079569C"/>
    <w:rsid w:val="00795718"/>
    <w:rsid w:val="0079592C"/>
    <w:rsid w:val="00795953"/>
    <w:rsid w:val="00795AFB"/>
    <w:rsid w:val="00795B32"/>
    <w:rsid w:val="00795C38"/>
    <w:rsid w:val="00795C6B"/>
    <w:rsid w:val="00795D83"/>
    <w:rsid w:val="00795DB6"/>
    <w:rsid w:val="00795FA9"/>
    <w:rsid w:val="00795FAF"/>
    <w:rsid w:val="00795FE9"/>
    <w:rsid w:val="00795FFF"/>
    <w:rsid w:val="0079607A"/>
    <w:rsid w:val="007960FE"/>
    <w:rsid w:val="00796126"/>
    <w:rsid w:val="0079613D"/>
    <w:rsid w:val="00796188"/>
    <w:rsid w:val="007961C9"/>
    <w:rsid w:val="00796267"/>
    <w:rsid w:val="007962B6"/>
    <w:rsid w:val="007962BF"/>
    <w:rsid w:val="0079630E"/>
    <w:rsid w:val="00796443"/>
    <w:rsid w:val="007964B8"/>
    <w:rsid w:val="00796544"/>
    <w:rsid w:val="00796557"/>
    <w:rsid w:val="00796575"/>
    <w:rsid w:val="0079671D"/>
    <w:rsid w:val="0079671F"/>
    <w:rsid w:val="00796893"/>
    <w:rsid w:val="00796928"/>
    <w:rsid w:val="007969A1"/>
    <w:rsid w:val="00796D52"/>
    <w:rsid w:val="00796D5D"/>
    <w:rsid w:val="00796EBC"/>
    <w:rsid w:val="00796EDB"/>
    <w:rsid w:val="00797003"/>
    <w:rsid w:val="0079702F"/>
    <w:rsid w:val="00797255"/>
    <w:rsid w:val="0079734B"/>
    <w:rsid w:val="00797386"/>
    <w:rsid w:val="00797412"/>
    <w:rsid w:val="00797417"/>
    <w:rsid w:val="00797443"/>
    <w:rsid w:val="00797517"/>
    <w:rsid w:val="00797660"/>
    <w:rsid w:val="00797763"/>
    <w:rsid w:val="0079776E"/>
    <w:rsid w:val="00797867"/>
    <w:rsid w:val="007978CA"/>
    <w:rsid w:val="00797975"/>
    <w:rsid w:val="00797999"/>
    <w:rsid w:val="007979F2"/>
    <w:rsid w:val="00797C85"/>
    <w:rsid w:val="00797E69"/>
    <w:rsid w:val="00797EDA"/>
    <w:rsid w:val="00797F87"/>
    <w:rsid w:val="00797FD2"/>
    <w:rsid w:val="007A0003"/>
    <w:rsid w:val="007A00C2"/>
    <w:rsid w:val="007A030B"/>
    <w:rsid w:val="007A0324"/>
    <w:rsid w:val="007A0352"/>
    <w:rsid w:val="007A037D"/>
    <w:rsid w:val="007A038F"/>
    <w:rsid w:val="007A03A7"/>
    <w:rsid w:val="007A03B2"/>
    <w:rsid w:val="007A0414"/>
    <w:rsid w:val="007A063D"/>
    <w:rsid w:val="007A07B0"/>
    <w:rsid w:val="007A07C4"/>
    <w:rsid w:val="007A080B"/>
    <w:rsid w:val="007A089A"/>
    <w:rsid w:val="007A08C3"/>
    <w:rsid w:val="007A09A4"/>
    <w:rsid w:val="007A09A9"/>
    <w:rsid w:val="007A0A51"/>
    <w:rsid w:val="007A0BD4"/>
    <w:rsid w:val="007A0BED"/>
    <w:rsid w:val="007A0D0B"/>
    <w:rsid w:val="007A0D3D"/>
    <w:rsid w:val="007A0D86"/>
    <w:rsid w:val="007A0E5E"/>
    <w:rsid w:val="007A0EAE"/>
    <w:rsid w:val="007A0EC8"/>
    <w:rsid w:val="007A0FA7"/>
    <w:rsid w:val="007A104F"/>
    <w:rsid w:val="007A1093"/>
    <w:rsid w:val="007A10E7"/>
    <w:rsid w:val="007A11FC"/>
    <w:rsid w:val="007A129B"/>
    <w:rsid w:val="007A1326"/>
    <w:rsid w:val="007A1449"/>
    <w:rsid w:val="007A14FE"/>
    <w:rsid w:val="007A1751"/>
    <w:rsid w:val="007A17B5"/>
    <w:rsid w:val="007A1884"/>
    <w:rsid w:val="007A1981"/>
    <w:rsid w:val="007A1989"/>
    <w:rsid w:val="007A1ABA"/>
    <w:rsid w:val="007A1ADD"/>
    <w:rsid w:val="007A1BB6"/>
    <w:rsid w:val="007A1BC8"/>
    <w:rsid w:val="007A1C05"/>
    <w:rsid w:val="007A1D54"/>
    <w:rsid w:val="007A1D6F"/>
    <w:rsid w:val="007A1DFC"/>
    <w:rsid w:val="007A1E7D"/>
    <w:rsid w:val="007A1ED5"/>
    <w:rsid w:val="007A1EF9"/>
    <w:rsid w:val="007A1F64"/>
    <w:rsid w:val="007A2001"/>
    <w:rsid w:val="007A21C0"/>
    <w:rsid w:val="007A2270"/>
    <w:rsid w:val="007A24E5"/>
    <w:rsid w:val="007A257A"/>
    <w:rsid w:val="007A25EC"/>
    <w:rsid w:val="007A2867"/>
    <w:rsid w:val="007A289E"/>
    <w:rsid w:val="007A2BD3"/>
    <w:rsid w:val="007A2CAA"/>
    <w:rsid w:val="007A2E4A"/>
    <w:rsid w:val="007A2E97"/>
    <w:rsid w:val="007A301B"/>
    <w:rsid w:val="007A3033"/>
    <w:rsid w:val="007A30D3"/>
    <w:rsid w:val="007A3161"/>
    <w:rsid w:val="007A3280"/>
    <w:rsid w:val="007A3474"/>
    <w:rsid w:val="007A3606"/>
    <w:rsid w:val="007A363D"/>
    <w:rsid w:val="007A379B"/>
    <w:rsid w:val="007A38A4"/>
    <w:rsid w:val="007A38FB"/>
    <w:rsid w:val="007A3904"/>
    <w:rsid w:val="007A3A5C"/>
    <w:rsid w:val="007A3C86"/>
    <w:rsid w:val="007A3DD8"/>
    <w:rsid w:val="007A3E09"/>
    <w:rsid w:val="007A3E7E"/>
    <w:rsid w:val="007A3FBE"/>
    <w:rsid w:val="007A41F6"/>
    <w:rsid w:val="007A4320"/>
    <w:rsid w:val="007A440A"/>
    <w:rsid w:val="007A445B"/>
    <w:rsid w:val="007A4474"/>
    <w:rsid w:val="007A44F8"/>
    <w:rsid w:val="007A45F2"/>
    <w:rsid w:val="007A4677"/>
    <w:rsid w:val="007A468A"/>
    <w:rsid w:val="007A4835"/>
    <w:rsid w:val="007A48B3"/>
    <w:rsid w:val="007A49DA"/>
    <w:rsid w:val="007A4A70"/>
    <w:rsid w:val="007A4AB9"/>
    <w:rsid w:val="007A4BF7"/>
    <w:rsid w:val="007A4C37"/>
    <w:rsid w:val="007A4C72"/>
    <w:rsid w:val="007A4D78"/>
    <w:rsid w:val="007A5145"/>
    <w:rsid w:val="007A51C1"/>
    <w:rsid w:val="007A5211"/>
    <w:rsid w:val="007A52C1"/>
    <w:rsid w:val="007A53C9"/>
    <w:rsid w:val="007A5427"/>
    <w:rsid w:val="007A54A0"/>
    <w:rsid w:val="007A567B"/>
    <w:rsid w:val="007A5734"/>
    <w:rsid w:val="007A5766"/>
    <w:rsid w:val="007A585B"/>
    <w:rsid w:val="007A589B"/>
    <w:rsid w:val="007A58BB"/>
    <w:rsid w:val="007A5968"/>
    <w:rsid w:val="007A59E8"/>
    <w:rsid w:val="007A5BE1"/>
    <w:rsid w:val="007A5C82"/>
    <w:rsid w:val="007A5FBA"/>
    <w:rsid w:val="007A5FD4"/>
    <w:rsid w:val="007A60B2"/>
    <w:rsid w:val="007A60E1"/>
    <w:rsid w:val="007A61BB"/>
    <w:rsid w:val="007A6267"/>
    <w:rsid w:val="007A6401"/>
    <w:rsid w:val="007A6514"/>
    <w:rsid w:val="007A65AE"/>
    <w:rsid w:val="007A660C"/>
    <w:rsid w:val="007A662A"/>
    <w:rsid w:val="007A67DF"/>
    <w:rsid w:val="007A67F6"/>
    <w:rsid w:val="007A6878"/>
    <w:rsid w:val="007A6883"/>
    <w:rsid w:val="007A68DF"/>
    <w:rsid w:val="007A6921"/>
    <w:rsid w:val="007A6931"/>
    <w:rsid w:val="007A6959"/>
    <w:rsid w:val="007A69B5"/>
    <w:rsid w:val="007A6A44"/>
    <w:rsid w:val="007A6B58"/>
    <w:rsid w:val="007A6B90"/>
    <w:rsid w:val="007A6C6D"/>
    <w:rsid w:val="007A6C91"/>
    <w:rsid w:val="007A6E31"/>
    <w:rsid w:val="007A700D"/>
    <w:rsid w:val="007A7040"/>
    <w:rsid w:val="007A7062"/>
    <w:rsid w:val="007A7074"/>
    <w:rsid w:val="007A7136"/>
    <w:rsid w:val="007A7205"/>
    <w:rsid w:val="007A72F2"/>
    <w:rsid w:val="007A73C5"/>
    <w:rsid w:val="007A73F5"/>
    <w:rsid w:val="007A7594"/>
    <w:rsid w:val="007A7671"/>
    <w:rsid w:val="007A76C5"/>
    <w:rsid w:val="007A7786"/>
    <w:rsid w:val="007A78B2"/>
    <w:rsid w:val="007A79BD"/>
    <w:rsid w:val="007A7A93"/>
    <w:rsid w:val="007A7C07"/>
    <w:rsid w:val="007A7C7D"/>
    <w:rsid w:val="007A7C91"/>
    <w:rsid w:val="007A7D8C"/>
    <w:rsid w:val="007A7DC5"/>
    <w:rsid w:val="007A7EB3"/>
    <w:rsid w:val="007A7ECC"/>
    <w:rsid w:val="007A7F4C"/>
    <w:rsid w:val="007A7F7B"/>
    <w:rsid w:val="007A7FBC"/>
    <w:rsid w:val="007B012C"/>
    <w:rsid w:val="007B0195"/>
    <w:rsid w:val="007B0418"/>
    <w:rsid w:val="007B0740"/>
    <w:rsid w:val="007B07A0"/>
    <w:rsid w:val="007B0A11"/>
    <w:rsid w:val="007B0A2D"/>
    <w:rsid w:val="007B0A73"/>
    <w:rsid w:val="007B0AEC"/>
    <w:rsid w:val="007B0B16"/>
    <w:rsid w:val="007B0B6F"/>
    <w:rsid w:val="007B0B8F"/>
    <w:rsid w:val="007B0C2C"/>
    <w:rsid w:val="007B0D09"/>
    <w:rsid w:val="007B0D9E"/>
    <w:rsid w:val="007B0DFC"/>
    <w:rsid w:val="007B0E4D"/>
    <w:rsid w:val="007B0F67"/>
    <w:rsid w:val="007B0FF2"/>
    <w:rsid w:val="007B112E"/>
    <w:rsid w:val="007B1135"/>
    <w:rsid w:val="007B121A"/>
    <w:rsid w:val="007B1222"/>
    <w:rsid w:val="007B1237"/>
    <w:rsid w:val="007B129F"/>
    <w:rsid w:val="007B13F2"/>
    <w:rsid w:val="007B13FB"/>
    <w:rsid w:val="007B1418"/>
    <w:rsid w:val="007B1485"/>
    <w:rsid w:val="007B14AA"/>
    <w:rsid w:val="007B1550"/>
    <w:rsid w:val="007B15E8"/>
    <w:rsid w:val="007B15F9"/>
    <w:rsid w:val="007B1615"/>
    <w:rsid w:val="007B16BB"/>
    <w:rsid w:val="007B1886"/>
    <w:rsid w:val="007B18A3"/>
    <w:rsid w:val="007B18BD"/>
    <w:rsid w:val="007B1A11"/>
    <w:rsid w:val="007B1A2C"/>
    <w:rsid w:val="007B1A8F"/>
    <w:rsid w:val="007B1A90"/>
    <w:rsid w:val="007B1A99"/>
    <w:rsid w:val="007B1AE6"/>
    <w:rsid w:val="007B1B53"/>
    <w:rsid w:val="007B1C5B"/>
    <w:rsid w:val="007B1C65"/>
    <w:rsid w:val="007B1C88"/>
    <w:rsid w:val="007B1D3A"/>
    <w:rsid w:val="007B1D3F"/>
    <w:rsid w:val="007B1D76"/>
    <w:rsid w:val="007B1E2F"/>
    <w:rsid w:val="007B1ECF"/>
    <w:rsid w:val="007B1F72"/>
    <w:rsid w:val="007B1FEA"/>
    <w:rsid w:val="007B2191"/>
    <w:rsid w:val="007B22E2"/>
    <w:rsid w:val="007B2311"/>
    <w:rsid w:val="007B236F"/>
    <w:rsid w:val="007B2484"/>
    <w:rsid w:val="007B250B"/>
    <w:rsid w:val="007B26A0"/>
    <w:rsid w:val="007B280A"/>
    <w:rsid w:val="007B28CF"/>
    <w:rsid w:val="007B29AF"/>
    <w:rsid w:val="007B2A4E"/>
    <w:rsid w:val="007B2B2E"/>
    <w:rsid w:val="007B2CE5"/>
    <w:rsid w:val="007B2CF1"/>
    <w:rsid w:val="007B2E88"/>
    <w:rsid w:val="007B2F98"/>
    <w:rsid w:val="007B3022"/>
    <w:rsid w:val="007B3049"/>
    <w:rsid w:val="007B30E3"/>
    <w:rsid w:val="007B3173"/>
    <w:rsid w:val="007B31FD"/>
    <w:rsid w:val="007B338C"/>
    <w:rsid w:val="007B343A"/>
    <w:rsid w:val="007B3567"/>
    <w:rsid w:val="007B3589"/>
    <w:rsid w:val="007B361D"/>
    <w:rsid w:val="007B3679"/>
    <w:rsid w:val="007B368A"/>
    <w:rsid w:val="007B36E4"/>
    <w:rsid w:val="007B36F4"/>
    <w:rsid w:val="007B372C"/>
    <w:rsid w:val="007B373E"/>
    <w:rsid w:val="007B37A3"/>
    <w:rsid w:val="007B3924"/>
    <w:rsid w:val="007B39C2"/>
    <w:rsid w:val="007B3CA1"/>
    <w:rsid w:val="007B3E5A"/>
    <w:rsid w:val="007B3F60"/>
    <w:rsid w:val="007B3F78"/>
    <w:rsid w:val="007B3F9C"/>
    <w:rsid w:val="007B405A"/>
    <w:rsid w:val="007B405F"/>
    <w:rsid w:val="007B40B9"/>
    <w:rsid w:val="007B40DC"/>
    <w:rsid w:val="007B4114"/>
    <w:rsid w:val="007B4212"/>
    <w:rsid w:val="007B4328"/>
    <w:rsid w:val="007B43F4"/>
    <w:rsid w:val="007B43F5"/>
    <w:rsid w:val="007B4429"/>
    <w:rsid w:val="007B451C"/>
    <w:rsid w:val="007B457B"/>
    <w:rsid w:val="007B45B7"/>
    <w:rsid w:val="007B4749"/>
    <w:rsid w:val="007B47D6"/>
    <w:rsid w:val="007B484D"/>
    <w:rsid w:val="007B4A3E"/>
    <w:rsid w:val="007B4B15"/>
    <w:rsid w:val="007B4B63"/>
    <w:rsid w:val="007B4BAE"/>
    <w:rsid w:val="007B4C27"/>
    <w:rsid w:val="007B4C69"/>
    <w:rsid w:val="007B4D07"/>
    <w:rsid w:val="007B4DEE"/>
    <w:rsid w:val="007B4DF9"/>
    <w:rsid w:val="007B4F81"/>
    <w:rsid w:val="007B50BB"/>
    <w:rsid w:val="007B5176"/>
    <w:rsid w:val="007B5329"/>
    <w:rsid w:val="007B546D"/>
    <w:rsid w:val="007B548A"/>
    <w:rsid w:val="007B54D9"/>
    <w:rsid w:val="007B5585"/>
    <w:rsid w:val="007B562B"/>
    <w:rsid w:val="007B565F"/>
    <w:rsid w:val="007B57C9"/>
    <w:rsid w:val="007B587D"/>
    <w:rsid w:val="007B5892"/>
    <w:rsid w:val="007B58EB"/>
    <w:rsid w:val="007B59B6"/>
    <w:rsid w:val="007B5DA6"/>
    <w:rsid w:val="007B5EC1"/>
    <w:rsid w:val="007B5F8F"/>
    <w:rsid w:val="007B5FAA"/>
    <w:rsid w:val="007B5FC5"/>
    <w:rsid w:val="007B6066"/>
    <w:rsid w:val="007B61A3"/>
    <w:rsid w:val="007B624A"/>
    <w:rsid w:val="007B6269"/>
    <w:rsid w:val="007B6329"/>
    <w:rsid w:val="007B6467"/>
    <w:rsid w:val="007B64F4"/>
    <w:rsid w:val="007B6541"/>
    <w:rsid w:val="007B6614"/>
    <w:rsid w:val="007B6695"/>
    <w:rsid w:val="007B66FD"/>
    <w:rsid w:val="007B678A"/>
    <w:rsid w:val="007B67BF"/>
    <w:rsid w:val="007B67F6"/>
    <w:rsid w:val="007B68DD"/>
    <w:rsid w:val="007B69D8"/>
    <w:rsid w:val="007B6A06"/>
    <w:rsid w:val="007B6A07"/>
    <w:rsid w:val="007B6A20"/>
    <w:rsid w:val="007B6AE5"/>
    <w:rsid w:val="007B6B9A"/>
    <w:rsid w:val="007B6C4C"/>
    <w:rsid w:val="007B6C8C"/>
    <w:rsid w:val="007B6C95"/>
    <w:rsid w:val="007B6EDA"/>
    <w:rsid w:val="007B6F08"/>
    <w:rsid w:val="007B7022"/>
    <w:rsid w:val="007B7104"/>
    <w:rsid w:val="007B7141"/>
    <w:rsid w:val="007B7183"/>
    <w:rsid w:val="007B7235"/>
    <w:rsid w:val="007B72D0"/>
    <w:rsid w:val="007B72F9"/>
    <w:rsid w:val="007B742F"/>
    <w:rsid w:val="007B74D2"/>
    <w:rsid w:val="007B74D5"/>
    <w:rsid w:val="007B75B1"/>
    <w:rsid w:val="007B767B"/>
    <w:rsid w:val="007B7686"/>
    <w:rsid w:val="007B7741"/>
    <w:rsid w:val="007B78C3"/>
    <w:rsid w:val="007B7925"/>
    <w:rsid w:val="007B7938"/>
    <w:rsid w:val="007B7B5E"/>
    <w:rsid w:val="007B7BC2"/>
    <w:rsid w:val="007B7CDE"/>
    <w:rsid w:val="007B7D1D"/>
    <w:rsid w:val="007B7D88"/>
    <w:rsid w:val="007B7DC3"/>
    <w:rsid w:val="007B7ED6"/>
    <w:rsid w:val="007B7FE8"/>
    <w:rsid w:val="007C012E"/>
    <w:rsid w:val="007C01F6"/>
    <w:rsid w:val="007C0219"/>
    <w:rsid w:val="007C024E"/>
    <w:rsid w:val="007C0354"/>
    <w:rsid w:val="007C03D5"/>
    <w:rsid w:val="007C03E7"/>
    <w:rsid w:val="007C0509"/>
    <w:rsid w:val="007C055D"/>
    <w:rsid w:val="007C05A6"/>
    <w:rsid w:val="007C05B4"/>
    <w:rsid w:val="007C0723"/>
    <w:rsid w:val="007C0788"/>
    <w:rsid w:val="007C07D4"/>
    <w:rsid w:val="007C07D8"/>
    <w:rsid w:val="007C0808"/>
    <w:rsid w:val="007C08BE"/>
    <w:rsid w:val="007C0B9F"/>
    <w:rsid w:val="007C0C27"/>
    <w:rsid w:val="007C0C4B"/>
    <w:rsid w:val="007C0C56"/>
    <w:rsid w:val="007C0D4B"/>
    <w:rsid w:val="007C0DC2"/>
    <w:rsid w:val="007C0E3A"/>
    <w:rsid w:val="007C0ECE"/>
    <w:rsid w:val="007C0F83"/>
    <w:rsid w:val="007C0FAD"/>
    <w:rsid w:val="007C0FED"/>
    <w:rsid w:val="007C115B"/>
    <w:rsid w:val="007C1235"/>
    <w:rsid w:val="007C1270"/>
    <w:rsid w:val="007C134E"/>
    <w:rsid w:val="007C13BF"/>
    <w:rsid w:val="007C13E5"/>
    <w:rsid w:val="007C146C"/>
    <w:rsid w:val="007C1531"/>
    <w:rsid w:val="007C16AB"/>
    <w:rsid w:val="007C1802"/>
    <w:rsid w:val="007C1914"/>
    <w:rsid w:val="007C1932"/>
    <w:rsid w:val="007C19F4"/>
    <w:rsid w:val="007C1A1D"/>
    <w:rsid w:val="007C1B0D"/>
    <w:rsid w:val="007C1C1B"/>
    <w:rsid w:val="007C1E6A"/>
    <w:rsid w:val="007C1EA7"/>
    <w:rsid w:val="007C1FE0"/>
    <w:rsid w:val="007C2111"/>
    <w:rsid w:val="007C22BC"/>
    <w:rsid w:val="007C2530"/>
    <w:rsid w:val="007C2692"/>
    <w:rsid w:val="007C281D"/>
    <w:rsid w:val="007C283B"/>
    <w:rsid w:val="007C2884"/>
    <w:rsid w:val="007C298A"/>
    <w:rsid w:val="007C2A12"/>
    <w:rsid w:val="007C2A31"/>
    <w:rsid w:val="007C2B49"/>
    <w:rsid w:val="007C2B6F"/>
    <w:rsid w:val="007C2C0D"/>
    <w:rsid w:val="007C2E1B"/>
    <w:rsid w:val="007C2E96"/>
    <w:rsid w:val="007C2EA8"/>
    <w:rsid w:val="007C2ED3"/>
    <w:rsid w:val="007C2FC2"/>
    <w:rsid w:val="007C3045"/>
    <w:rsid w:val="007C30F2"/>
    <w:rsid w:val="007C316B"/>
    <w:rsid w:val="007C325D"/>
    <w:rsid w:val="007C331C"/>
    <w:rsid w:val="007C33DA"/>
    <w:rsid w:val="007C33FD"/>
    <w:rsid w:val="007C35DC"/>
    <w:rsid w:val="007C361D"/>
    <w:rsid w:val="007C3728"/>
    <w:rsid w:val="007C3779"/>
    <w:rsid w:val="007C3814"/>
    <w:rsid w:val="007C38C4"/>
    <w:rsid w:val="007C38C7"/>
    <w:rsid w:val="007C3916"/>
    <w:rsid w:val="007C394D"/>
    <w:rsid w:val="007C3999"/>
    <w:rsid w:val="007C399A"/>
    <w:rsid w:val="007C3D6C"/>
    <w:rsid w:val="007C3F53"/>
    <w:rsid w:val="007C3F85"/>
    <w:rsid w:val="007C401C"/>
    <w:rsid w:val="007C405E"/>
    <w:rsid w:val="007C40F2"/>
    <w:rsid w:val="007C414C"/>
    <w:rsid w:val="007C41DD"/>
    <w:rsid w:val="007C4442"/>
    <w:rsid w:val="007C44FA"/>
    <w:rsid w:val="007C455D"/>
    <w:rsid w:val="007C45E6"/>
    <w:rsid w:val="007C4728"/>
    <w:rsid w:val="007C472C"/>
    <w:rsid w:val="007C49E2"/>
    <w:rsid w:val="007C49EE"/>
    <w:rsid w:val="007C49F7"/>
    <w:rsid w:val="007C4AEB"/>
    <w:rsid w:val="007C4B9C"/>
    <w:rsid w:val="007C4C3E"/>
    <w:rsid w:val="007C4D3E"/>
    <w:rsid w:val="007C4D51"/>
    <w:rsid w:val="007C4DC7"/>
    <w:rsid w:val="007C4EB1"/>
    <w:rsid w:val="007C4F01"/>
    <w:rsid w:val="007C5030"/>
    <w:rsid w:val="007C503F"/>
    <w:rsid w:val="007C507C"/>
    <w:rsid w:val="007C5091"/>
    <w:rsid w:val="007C51B0"/>
    <w:rsid w:val="007C51E7"/>
    <w:rsid w:val="007C51FC"/>
    <w:rsid w:val="007C53F6"/>
    <w:rsid w:val="007C553C"/>
    <w:rsid w:val="007C5546"/>
    <w:rsid w:val="007C55AB"/>
    <w:rsid w:val="007C5616"/>
    <w:rsid w:val="007C56BE"/>
    <w:rsid w:val="007C5831"/>
    <w:rsid w:val="007C5A72"/>
    <w:rsid w:val="007C5C32"/>
    <w:rsid w:val="007C5D72"/>
    <w:rsid w:val="007C5DB6"/>
    <w:rsid w:val="007C5DC2"/>
    <w:rsid w:val="007C5E07"/>
    <w:rsid w:val="007C5F4A"/>
    <w:rsid w:val="007C5F5A"/>
    <w:rsid w:val="007C611D"/>
    <w:rsid w:val="007C6136"/>
    <w:rsid w:val="007C6153"/>
    <w:rsid w:val="007C620C"/>
    <w:rsid w:val="007C6347"/>
    <w:rsid w:val="007C63BA"/>
    <w:rsid w:val="007C63E1"/>
    <w:rsid w:val="007C6409"/>
    <w:rsid w:val="007C6514"/>
    <w:rsid w:val="007C651F"/>
    <w:rsid w:val="007C6554"/>
    <w:rsid w:val="007C65A9"/>
    <w:rsid w:val="007C65B2"/>
    <w:rsid w:val="007C65C4"/>
    <w:rsid w:val="007C6687"/>
    <w:rsid w:val="007C6691"/>
    <w:rsid w:val="007C66D7"/>
    <w:rsid w:val="007C6701"/>
    <w:rsid w:val="007C6731"/>
    <w:rsid w:val="007C674D"/>
    <w:rsid w:val="007C692D"/>
    <w:rsid w:val="007C6992"/>
    <w:rsid w:val="007C69D8"/>
    <w:rsid w:val="007C6A54"/>
    <w:rsid w:val="007C6B76"/>
    <w:rsid w:val="007C6C75"/>
    <w:rsid w:val="007C6CF5"/>
    <w:rsid w:val="007C6DBF"/>
    <w:rsid w:val="007C6E40"/>
    <w:rsid w:val="007C6E84"/>
    <w:rsid w:val="007C7017"/>
    <w:rsid w:val="007C70A4"/>
    <w:rsid w:val="007C70B7"/>
    <w:rsid w:val="007C70BA"/>
    <w:rsid w:val="007C7275"/>
    <w:rsid w:val="007C72B5"/>
    <w:rsid w:val="007C7430"/>
    <w:rsid w:val="007C74EE"/>
    <w:rsid w:val="007C74F3"/>
    <w:rsid w:val="007C763A"/>
    <w:rsid w:val="007C7751"/>
    <w:rsid w:val="007C7776"/>
    <w:rsid w:val="007C78CB"/>
    <w:rsid w:val="007C79B8"/>
    <w:rsid w:val="007C7A2E"/>
    <w:rsid w:val="007C7ADE"/>
    <w:rsid w:val="007C7AEC"/>
    <w:rsid w:val="007C7BFE"/>
    <w:rsid w:val="007C7DC5"/>
    <w:rsid w:val="007C7E09"/>
    <w:rsid w:val="007C7E2D"/>
    <w:rsid w:val="007C7EF8"/>
    <w:rsid w:val="007C7F12"/>
    <w:rsid w:val="007C7F9B"/>
    <w:rsid w:val="007C7FAA"/>
    <w:rsid w:val="007C7FC5"/>
    <w:rsid w:val="007C7FEB"/>
    <w:rsid w:val="007D023F"/>
    <w:rsid w:val="007D0289"/>
    <w:rsid w:val="007D02E9"/>
    <w:rsid w:val="007D049E"/>
    <w:rsid w:val="007D04F8"/>
    <w:rsid w:val="007D057D"/>
    <w:rsid w:val="007D0737"/>
    <w:rsid w:val="007D0758"/>
    <w:rsid w:val="007D0A71"/>
    <w:rsid w:val="007D0B2D"/>
    <w:rsid w:val="007D0B84"/>
    <w:rsid w:val="007D0BBE"/>
    <w:rsid w:val="007D0BFA"/>
    <w:rsid w:val="007D0CBD"/>
    <w:rsid w:val="007D0E06"/>
    <w:rsid w:val="007D0E1F"/>
    <w:rsid w:val="007D0E21"/>
    <w:rsid w:val="007D0E37"/>
    <w:rsid w:val="007D0F4F"/>
    <w:rsid w:val="007D0FEF"/>
    <w:rsid w:val="007D106B"/>
    <w:rsid w:val="007D1097"/>
    <w:rsid w:val="007D117D"/>
    <w:rsid w:val="007D129D"/>
    <w:rsid w:val="007D1354"/>
    <w:rsid w:val="007D147A"/>
    <w:rsid w:val="007D14A8"/>
    <w:rsid w:val="007D14D6"/>
    <w:rsid w:val="007D157F"/>
    <w:rsid w:val="007D16FE"/>
    <w:rsid w:val="007D195E"/>
    <w:rsid w:val="007D19A2"/>
    <w:rsid w:val="007D1DFF"/>
    <w:rsid w:val="007D1E05"/>
    <w:rsid w:val="007D1E2C"/>
    <w:rsid w:val="007D1F45"/>
    <w:rsid w:val="007D20B1"/>
    <w:rsid w:val="007D2107"/>
    <w:rsid w:val="007D219B"/>
    <w:rsid w:val="007D21B9"/>
    <w:rsid w:val="007D22FC"/>
    <w:rsid w:val="007D2351"/>
    <w:rsid w:val="007D236B"/>
    <w:rsid w:val="007D24D1"/>
    <w:rsid w:val="007D2534"/>
    <w:rsid w:val="007D265C"/>
    <w:rsid w:val="007D26D6"/>
    <w:rsid w:val="007D2738"/>
    <w:rsid w:val="007D291C"/>
    <w:rsid w:val="007D2930"/>
    <w:rsid w:val="007D293A"/>
    <w:rsid w:val="007D2A58"/>
    <w:rsid w:val="007D2A6C"/>
    <w:rsid w:val="007D2A92"/>
    <w:rsid w:val="007D2C25"/>
    <w:rsid w:val="007D2D24"/>
    <w:rsid w:val="007D2F55"/>
    <w:rsid w:val="007D3060"/>
    <w:rsid w:val="007D31FD"/>
    <w:rsid w:val="007D3272"/>
    <w:rsid w:val="007D327F"/>
    <w:rsid w:val="007D3309"/>
    <w:rsid w:val="007D3454"/>
    <w:rsid w:val="007D376D"/>
    <w:rsid w:val="007D379D"/>
    <w:rsid w:val="007D37B7"/>
    <w:rsid w:val="007D3895"/>
    <w:rsid w:val="007D397A"/>
    <w:rsid w:val="007D3A13"/>
    <w:rsid w:val="007D3A39"/>
    <w:rsid w:val="007D3A4C"/>
    <w:rsid w:val="007D3A4E"/>
    <w:rsid w:val="007D3A79"/>
    <w:rsid w:val="007D3A95"/>
    <w:rsid w:val="007D3A97"/>
    <w:rsid w:val="007D3AFE"/>
    <w:rsid w:val="007D3C1B"/>
    <w:rsid w:val="007D3D7E"/>
    <w:rsid w:val="007D3E6E"/>
    <w:rsid w:val="007D3F71"/>
    <w:rsid w:val="007D3FC0"/>
    <w:rsid w:val="007D3FF0"/>
    <w:rsid w:val="007D4047"/>
    <w:rsid w:val="007D41E9"/>
    <w:rsid w:val="007D4224"/>
    <w:rsid w:val="007D4327"/>
    <w:rsid w:val="007D4557"/>
    <w:rsid w:val="007D4665"/>
    <w:rsid w:val="007D46B9"/>
    <w:rsid w:val="007D46D4"/>
    <w:rsid w:val="007D4701"/>
    <w:rsid w:val="007D476A"/>
    <w:rsid w:val="007D4817"/>
    <w:rsid w:val="007D48A5"/>
    <w:rsid w:val="007D490B"/>
    <w:rsid w:val="007D493B"/>
    <w:rsid w:val="007D495A"/>
    <w:rsid w:val="007D49D7"/>
    <w:rsid w:val="007D49FA"/>
    <w:rsid w:val="007D4A83"/>
    <w:rsid w:val="007D4DAD"/>
    <w:rsid w:val="007D4DEF"/>
    <w:rsid w:val="007D4E40"/>
    <w:rsid w:val="007D4E6D"/>
    <w:rsid w:val="007D4E92"/>
    <w:rsid w:val="007D509F"/>
    <w:rsid w:val="007D50B2"/>
    <w:rsid w:val="007D50B4"/>
    <w:rsid w:val="007D52D2"/>
    <w:rsid w:val="007D5436"/>
    <w:rsid w:val="007D54DB"/>
    <w:rsid w:val="007D561A"/>
    <w:rsid w:val="007D565A"/>
    <w:rsid w:val="007D5827"/>
    <w:rsid w:val="007D58E6"/>
    <w:rsid w:val="007D5B07"/>
    <w:rsid w:val="007D5B8A"/>
    <w:rsid w:val="007D5BDB"/>
    <w:rsid w:val="007D5C21"/>
    <w:rsid w:val="007D5C4B"/>
    <w:rsid w:val="007D5D89"/>
    <w:rsid w:val="007D5E9D"/>
    <w:rsid w:val="007D5EFD"/>
    <w:rsid w:val="007D60DB"/>
    <w:rsid w:val="007D6187"/>
    <w:rsid w:val="007D6190"/>
    <w:rsid w:val="007D61AB"/>
    <w:rsid w:val="007D61D6"/>
    <w:rsid w:val="007D61E2"/>
    <w:rsid w:val="007D61F8"/>
    <w:rsid w:val="007D621D"/>
    <w:rsid w:val="007D626B"/>
    <w:rsid w:val="007D62AC"/>
    <w:rsid w:val="007D6373"/>
    <w:rsid w:val="007D63A8"/>
    <w:rsid w:val="007D63D0"/>
    <w:rsid w:val="007D6569"/>
    <w:rsid w:val="007D6784"/>
    <w:rsid w:val="007D6961"/>
    <w:rsid w:val="007D697B"/>
    <w:rsid w:val="007D699D"/>
    <w:rsid w:val="007D6A3E"/>
    <w:rsid w:val="007D6AE8"/>
    <w:rsid w:val="007D6C69"/>
    <w:rsid w:val="007D6EB7"/>
    <w:rsid w:val="007D6F79"/>
    <w:rsid w:val="007D6F7C"/>
    <w:rsid w:val="007D6F8D"/>
    <w:rsid w:val="007D6F93"/>
    <w:rsid w:val="007D70BC"/>
    <w:rsid w:val="007D71C3"/>
    <w:rsid w:val="007D750B"/>
    <w:rsid w:val="007D75F8"/>
    <w:rsid w:val="007D761B"/>
    <w:rsid w:val="007D768C"/>
    <w:rsid w:val="007D76BC"/>
    <w:rsid w:val="007D7764"/>
    <w:rsid w:val="007D77AF"/>
    <w:rsid w:val="007D7836"/>
    <w:rsid w:val="007D7891"/>
    <w:rsid w:val="007D78C7"/>
    <w:rsid w:val="007D78F2"/>
    <w:rsid w:val="007D79DE"/>
    <w:rsid w:val="007D7A4A"/>
    <w:rsid w:val="007D7A77"/>
    <w:rsid w:val="007D7B11"/>
    <w:rsid w:val="007D7C30"/>
    <w:rsid w:val="007D7CB0"/>
    <w:rsid w:val="007D7CD4"/>
    <w:rsid w:val="007D7D62"/>
    <w:rsid w:val="007D7E08"/>
    <w:rsid w:val="007D7E16"/>
    <w:rsid w:val="007D7E2D"/>
    <w:rsid w:val="007D7E4C"/>
    <w:rsid w:val="007D7E6B"/>
    <w:rsid w:val="007E004E"/>
    <w:rsid w:val="007E0152"/>
    <w:rsid w:val="007E01D3"/>
    <w:rsid w:val="007E03FC"/>
    <w:rsid w:val="007E0790"/>
    <w:rsid w:val="007E0855"/>
    <w:rsid w:val="007E08A4"/>
    <w:rsid w:val="007E0AC7"/>
    <w:rsid w:val="007E0AD9"/>
    <w:rsid w:val="007E0BE5"/>
    <w:rsid w:val="007E0D52"/>
    <w:rsid w:val="007E0E58"/>
    <w:rsid w:val="007E0F2E"/>
    <w:rsid w:val="007E126B"/>
    <w:rsid w:val="007E1447"/>
    <w:rsid w:val="007E1475"/>
    <w:rsid w:val="007E1738"/>
    <w:rsid w:val="007E1A9B"/>
    <w:rsid w:val="007E1C6A"/>
    <w:rsid w:val="007E1D37"/>
    <w:rsid w:val="007E1ED0"/>
    <w:rsid w:val="007E1F0A"/>
    <w:rsid w:val="007E2024"/>
    <w:rsid w:val="007E2078"/>
    <w:rsid w:val="007E2225"/>
    <w:rsid w:val="007E2477"/>
    <w:rsid w:val="007E2492"/>
    <w:rsid w:val="007E25EA"/>
    <w:rsid w:val="007E2619"/>
    <w:rsid w:val="007E2749"/>
    <w:rsid w:val="007E295D"/>
    <w:rsid w:val="007E2A1F"/>
    <w:rsid w:val="007E2A36"/>
    <w:rsid w:val="007E2B1F"/>
    <w:rsid w:val="007E2C1C"/>
    <w:rsid w:val="007E2C6F"/>
    <w:rsid w:val="007E2C99"/>
    <w:rsid w:val="007E2D5E"/>
    <w:rsid w:val="007E2E14"/>
    <w:rsid w:val="007E2F98"/>
    <w:rsid w:val="007E2FEA"/>
    <w:rsid w:val="007E3032"/>
    <w:rsid w:val="007E30B8"/>
    <w:rsid w:val="007E30F1"/>
    <w:rsid w:val="007E310A"/>
    <w:rsid w:val="007E34BA"/>
    <w:rsid w:val="007E354D"/>
    <w:rsid w:val="007E35A7"/>
    <w:rsid w:val="007E369F"/>
    <w:rsid w:val="007E39DA"/>
    <w:rsid w:val="007E39E0"/>
    <w:rsid w:val="007E3B97"/>
    <w:rsid w:val="007E3C03"/>
    <w:rsid w:val="007E3C07"/>
    <w:rsid w:val="007E3C5E"/>
    <w:rsid w:val="007E3D1F"/>
    <w:rsid w:val="007E3FF3"/>
    <w:rsid w:val="007E412D"/>
    <w:rsid w:val="007E4276"/>
    <w:rsid w:val="007E42ED"/>
    <w:rsid w:val="007E449A"/>
    <w:rsid w:val="007E4570"/>
    <w:rsid w:val="007E471C"/>
    <w:rsid w:val="007E474A"/>
    <w:rsid w:val="007E4837"/>
    <w:rsid w:val="007E4865"/>
    <w:rsid w:val="007E4B75"/>
    <w:rsid w:val="007E4CEB"/>
    <w:rsid w:val="007E4D50"/>
    <w:rsid w:val="007E4EA9"/>
    <w:rsid w:val="007E4FF7"/>
    <w:rsid w:val="007E518B"/>
    <w:rsid w:val="007E5194"/>
    <w:rsid w:val="007E52E8"/>
    <w:rsid w:val="007E52FD"/>
    <w:rsid w:val="007E533D"/>
    <w:rsid w:val="007E53FE"/>
    <w:rsid w:val="007E5466"/>
    <w:rsid w:val="007E5499"/>
    <w:rsid w:val="007E54D8"/>
    <w:rsid w:val="007E5588"/>
    <w:rsid w:val="007E55D4"/>
    <w:rsid w:val="007E5612"/>
    <w:rsid w:val="007E5688"/>
    <w:rsid w:val="007E56F2"/>
    <w:rsid w:val="007E578B"/>
    <w:rsid w:val="007E58A9"/>
    <w:rsid w:val="007E5B19"/>
    <w:rsid w:val="007E5C38"/>
    <w:rsid w:val="007E5D56"/>
    <w:rsid w:val="007E5DEA"/>
    <w:rsid w:val="007E5EBB"/>
    <w:rsid w:val="007E5EFF"/>
    <w:rsid w:val="007E5F20"/>
    <w:rsid w:val="007E5FC1"/>
    <w:rsid w:val="007E5FF0"/>
    <w:rsid w:val="007E6123"/>
    <w:rsid w:val="007E6132"/>
    <w:rsid w:val="007E61A1"/>
    <w:rsid w:val="007E6200"/>
    <w:rsid w:val="007E626F"/>
    <w:rsid w:val="007E62CF"/>
    <w:rsid w:val="007E635E"/>
    <w:rsid w:val="007E64AD"/>
    <w:rsid w:val="007E6522"/>
    <w:rsid w:val="007E654D"/>
    <w:rsid w:val="007E6660"/>
    <w:rsid w:val="007E66EF"/>
    <w:rsid w:val="007E67B8"/>
    <w:rsid w:val="007E68A7"/>
    <w:rsid w:val="007E6925"/>
    <w:rsid w:val="007E696C"/>
    <w:rsid w:val="007E6BAD"/>
    <w:rsid w:val="007E6C13"/>
    <w:rsid w:val="007E6C50"/>
    <w:rsid w:val="007E6DEC"/>
    <w:rsid w:val="007E6E74"/>
    <w:rsid w:val="007E6ECD"/>
    <w:rsid w:val="007E6F1E"/>
    <w:rsid w:val="007E6FCE"/>
    <w:rsid w:val="007E6FD0"/>
    <w:rsid w:val="007E6FD9"/>
    <w:rsid w:val="007E70E2"/>
    <w:rsid w:val="007E7126"/>
    <w:rsid w:val="007E721A"/>
    <w:rsid w:val="007E7221"/>
    <w:rsid w:val="007E732F"/>
    <w:rsid w:val="007E73EB"/>
    <w:rsid w:val="007E742B"/>
    <w:rsid w:val="007E747E"/>
    <w:rsid w:val="007E749B"/>
    <w:rsid w:val="007E7507"/>
    <w:rsid w:val="007E7644"/>
    <w:rsid w:val="007E76EF"/>
    <w:rsid w:val="007E7773"/>
    <w:rsid w:val="007E779A"/>
    <w:rsid w:val="007E79F3"/>
    <w:rsid w:val="007E7A92"/>
    <w:rsid w:val="007E7DAA"/>
    <w:rsid w:val="007E7E3A"/>
    <w:rsid w:val="007E7EA7"/>
    <w:rsid w:val="007E7FC7"/>
    <w:rsid w:val="007E7FFC"/>
    <w:rsid w:val="007F0032"/>
    <w:rsid w:val="007F00CF"/>
    <w:rsid w:val="007F0196"/>
    <w:rsid w:val="007F0201"/>
    <w:rsid w:val="007F02A0"/>
    <w:rsid w:val="007F02F8"/>
    <w:rsid w:val="007F0476"/>
    <w:rsid w:val="007F0510"/>
    <w:rsid w:val="007F060F"/>
    <w:rsid w:val="007F068E"/>
    <w:rsid w:val="007F07E3"/>
    <w:rsid w:val="007F0848"/>
    <w:rsid w:val="007F0852"/>
    <w:rsid w:val="007F0864"/>
    <w:rsid w:val="007F0976"/>
    <w:rsid w:val="007F0A60"/>
    <w:rsid w:val="007F0B7A"/>
    <w:rsid w:val="007F0B94"/>
    <w:rsid w:val="007F0BC1"/>
    <w:rsid w:val="007F0CCF"/>
    <w:rsid w:val="007F0D31"/>
    <w:rsid w:val="007F0E61"/>
    <w:rsid w:val="007F0E6B"/>
    <w:rsid w:val="007F0E78"/>
    <w:rsid w:val="007F0FA2"/>
    <w:rsid w:val="007F0FFE"/>
    <w:rsid w:val="007F1120"/>
    <w:rsid w:val="007F118C"/>
    <w:rsid w:val="007F11AE"/>
    <w:rsid w:val="007F126C"/>
    <w:rsid w:val="007F1361"/>
    <w:rsid w:val="007F13E0"/>
    <w:rsid w:val="007F14A1"/>
    <w:rsid w:val="007F153E"/>
    <w:rsid w:val="007F15B8"/>
    <w:rsid w:val="007F183C"/>
    <w:rsid w:val="007F1A6E"/>
    <w:rsid w:val="007F1B76"/>
    <w:rsid w:val="007F1BE6"/>
    <w:rsid w:val="007F1C8C"/>
    <w:rsid w:val="007F1CC6"/>
    <w:rsid w:val="007F1D00"/>
    <w:rsid w:val="007F1EB7"/>
    <w:rsid w:val="007F2032"/>
    <w:rsid w:val="007F21CE"/>
    <w:rsid w:val="007F2226"/>
    <w:rsid w:val="007F227E"/>
    <w:rsid w:val="007F2282"/>
    <w:rsid w:val="007F22A8"/>
    <w:rsid w:val="007F232F"/>
    <w:rsid w:val="007F2459"/>
    <w:rsid w:val="007F24DD"/>
    <w:rsid w:val="007F25B5"/>
    <w:rsid w:val="007F2661"/>
    <w:rsid w:val="007F2686"/>
    <w:rsid w:val="007F26B1"/>
    <w:rsid w:val="007F27B0"/>
    <w:rsid w:val="007F284D"/>
    <w:rsid w:val="007F28E1"/>
    <w:rsid w:val="007F29D0"/>
    <w:rsid w:val="007F2AD6"/>
    <w:rsid w:val="007F2AE3"/>
    <w:rsid w:val="007F2B0D"/>
    <w:rsid w:val="007F2B33"/>
    <w:rsid w:val="007F2B69"/>
    <w:rsid w:val="007F2BA1"/>
    <w:rsid w:val="007F2CB9"/>
    <w:rsid w:val="007F2D69"/>
    <w:rsid w:val="007F2DA4"/>
    <w:rsid w:val="007F2F49"/>
    <w:rsid w:val="007F30AB"/>
    <w:rsid w:val="007F31EE"/>
    <w:rsid w:val="007F32C3"/>
    <w:rsid w:val="007F33AF"/>
    <w:rsid w:val="007F33B6"/>
    <w:rsid w:val="007F33DE"/>
    <w:rsid w:val="007F3550"/>
    <w:rsid w:val="007F3624"/>
    <w:rsid w:val="007F3753"/>
    <w:rsid w:val="007F3757"/>
    <w:rsid w:val="007F37C8"/>
    <w:rsid w:val="007F3829"/>
    <w:rsid w:val="007F38B9"/>
    <w:rsid w:val="007F3909"/>
    <w:rsid w:val="007F3970"/>
    <w:rsid w:val="007F3B04"/>
    <w:rsid w:val="007F3D01"/>
    <w:rsid w:val="007F3D3B"/>
    <w:rsid w:val="007F3D9F"/>
    <w:rsid w:val="007F3E20"/>
    <w:rsid w:val="007F3ECD"/>
    <w:rsid w:val="007F3FD2"/>
    <w:rsid w:val="007F3FDE"/>
    <w:rsid w:val="007F41B5"/>
    <w:rsid w:val="007F4349"/>
    <w:rsid w:val="007F43B9"/>
    <w:rsid w:val="007F4429"/>
    <w:rsid w:val="007F4455"/>
    <w:rsid w:val="007F4475"/>
    <w:rsid w:val="007F452F"/>
    <w:rsid w:val="007F458D"/>
    <w:rsid w:val="007F4638"/>
    <w:rsid w:val="007F468D"/>
    <w:rsid w:val="007F4863"/>
    <w:rsid w:val="007F49F8"/>
    <w:rsid w:val="007F4ACA"/>
    <w:rsid w:val="007F4BCD"/>
    <w:rsid w:val="007F4C52"/>
    <w:rsid w:val="007F4CC0"/>
    <w:rsid w:val="007F4E0F"/>
    <w:rsid w:val="007F4E3A"/>
    <w:rsid w:val="007F4F45"/>
    <w:rsid w:val="007F4FF3"/>
    <w:rsid w:val="007F50D8"/>
    <w:rsid w:val="007F512F"/>
    <w:rsid w:val="007F5141"/>
    <w:rsid w:val="007F5144"/>
    <w:rsid w:val="007F5188"/>
    <w:rsid w:val="007F5322"/>
    <w:rsid w:val="007F533D"/>
    <w:rsid w:val="007F5342"/>
    <w:rsid w:val="007F535D"/>
    <w:rsid w:val="007F5360"/>
    <w:rsid w:val="007F542B"/>
    <w:rsid w:val="007F55DB"/>
    <w:rsid w:val="007F5672"/>
    <w:rsid w:val="007F57F5"/>
    <w:rsid w:val="007F5848"/>
    <w:rsid w:val="007F590A"/>
    <w:rsid w:val="007F5960"/>
    <w:rsid w:val="007F5990"/>
    <w:rsid w:val="007F59C3"/>
    <w:rsid w:val="007F5A49"/>
    <w:rsid w:val="007F5AE1"/>
    <w:rsid w:val="007F5CC1"/>
    <w:rsid w:val="007F5DD3"/>
    <w:rsid w:val="007F5E16"/>
    <w:rsid w:val="007F5F11"/>
    <w:rsid w:val="007F5F1C"/>
    <w:rsid w:val="007F60E8"/>
    <w:rsid w:val="007F612E"/>
    <w:rsid w:val="007F617D"/>
    <w:rsid w:val="007F62B3"/>
    <w:rsid w:val="007F6395"/>
    <w:rsid w:val="007F63C2"/>
    <w:rsid w:val="007F6568"/>
    <w:rsid w:val="007F666A"/>
    <w:rsid w:val="007F66A0"/>
    <w:rsid w:val="007F66F3"/>
    <w:rsid w:val="007F6A1F"/>
    <w:rsid w:val="007F6A49"/>
    <w:rsid w:val="007F6B57"/>
    <w:rsid w:val="007F6C47"/>
    <w:rsid w:val="007F6D6E"/>
    <w:rsid w:val="007F6DCA"/>
    <w:rsid w:val="007F6EBF"/>
    <w:rsid w:val="007F701E"/>
    <w:rsid w:val="007F71C3"/>
    <w:rsid w:val="007F7226"/>
    <w:rsid w:val="007F746A"/>
    <w:rsid w:val="007F74A9"/>
    <w:rsid w:val="007F74CD"/>
    <w:rsid w:val="007F75BC"/>
    <w:rsid w:val="007F7779"/>
    <w:rsid w:val="007F783D"/>
    <w:rsid w:val="007F7960"/>
    <w:rsid w:val="007F79E4"/>
    <w:rsid w:val="007F79F5"/>
    <w:rsid w:val="007F7A4C"/>
    <w:rsid w:val="007F7AFE"/>
    <w:rsid w:val="007F7BB7"/>
    <w:rsid w:val="007F7CC0"/>
    <w:rsid w:val="007F7E67"/>
    <w:rsid w:val="007F7F16"/>
    <w:rsid w:val="007F7F2C"/>
    <w:rsid w:val="007F7F47"/>
    <w:rsid w:val="00800027"/>
    <w:rsid w:val="00800055"/>
    <w:rsid w:val="00800106"/>
    <w:rsid w:val="00800148"/>
    <w:rsid w:val="0080020D"/>
    <w:rsid w:val="00800376"/>
    <w:rsid w:val="008003DA"/>
    <w:rsid w:val="0080042C"/>
    <w:rsid w:val="00800447"/>
    <w:rsid w:val="008004F2"/>
    <w:rsid w:val="0080056F"/>
    <w:rsid w:val="00800627"/>
    <w:rsid w:val="00800666"/>
    <w:rsid w:val="008006AC"/>
    <w:rsid w:val="00800840"/>
    <w:rsid w:val="008008D7"/>
    <w:rsid w:val="0080095C"/>
    <w:rsid w:val="00800978"/>
    <w:rsid w:val="00800A20"/>
    <w:rsid w:val="00800B5E"/>
    <w:rsid w:val="00800BAA"/>
    <w:rsid w:val="00800BE9"/>
    <w:rsid w:val="00800DBF"/>
    <w:rsid w:val="00800DE6"/>
    <w:rsid w:val="00800E21"/>
    <w:rsid w:val="00800E80"/>
    <w:rsid w:val="008010DF"/>
    <w:rsid w:val="008011ED"/>
    <w:rsid w:val="00801272"/>
    <w:rsid w:val="00801312"/>
    <w:rsid w:val="008015B5"/>
    <w:rsid w:val="008018BC"/>
    <w:rsid w:val="00801A44"/>
    <w:rsid w:val="00801D49"/>
    <w:rsid w:val="00801E30"/>
    <w:rsid w:val="00801F44"/>
    <w:rsid w:val="008020DA"/>
    <w:rsid w:val="00802205"/>
    <w:rsid w:val="0080224E"/>
    <w:rsid w:val="00802271"/>
    <w:rsid w:val="0080227D"/>
    <w:rsid w:val="0080228E"/>
    <w:rsid w:val="0080233D"/>
    <w:rsid w:val="0080240F"/>
    <w:rsid w:val="008024AC"/>
    <w:rsid w:val="008024BE"/>
    <w:rsid w:val="008025E3"/>
    <w:rsid w:val="0080262B"/>
    <w:rsid w:val="00802640"/>
    <w:rsid w:val="0080265B"/>
    <w:rsid w:val="00802661"/>
    <w:rsid w:val="00802663"/>
    <w:rsid w:val="00802686"/>
    <w:rsid w:val="0080268F"/>
    <w:rsid w:val="00802693"/>
    <w:rsid w:val="0080271E"/>
    <w:rsid w:val="00802755"/>
    <w:rsid w:val="00802770"/>
    <w:rsid w:val="008028D0"/>
    <w:rsid w:val="00802AA1"/>
    <w:rsid w:val="00802EDB"/>
    <w:rsid w:val="00802F28"/>
    <w:rsid w:val="0080309C"/>
    <w:rsid w:val="0080318A"/>
    <w:rsid w:val="00803237"/>
    <w:rsid w:val="00803365"/>
    <w:rsid w:val="00803368"/>
    <w:rsid w:val="008033A0"/>
    <w:rsid w:val="008033BE"/>
    <w:rsid w:val="008035E7"/>
    <w:rsid w:val="008035F8"/>
    <w:rsid w:val="00803820"/>
    <w:rsid w:val="008039CF"/>
    <w:rsid w:val="00803AC1"/>
    <w:rsid w:val="00803D13"/>
    <w:rsid w:val="00803E67"/>
    <w:rsid w:val="00803EB4"/>
    <w:rsid w:val="0080424E"/>
    <w:rsid w:val="0080427B"/>
    <w:rsid w:val="00804368"/>
    <w:rsid w:val="0080444B"/>
    <w:rsid w:val="008044BD"/>
    <w:rsid w:val="008044BE"/>
    <w:rsid w:val="00804669"/>
    <w:rsid w:val="00804689"/>
    <w:rsid w:val="008046C8"/>
    <w:rsid w:val="008046D1"/>
    <w:rsid w:val="008046DD"/>
    <w:rsid w:val="008046EC"/>
    <w:rsid w:val="008048CE"/>
    <w:rsid w:val="008048F7"/>
    <w:rsid w:val="00804B54"/>
    <w:rsid w:val="00804B8F"/>
    <w:rsid w:val="00804D09"/>
    <w:rsid w:val="00804D61"/>
    <w:rsid w:val="00804D7F"/>
    <w:rsid w:val="00804DE6"/>
    <w:rsid w:val="00804F6A"/>
    <w:rsid w:val="00804F9F"/>
    <w:rsid w:val="00804FB9"/>
    <w:rsid w:val="00804FCE"/>
    <w:rsid w:val="00805032"/>
    <w:rsid w:val="0080505A"/>
    <w:rsid w:val="00805073"/>
    <w:rsid w:val="00805091"/>
    <w:rsid w:val="0080523C"/>
    <w:rsid w:val="008052D5"/>
    <w:rsid w:val="008052F0"/>
    <w:rsid w:val="00805424"/>
    <w:rsid w:val="008054BC"/>
    <w:rsid w:val="008054D7"/>
    <w:rsid w:val="008055C4"/>
    <w:rsid w:val="008057E2"/>
    <w:rsid w:val="00805C75"/>
    <w:rsid w:val="00805C88"/>
    <w:rsid w:val="00805C91"/>
    <w:rsid w:val="00805E29"/>
    <w:rsid w:val="00805E9C"/>
    <w:rsid w:val="00805EA5"/>
    <w:rsid w:val="00805F2F"/>
    <w:rsid w:val="00805F63"/>
    <w:rsid w:val="00805FD2"/>
    <w:rsid w:val="00806131"/>
    <w:rsid w:val="008061B8"/>
    <w:rsid w:val="00806310"/>
    <w:rsid w:val="008063D6"/>
    <w:rsid w:val="00806590"/>
    <w:rsid w:val="0080661B"/>
    <w:rsid w:val="00806698"/>
    <w:rsid w:val="008067F6"/>
    <w:rsid w:val="0080687B"/>
    <w:rsid w:val="008068C6"/>
    <w:rsid w:val="00806A12"/>
    <w:rsid w:val="00806A15"/>
    <w:rsid w:val="00806A49"/>
    <w:rsid w:val="00806BAE"/>
    <w:rsid w:val="00806D1C"/>
    <w:rsid w:val="00806D80"/>
    <w:rsid w:val="00806D95"/>
    <w:rsid w:val="00806DE8"/>
    <w:rsid w:val="00806F90"/>
    <w:rsid w:val="00806FD4"/>
    <w:rsid w:val="00807109"/>
    <w:rsid w:val="0080713D"/>
    <w:rsid w:val="008071EE"/>
    <w:rsid w:val="008072F0"/>
    <w:rsid w:val="00807317"/>
    <w:rsid w:val="0080732C"/>
    <w:rsid w:val="008073A3"/>
    <w:rsid w:val="008075BE"/>
    <w:rsid w:val="0080767C"/>
    <w:rsid w:val="008076BF"/>
    <w:rsid w:val="008076C5"/>
    <w:rsid w:val="0080771C"/>
    <w:rsid w:val="00807765"/>
    <w:rsid w:val="0080777E"/>
    <w:rsid w:val="008077D5"/>
    <w:rsid w:val="008077EF"/>
    <w:rsid w:val="00807AB2"/>
    <w:rsid w:val="00807B67"/>
    <w:rsid w:val="00807C4B"/>
    <w:rsid w:val="00807D71"/>
    <w:rsid w:val="00807E2A"/>
    <w:rsid w:val="00807E79"/>
    <w:rsid w:val="00807ED0"/>
    <w:rsid w:val="00807EEF"/>
    <w:rsid w:val="00807F4A"/>
    <w:rsid w:val="00807FAB"/>
    <w:rsid w:val="0081006F"/>
    <w:rsid w:val="008100AD"/>
    <w:rsid w:val="008101D1"/>
    <w:rsid w:val="0081021A"/>
    <w:rsid w:val="00810424"/>
    <w:rsid w:val="00810429"/>
    <w:rsid w:val="008104E7"/>
    <w:rsid w:val="00810525"/>
    <w:rsid w:val="008106E1"/>
    <w:rsid w:val="008107BE"/>
    <w:rsid w:val="008107D8"/>
    <w:rsid w:val="00810823"/>
    <w:rsid w:val="00810879"/>
    <w:rsid w:val="008108B9"/>
    <w:rsid w:val="00810AC7"/>
    <w:rsid w:val="00810BD6"/>
    <w:rsid w:val="00810C34"/>
    <w:rsid w:val="00810C3D"/>
    <w:rsid w:val="00810CAD"/>
    <w:rsid w:val="00810CCC"/>
    <w:rsid w:val="00810D15"/>
    <w:rsid w:val="00810E43"/>
    <w:rsid w:val="00810F6C"/>
    <w:rsid w:val="00811038"/>
    <w:rsid w:val="0081105D"/>
    <w:rsid w:val="00811164"/>
    <w:rsid w:val="00811188"/>
    <w:rsid w:val="00811439"/>
    <w:rsid w:val="0081147F"/>
    <w:rsid w:val="00811530"/>
    <w:rsid w:val="008115C8"/>
    <w:rsid w:val="008117D2"/>
    <w:rsid w:val="0081180F"/>
    <w:rsid w:val="00811865"/>
    <w:rsid w:val="00811A38"/>
    <w:rsid w:val="00811A51"/>
    <w:rsid w:val="00811AA5"/>
    <w:rsid w:val="00811B13"/>
    <w:rsid w:val="00811CD4"/>
    <w:rsid w:val="00811D24"/>
    <w:rsid w:val="00811E8D"/>
    <w:rsid w:val="00811EBF"/>
    <w:rsid w:val="00811F3A"/>
    <w:rsid w:val="008121E4"/>
    <w:rsid w:val="00812376"/>
    <w:rsid w:val="0081249E"/>
    <w:rsid w:val="0081263E"/>
    <w:rsid w:val="008126BC"/>
    <w:rsid w:val="00812769"/>
    <w:rsid w:val="008128A6"/>
    <w:rsid w:val="0081296E"/>
    <w:rsid w:val="00812AB9"/>
    <w:rsid w:val="00812ACC"/>
    <w:rsid w:val="00812B66"/>
    <w:rsid w:val="00812C39"/>
    <w:rsid w:val="00812CCC"/>
    <w:rsid w:val="00812D5C"/>
    <w:rsid w:val="00812F67"/>
    <w:rsid w:val="00813135"/>
    <w:rsid w:val="00813185"/>
    <w:rsid w:val="008131C5"/>
    <w:rsid w:val="008131DA"/>
    <w:rsid w:val="00813232"/>
    <w:rsid w:val="0081328D"/>
    <w:rsid w:val="0081349D"/>
    <w:rsid w:val="00813504"/>
    <w:rsid w:val="0081354D"/>
    <w:rsid w:val="0081379D"/>
    <w:rsid w:val="008138E3"/>
    <w:rsid w:val="008138F9"/>
    <w:rsid w:val="0081395B"/>
    <w:rsid w:val="00813A0A"/>
    <w:rsid w:val="00813A35"/>
    <w:rsid w:val="00813BBB"/>
    <w:rsid w:val="00813BCC"/>
    <w:rsid w:val="00813C36"/>
    <w:rsid w:val="00813E13"/>
    <w:rsid w:val="00814000"/>
    <w:rsid w:val="00814031"/>
    <w:rsid w:val="0081406A"/>
    <w:rsid w:val="00814152"/>
    <w:rsid w:val="008141BD"/>
    <w:rsid w:val="008142D2"/>
    <w:rsid w:val="008142E0"/>
    <w:rsid w:val="00814429"/>
    <w:rsid w:val="008144DE"/>
    <w:rsid w:val="008144F3"/>
    <w:rsid w:val="0081453D"/>
    <w:rsid w:val="0081454B"/>
    <w:rsid w:val="008145DC"/>
    <w:rsid w:val="008145F8"/>
    <w:rsid w:val="00814608"/>
    <w:rsid w:val="00814611"/>
    <w:rsid w:val="00814629"/>
    <w:rsid w:val="008148BB"/>
    <w:rsid w:val="0081490C"/>
    <w:rsid w:val="0081498D"/>
    <w:rsid w:val="00814B13"/>
    <w:rsid w:val="00814C0F"/>
    <w:rsid w:val="00814CFF"/>
    <w:rsid w:val="00814D4E"/>
    <w:rsid w:val="00814DFE"/>
    <w:rsid w:val="00814E22"/>
    <w:rsid w:val="00814EB5"/>
    <w:rsid w:val="00814EC8"/>
    <w:rsid w:val="00814F17"/>
    <w:rsid w:val="0081508B"/>
    <w:rsid w:val="008150C8"/>
    <w:rsid w:val="00815211"/>
    <w:rsid w:val="00815292"/>
    <w:rsid w:val="00815310"/>
    <w:rsid w:val="00815458"/>
    <w:rsid w:val="008155A9"/>
    <w:rsid w:val="00815623"/>
    <w:rsid w:val="0081589C"/>
    <w:rsid w:val="00815D11"/>
    <w:rsid w:val="00815E50"/>
    <w:rsid w:val="00815FF8"/>
    <w:rsid w:val="00816056"/>
    <w:rsid w:val="00816196"/>
    <w:rsid w:val="008161CE"/>
    <w:rsid w:val="0081623A"/>
    <w:rsid w:val="0081627B"/>
    <w:rsid w:val="0081652E"/>
    <w:rsid w:val="008165F0"/>
    <w:rsid w:val="008166B0"/>
    <w:rsid w:val="008166F3"/>
    <w:rsid w:val="00816819"/>
    <w:rsid w:val="008168DE"/>
    <w:rsid w:val="00816907"/>
    <w:rsid w:val="008169EA"/>
    <w:rsid w:val="00816AA6"/>
    <w:rsid w:val="00816BB8"/>
    <w:rsid w:val="00816BE6"/>
    <w:rsid w:val="00816C2A"/>
    <w:rsid w:val="00816D99"/>
    <w:rsid w:val="00816DCF"/>
    <w:rsid w:val="00816E42"/>
    <w:rsid w:val="00816F16"/>
    <w:rsid w:val="008171D0"/>
    <w:rsid w:val="008173CA"/>
    <w:rsid w:val="008173E7"/>
    <w:rsid w:val="00817583"/>
    <w:rsid w:val="008176D2"/>
    <w:rsid w:val="0081782A"/>
    <w:rsid w:val="008178D6"/>
    <w:rsid w:val="00817AA7"/>
    <w:rsid w:val="00817B07"/>
    <w:rsid w:val="00817C19"/>
    <w:rsid w:val="00817D98"/>
    <w:rsid w:val="00817F36"/>
    <w:rsid w:val="00817FC9"/>
    <w:rsid w:val="00820189"/>
    <w:rsid w:val="008201FE"/>
    <w:rsid w:val="00820238"/>
    <w:rsid w:val="00820297"/>
    <w:rsid w:val="008202A8"/>
    <w:rsid w:val="00820754"/>
    <w:rsid w:val="00820757"/>
    <w:rsid w:val="00820764"/>
    <w:rsid w:val="0082079A"/>
    <w:rsid w:val="008207C9"/>
    <w:rsid w:val="00820A27"/>
    <w:rsid w:val="00820A47"/>
    <w:rsid w:val="00820B79"/>
    <w:rsid w:val="00820BED"/>
    <w:rsid w:val="00820BF1"/>
    <w:rsid w:val="00820C59"/>
    <w:rsid w:val="00820E14"/>
    <w:rsid w:val="00820FD3"/>
    <w:rsid w:val="008210B2"/>
    <w:rsid w:val="008210DE"/>
    <w:rsid w:val="00821105"/>
    <w:rsid w:val="00821148"/>
    <w:rsid w:val="00821329"/>
    <w:rsid w:val="00821388"/>
    <w:rsid w:val="008213B6"/>
    <w:rsid w:val="008213C1"/>
    <w:rsid w:val="0082146C"/>
    <w:rsid w:val="008214E4"/>
    <w:rsid w:val="0082155C"/>
    <w:rsid w:val="00821565"/>
    <w:rsid w:val="0082167B"/>
    <w:rsid w:val="0082180B"/>
    <w:rsid w:val="0082183C"/>
    <w:rsid w:val="008218B9"/>
    <w:rsid w:val="008218DD"/>
    <w:rsid w:val="008219D1"/>
    <w:rsid w:val="00821C25"/>
    <w:rsid w:val="00821CAC"/>
    <w:rsid w:val="00821D4D"/>
    <w:rsid w:val="00821E5B"/>
    <w:rsid w:val="00821EDB"/>
    <w:rsid w:val="00821EF2"/>
    <w:rsid w:val="00821F58"/>
    <w:rsid w:val="00821FA3"/>
    <w:rsid w:val="00821FC0"/>
    <w:rsid w:val="00822090"/>
    <w:rsid w:val="008220D3"/>
    <w:rsid w:val="008221EE"/>
    <w:rsid w:val="008222B4"/>
    <w:rsid w:val="00822316"/>
    <w:rsid w:val="008223D6"/>
    <w:rsid w:val="00822440"/>
    <w:rsid w:val="0082252C"/>
    <w:rsid w:val="0082258F"/>
    <w:rsid w:val="008225D7"/>
    <w:rsid w:val="0082261E"/>
    <w:rsid w:val="00822683"/>
    <w:rsid w:val="00822849"/>
    <w:rsid w:val="0082284A"/>
    <w:rsid w:val="0082296F"/>
    <w:rsid w:val="00822971"/>
    <w:rsid w:val="00822A5C"/>
    <w:rsid w:val="00822B22"/>
    <w:rsid w:val="00822B49"/>
    <w:rsid w:val="00822B7F"/>
    <w:rsid w:val="00822D12"/>
    <w:rsid w:val="00822D24"/>
    <w:rsid w:val="00822E3B"/>
    <w:rsid w:val="00822E9F"/>
    <w:rsid w:val="00822FBF"/>
    <w:rsid w:val="00823081"/>
    <w:rsid w:val="00823094"/>
    <w:rsid w:val="008230AF"/>
    <w:rsid w:val="00823127"/>
    <w:rsid w:val="00823157"/>
    <w:rsid w:val="00823188"/>
    <w:rsid w:val="008231A6"/>
    <w:rsid w:val="00823272"/>
    <w:rsid w:val="008232A2"/>
    <w:rsid w:val="00823333"/>
    <w:rsid w:val="00823354"/>
    <w:rsid w:val="00823371"/>
    <w:rsid w:val="00823465"/>
    <w:rsid w:val="0082348E"/>
    <w:rsid w:val="008234B5"/>
    <w:rsid w:val="008234DF"/>
    <w:rsid w:val="0082351F"/>
    <w:rsid w:val="0082354B"/>
    <w:rsid w:val="00823584"/>
    <w:rsid w:val="00823624"/>
    <w:rsid w:val="0082363A"/>
    <w:rsid w:val="008236C2"/>
    <w:rsid w:val="008237DE"/>
    <w:rsid w:val="008237E1"/>
    <w:rsid w:val="00823884"/>
    <w:rsid w:val="0082388D"/>
    <w:rsid w:val="00823933"/>
    <w:rsid w:val="00823942"/>
    <w:rsid w:val="00823A17"/>
    <w:rsid w:val="00823B1B"/>
    <w:rsid w:val="00823C72"/>
    <w:rsid w:val="00823CCA"/>
    <w:rsid w:val="00823E48"/>
    <w:rsid w:val="00824162"/>
    <w:rsid w:val="008244B1"/>
    <w:rsid w:val="008245A0"/>
    <w:rsid w:val="008245A1"/>
    <w:rsid w:val="008245AA"/>
    <w:rsid w:val="00824682"/>
    <w:rsid w:val="008248C0"/>
    <w:rsid w:val="00824930"/>
    <w:rsid w:val="00824987"/>
    <w:rsid w:val="00824A63"/>
    <w:rsid w:val="00824A6A"/>
    <w:rsid w:val="00824A8C"/>
    <w:rsid w:val="00824BEB"/>
    <w:rsid w:val="00824CCC"/>
    <w:rsid w:val="00824D75"/>
    <w:rsid w:val="00824F0E"/>
    <w:rsid w:val="00824F38"/>
    <w:rsid w:val="00824FA1"/>
    <w:rsid w:val="00825084"/>
    <w:rsid w:val="00825214"/>
    <w:rsid w:val="008252C8"/>
    <w:rsid w:val="008252F9"/>
    <w:rsid w:val="0082531F"/>
    <w:rsid w:val="0082535D"/>
    <w:rsid w:val="00825423"/>
    <w:rsid w:val="008254D9"/>
    <w:rsid w:val="008254DA"/>
    <w:rsid w:val="00825654"/>
    <w:rsid w:val="00825667"/>
    <w:rsid w:val="00825830"/>
    <w:rsid w:val="00825892"/>
    <w:rsid w:val="008258D0"/>
    <w:rsid w:val="008259EB"/>
    <w:rsid w:val="00825A80"/>
    <w:rsid w:val="00825BC6"/>
    <w:rsid w:val="00825CB7"/>
    <w:rsid w:val="00825E61"/>
    <w:rsid w:val="00825F1F"/>
    <w:rsid w:val="00825FB5"/>
    <w:rsid w:val="00826005"/>
    <w:rsid w:val="0082602A"/>
    <w:rsid w:val="0082606A"/>
    <w:rsid w:val="008260FB"/>
    <w:rsid w:val="00826104"/>
    <w:rsid w:val="0082621C"/>
    <w:rsid w:val="0082624F"/>
    <w:rsid w:val="00826312"/>
    <w:rsid w:val="00826402"/>
    <w:rsid w:val="0082655C"/>
    <w:rsid w:val="008265CD"/>
    <w:rsid w:val="0082664E"/>
    <w:rsid w:val="00826658"/>
    <w:rsid w:val="0082666D"/>
    <w:rsid w:val="00826746"/>
    <w:rsid w:val="00826836"/>
    <w:rsid w:val="008268D6"/>
    <w:rsid w:val="0082690F"/>
    <w:rsid w:val="00826A3A"/>
    <w:rsid w:val="00826B36"/>
    <w:rsid w:val="00826C26"/>
    <w:rsid w:val="00826E46"/>
    <w:rsid w:val="00826ED3"/>
    <w:rsid w:val="00826F57"/>
    <w:rsid w:val="00826F67"/>
    <w:rsid w:val="00827031"/>
    <w:rsid w:val="0082707B"/>
    <w:rsid w:val="00827092"/>
    <w:rsid w:val="008270DA"/>
    <w:rsid w:val="008271AC"/>
    <w:rsid w:val="008271FE"/>
    <w:rsid w:val="00827359"/>
    <w:rsid w:val="00827360"/>
    <w:rsid w:val="0082737B"/>
    <w:rsid w:val="0082747A"/>
    <w:rsid w:val="00827483"/>
    <w:rsid w:val="00827645"/>
    <w:rsid w:val="008276A1"/>
    <w:rsid w:val="00827769"/>
    <w:rsid w:val="00827788"/>
    <w:rsid w:val="00827808"/>
    <w:rsid w:val="00827BB6"/>
    <w:rsid w:val="00827CB5"/>
    <w:rsid w:val="00827CCB"/>
    <w:rsid w:val="00827D42"/>
    <w:rsid w:val="00827F22"/>
    <w:rsid w:val="00827FB8"/>
    <w:rsid w:val="00830054"/>
    <w:rsid w:val="00830087"/>
    <w:rsid w:val="00830090"/>
    <w:rsid w:val="0083015D"/>
    <w:rsid w:val="008301C9"/>
    <w:rsid w:val="008302E6"/>
    <w:rsid w:val="00830320"/>
    <w:rsid w:val="0083040D"/>
    <w:rsid w:val="0083054E"/>
    <w:rsid w:val="00830567"/>
    <w:rsid w:val="008305C6"/>
    <w:rsid w:val="008305E4"/>
    <w:rsid w:val="00830605"/>
    <w:rsid w:val="008306F7"/>
    <w:rsid w:val="00830720"/>
    <w:rsid w:val="0083072E"/>
    <w:rsid w:val="00830878"/>
    <w:rsid w:val="008308EB"/>
    <w:rsid w:val="0083092A"/>
    <w:rsid w:val="00830A0B"/>
    <w:rsid w:val="00830BE3"/>
    <w:rsid w:val="00830D0E"/>
    <w:rsid w:val="00830E5E"/>
    <w:rsid w:val="00830EE4"/>
    <w:rsid w:val="00830F0A"/>
    <w:rsid w:val="00830FB7"/>
    <w:rsid w:val="0083105A"/>
    <w:rsid w:val="008310C8"/>
    <w:rsid w:val="008310FD"/>
    <w:rsid w:val="00831195"/>
    <w:rsid w:val="008311BC"/>
    <w:rsid w:val="008311EB"/>
    <w:rsid w:val="00831203"/>
    <w:rsid w:val="00831247"/>
    <w:rsid w:val="00831255"/>
    <w:rsid w:val="0083130A"/>
    <w:rsid w:val="00831381"/>
    <w:rsid w:val="008313C8"/>
    <w:rsid w:val="008314AB"/>
    <w:rsid w:val="008314BB"/>
    <w:rsid w:val="0083150C"/>
    <w:rsid w:val="008315F5"/>
    <w:rsid w:val="008316A2"/>
    <w:rsid w:val="00831775"/>
    <w:rsid w:val="0083183C"/>
    <w:rsid w:val="008318CF"/>
    <w:rsid w:val="00831A50"/>
    <w:rsid w:val="00831B06"/>
    <w:rsid w:val="00831E7B"/>
    <w:rsid w:val="00831E84"/>
    <w:rsid w:val="00831ED1"/>
    <w:rsid w:val="00831FC7"/>
    <w:rsid w:val="00832177"/>
    <w:rsid w:val="0083231B"/>
    <w:rsid w:val="0083244A"/>
    <w:rsid w:val="00832652"/>
    <w:rsid w:val="0083271F"/>
    <w:rsid w:val="008328C7"/>
    <w:rsid w:val="00832B94"/>
    <w:rsid w:val="00832C55"/>
    <w:rsid w:val="00832CA0"/>
    <w:rsid w:val="00832D8F"/>
    <w:rsid w:val="00832DF4"/>
    <w:rsid w:val="00832EA5"/>
    <w:rsid w:val="00832F6A"/>
    <w:rsid w:val="00833246"/>
    <w:rsid w:val="00833328"/>
    <w:rsid w:val="0083340E"/>
    <w:rsid w:val="00833645"/>
    <w:rsid w:val="00833790"/>
    <w:rsid w:val="008337ED"/>
    <w:rsid w:val="0083383E"/>
    <w:rsid w:val="008338FD"/>
    <w:rsid w:val="00833905"/>
    <w:rsid w:val="00833AF4"/>
    <w:rsid w:val="00833B88"/>
    <w:rsid w:val="00833D45"/>
    <w:rsid w:val="00833E33"/>
    <w:rsid w:val="00833E95"/>
    <w:rsid w:val="00833F24"/>
    <w:rsid w:val="00833F73"/>
    <w:rsid w:val="0083403B"/>
    <w:rsid w:val="00834105"/>
    <w:rsid w:val="0083414F"/>
    <w:rsid w:val="008341B5"/>
    <w:rsid w:val="00834257"/>
    <w:rsid w:val="0083455B"/>
    <w:rsid w:val="0083460E"/>
    <w:rsid w:val="00834660"/>
    <w:rsid w:val="0083470D"/>
    <w:rsid w:val="0083485A"/>
    <w:rsid w:val="00834A04"/>
    <w:rsid w:val="00834A17"/>
    <w:rsid w:val="00834A3E"/>
    <w:rsid w:val="00834A60"/>
    <w:rsid w:val="00834B5B"/>
    <w:rsid w:val="00834BA3"/>
    <w:rsid w:val="00834CBD"/>
    <w:rsid w:val="00834CCB"/>
    <w:rsid w:val="00834D12"/>
    <w:rsid w:val="00834DA4"/>
    <w:rsid w:val="00834E6F"/>
    <w:rsid w:val="00834F49"/>
    <w:rsid w:val="00834F76"/>
    <w:rsid w:val="00835077"/>
    <w:rsid w:val="008350FA"/>
    <w:rsid w:val="008353DD"/>
    <w:rsid w:val="00835423"/>
    <w:rsid w:val="00835440"/>
    <w:rsid w:val="00835448"/>
    <w:rsid w:val="0083545C"/>
    <w:rsid w:val="008354DC"/>
    <w:rsid w:val="008354E7"/>
    <w:rsid w:val="008354F4"/>
    <w:rsid w:val="0083566F"/>
    <w:rsid w:val="008359FD"/>
    <w:rsid w:val="00835A66"/>
    <w:rsid w:val="00835B2B"/>
    <w:rsid w:val="00835C3A"/>
    <w:rsid w:val="00835D30"/>
    <w:rsid w:val="00835D93"/>
    <w:rsid w:val="00835E68"/>
    <w:rsid w:val="00835F9F"/>
    <w:rsid w:val="00835FEF"/>
    <w:rsid w:val="00835FF1"/>
    <w:rsid w:val="008360BB"/>
    <w:rsid w:val="00836143"/>
    <w:rsid w:val="008361D8"/>
    <w:rsid w:val="008361E0"/>
    <w:rsid w:val="00836340"/>
    <w:rsid w:val="00836588"/>
    <w:rsid w:val="008365CE"/>
    <w:rsid w:val="0083662A"/>
    <w:rsid w:val="008366D9"/>
    <w:rsid w:val="0083673C"/>
    <w:rsid w:val="008368A5"/>
    <w:rsid w:val="0083690F"/>
    <w:rsid w:val="00836A2B"/>
    <w:rsid w:val="00836B47"/>
    <w:rsid w:val="00836BC9"/>
    <w:rsid w:val="00836D74"/>
    <w:rsid w:val="00836E0D"/>
    <w:rsid w:val="00836E74"/>
    <w:rsid w:val="00836FB3"/>
    <w:rsid w:val="00836FBC"/>
    <w:rsid w:val="00837161"/>
    <w:rsid w:val="008371D3"/>
    <w:rsid w:val="008371FF"/>
    <w:rsid w:val="00837212"/>
    <w:rsid w:val="008372ED"/>
    <w:rsid w:val="00837309"/>
    <w:rsid w:val="008373FC"/>
    <w:rsid w:val="00837406"/>
    <w:rsid w:val="00837540"/>
    <w:rsid w:val="008375DA"/>
    <w:rsid w:val="008375E4"/>
    <w:rsid w:val="00837737"/>
    <w:rsid w:val="008377AB"/>
    <w:rsid w:val="008377C1"/>
    <w:rsid w:val="008379D4"/>
    <w:rsid w:val="00837A00"/>
    <w:rsid w:val="00837AE4"/>
    <w:rsid w:val="00837B1C"/>
    <w:rsid w:val="00837B3B"/>
    <w:rsid w:val="00837C1D"/>
    <w:rsid w:val="00837CD8"/>
    <w:rsid w:val="00837CF7"/>
    <w:rsid w:val="00840099"/>
    <w:rsid w:val="008400EF"/>
    <w:rsid w:val="008402BF"/>
    <w:rsid w:val="008402C4"/>
    <w:rsid w:val="008402CD"/>
    <w:rsid w:val="00840354"/>
    <w:rsid w:val="00840355"/>
    <w:rsid w:val="008403B8"/>
    <w:rsid w:val="00840472"/>
    <w:rsid w:val="0084047F"/>
    <w:rsid w:val="008404CE"/>
    <w:rsid w:val="008405AF"/>
    <w:rsid w:val="008408D5"/>
    <w:rsid w:val="00840920"/>
    <w:rsid w:val="00840925"/>
    <w:rsid w:val="00840950"/>
    <w:rsid w:val="008409B9"/>
    <w:rsid w:val="00840A54"/>
    <w:rsid w:val="00840B27"/>
    <w:rsid w:val="00840B92"/>
    <w:rsid w:val="00840C7F"/>
    <w:rsid w:val="00840C8F"/>
    <w:rsid w:val="00840CD5"/>
    <w:rsid w:val="00840D2D"/>
    <w:rsid w:val="00840F93"/>
    <w:rsid w:val="00840F94"/>
    <w:rsid w:val="00840FA5"/>
    <w:rsid w:val="0084103E"/>
    <w:rsid w:val="0084107E"/>
    <w:rsid w:val="00841091"/>
    <w:rsid w:val="0084116B"/>
    <w:rsid w:val="00841176"/>
    <w:rsid w:val="00841298"/>
    <w:rsid w:val="008412B1"/>
    <w:rsid w:val="008412EE"/>
    <w:rsid w:val="00841446"/>
    <w:rsid w:val="008416D4"/>
    <w:rsid w:val="008417CF"/>
    <w:rsid w:val="008418E7"/>
    <w:rsid w:val="00841952"/>
    <w:rsid w:val="00841AEC"/>
    <w:rsid w:val="00841B99"/>
    <w:rsid w:val="00841CD0"/>
    <w:rsid w:val="00841D38"/>
    <w:rsid w:val="00841D8A"/>
    <w:rsid w:val="00841E16"/>
    <w:rsid w:val="00841FFE"/>
    <w:rsid w:val="00842194"/>
    <w:rsid w:val="008421C3"/>
    <w:rsid w:val="008422A3"/>
    <w:rsid w:val="00842328"/>
    <w:rsid w:val="00842468"/>
    <w:rsid w:val="00842485"/>
    <w:rsid w:val="00842599"/>
    <w:rsid w:val="00842662"/>
    <w:rsid w:val="008426DB"/>
    <w:rsid w:val="008427D8"/>
    <w:rsid w:val="0084290C"/>
    <w:rsid w:val="0084292F"/>
    <w:rsid w:val="008429F6"/>
    <w:rsid w:val="00842B2C"/>
    <w:rsid w:val="00842BFA"/>
    <w:rsid w:val="00842D2A"/>
    <w:rsid w:val="00842D4E"/>
    <w:rsid w:val="00842DB6"/>
    <w:rsid w:val="00842E96"/>
    <w:rsid w:val="00842EB7"/>
    <w:rsid w:val="00842F96"/>
    <w:rsid w:val="008430C4"/>
    <w:rsid w:val="0084319D"/>
    <w:rsid w:val="008432D7"/>
    <w:rsid w:val="008432EF"/>
    <w:rsid w:val="008432F6"/>
    <w:rsid w:val="00843330"/>
    <w:rsid w:val="00843357"/>
    <w:rsid w:val="0084339D"/>
    <w:rsid w:val="008433A7"/>
    <w:rsid w:val="008433E2"/>
    <w:rsid w:val="0084349D"/>
    <w:rsid w:val="008434FF"/>
    <w:rsid w:val="00843751"/>
    <w:rsid w:val="0084376F"/>
    <w:rsid w:val="00843858"/>
    <w:rsid w:val="00843AF4"/>
    <w:rsid w:val="00843B51"/>
    <w:rsid w:val="00843D78"/>
    <w:rsid w:val="00843E32"/>
    <w:rsid w:val="00843EC7"/>
    <w:rsid w:val="00843EE8"/>
    <w:rsid w:val="00844019"/>
    <w:rsid w:val="008440CB"/>
    <w:rsid w:val="00844173"/>
    <w:rsid w:val="008441B1"/>
    <w:rsid w:val="00844235"/>
    <w:rsid w:val="008442D4"/>
    <w:rsid w:val="00844330"/>
    <w:rsid w:val="00844423"/>
    <w:rsid w:val="008446C4"/>
    <w:rsid w:val="00844905"/>
    <w:rsid w:val="00844986"/>
    <w:rsid w:val="00844A44"/>
    <w:rsid w:val="00844A67"/>
    <w:rsid w:val="00844B0E"/>
    <w:rsid w:val="00844B45"/>
    <w:rsid w:val="00844BDA"/>
    <w:rsid w:val="00844D3C"/>
    <w:rsid w:val="00844D47"/>
    <w:rsid w:val="00844D98"/>
    <w:rsid w:val="00844DAA"/>
    <w:rsid w:val="00844EB6"/>
    <w:rsid w:val="00844EB7"/>
    <w:rsid w:val="00844F1A"/>
    <w:rsid w:val="00844F65"/>
    <w:rsid w:val="0084507D"/>
    <w:rsid w:val="008450BF"/>
    <w:rsid w:val="008450F5"/>
    <w:rsid w:val="0084510E"/>
    <w:rsid w:val="00845196"/>
    <w:rsid w:val="008451E9"/>
    <w:rsid w:val="00845245"/>
    <w:rsid w:val="008452B9"/>
    <w:rsid w:val="00845307"/>
    <w:rsid w:val="00845458"/>
    <w:rsid w:val="00845494"/>
    <w:rsid w:val="008454A2"/>
    <w:rsid w:val="008454D0"/>
    <w:rsid w:val="008455A7"/>
    <w:rsid w:val="008455C9"/>
    <w:rsid w:val="008455D4"/>
    <w:rsid w:val="00845676"/>
    <w:rsid w:val="0084577D"/>
    <w:rsid w:val="00845797"/>
    <w:rsid w:val="00845984"/>
    <w:rsid w:val="00845997"/>
    <w:rsid w:val="008459C5"/>
    <w:rsid w:val="00845B4F"/>
    <w:rsid w:val="00845BE8"/>
    <w:rsid w:val="00845C4C"/>
    <w:rsid w:val="00845D03"/>
    <w:rsid w:val="00845DF9"/>
    <w:rsid w:val="00846042"/>
    <w:rsid w:val="008460CC"/>
    <w:rsid w:val="008460DC"/>
    <w:rsid w:val="0084622A"/>
    <w:rsid w:val="00846248"/>
    <w:rsid w:val="0084627F"/>
    <w:rsid w:val="0084655B"/>
    <w:rsid w:val="00846697"/>
    <w:rsid w:val="008466D7"/>
    <w:rsid w:val="0084677D"/>
    <w:rsid w:val="008467D8"/>
    <w:rsid w:val="0084699A"/>
    <w:rsid w:val="00846A44"/>
    <w:rsid w:val="00846AFA"/>
    <w:rsid w:val="00846BE9"/>
    <w:rsid w:val="00846C5B"/>
    <w:rsid w:val="00846C74"/>
    <w:rsid w:val="00846D21"/>
    <w:rsid w:val="00846E50"/>
    <w:rsid w:val="00846FC3"/>
    <w:rsid w:val="00846FC4"/>
    <w:rsid w:val="0084715B"/>
    <w:rsid w:val="008471A4"/>
    <w:rsid w:val="008471F7"/>
    <w:rsid w:val="00847317"/>
    <w:rsid w:val="00847491"/>
    <w:rsid w:val="008474C8"/>
    <w:rsid w:val="00847574"/>
    <w:rsid w:val="008475D6"/>
    <w:rsid w:val="008475E8"/>
    <w:rsid w:val="008476ED"/>
    <w:rsid w:val="00847796"/>
    <w:rsid w:val="0084781F"/>
    <w:rsid w:val="008478BB"/>
    <w:rsid w:val="0084796C"/>
    <w:rsid w:val="00847AA6"/>
    <w:rsid w:val="00847ADA"/>
    <w:rsid w:val="00847B13"/>
    <w:rsid w:val="00847CAD"/>
    <w:rsid w:val="00847CFC"/>
    <w:rsid w:val="00847DB8"/>
    <w:rsid w:val="00847E0C"/>
    <w:rsid w:val="00847F1E"/>
    <w:rsid w:val="0085006E"/>
    <w:rsid w:val="0085007D"/>
    <w:rsid w:val="008500BC"/>
    <w:rsid w:val="008500FA"/>
    <w:rsid w:val="00850133"/>
    <w:rsid w:val="0085013C"/>
    <w:rsid w:val="008502D2"/>
    <w:rsid w:val="0085032A"/>
    <w:rsid w:val="00850421"/>
    <w:rsid w:val="008504BE"/>
    <w:rsid w:val="008506A9"/>
    <w:rsid w:val="008506E2"/>
    <w:rsid w:val="008508CA"/>
    <w:rsid w:val="00850BFB"/>
    <w:rsid w:val="00850C58"/>
    <w:rsid w:val="00850CB4"/>
    <w:rsid w:val="00850E9E"/>
    <w:rsid w:val="00850F5D"/>
    <w:rsid w:val="00850FFB"/>
    <w:rsid w:val="00850FFE"/>
    <w:rsid w:val="00851011"/>
    <w:rsid w:val="00851048"/>
    <w:rsid w:val="00851185"/>
    <w:rsid w:val="00851220"/>
    <w:rsid w:val="008512FA"/>
    <w:rsid w:val="008513AD"/>
    <w:rsid w:val="008513E5"/>
    <w:rsid w:val="008513F1"/>
    <w:rsid w:val="0085163E"/>
    <w:rsid w:val="008516F3"/>
    <w:rsid w:val="008517D0"/>
    <w:rsid w:val="00851983"/>
    <w:rsid w:val="008519F5"/>
    <w:rsid w:val="00851A1B"/>
    <w:rsid w:val="00851C74"/>
    <w:rsid w:val="00851D56"/>
    <w:rsid w:val="00851D6D"/>
    <w:rsid w:val="00851DA6"/>
    <w:rsid w:val="00851DB3"/>
    <w:rsid w:val="00851E1B"/>
    <w:rsid w:val="00851E58"/>
    <w:rsid w:val="00851FB9"/>
    <w:rsid w:val="008520B7"/>
    <w:rsid w:val="008521C2"/>
    <w:rsid w:val="008522BD"/>
    <w:rsid w:val="008523A5"/>
    <w:rsid w:val="00852409"/>
    <w:rsid w:val="00852416"/>
    <w:rsid w:val="00852447"/>
    <w:rsid w:val="008524F2"/>
    <w:rsid w:val="00852530"/>
    <w:rsid w:val="0085256E"/>
    <w:rsid w:val="00852570"/>
    <w:rsid w:val="008525A2"/>
    <w:rsid w:val="008525C9"/>
    <w:rsid w:val="0085261E"/>
    <w:rsid w:val="008526E4"/>
    <w:rsid w:val="0085283C"/>
    <w:rsid w:val="008528A2"/>
    <w:rsid w:val="0085292A"/>
    <w:rsid w:val="00852A4A"/>
    <w:rsid w:val="00852B1F"/>
    <w:rsid w:val="00852CB9"/>
    <w:rsid w:val="00852D96"/>
    <w:rsid w:val="00852D9D"/>
    <w:rsid w:val="00852F20"/>
    <w:rsid w:val="00853093"/>
    <w:rsid w:val="008531E9"/>
    <w:rsid w:val="00853381"/>
    <w:rsid w:val="00853458"/>
    <w:rsid w:val="00853512"/>
    <w:rsid w:val="008535C2"/>
    <w:rsid w:val="008535D3"/>
    <w:rsid w:val="0085365D"/>
    <w:rsid w:val="00853734"/>
    <w:rsid w:val="00853768"/>
    <w:rsid w:val="0085377D"/>
    <w:rsid w:val="008537E0"/>
    <w:rsid w:val="008538FD"/>
    <w:rsid w:val="00853C52"/>
    <w:rsid w:val="00853C89"/>
    <w:rsid w:val="00853CDC"/>
    <w:rsid w:val="00853E63"/>
    <w:rsid w:val="00853ED1"/>
    <w:rsid w:val="00853F77"/>
    <w:rsid w:val="00854016"/>
    <w:rsid w:val="008540BE"/>
    <w:rsid w:val="008540C7"/>
    <w:rsid w:val="008540FE"/>
    <w:rsid w:val="0085425F"/>
    <w:rsid w:val="008542A1"/>
    <w:rsid w:val="0085431A"/>
    <w:rsid w:val="008543A1"/>
    <w:rsid w:val="0085446C"/>
    <w:rsid w:val="00854478"/>
    <w:rsid w:val="00854494"/>
    <w:rsid w:val="008544F8"/>
    <w:rsid w:val="008545B2"/>
    <w:rsid w:val="008545C1"/>
    <w:rsid w:val="008546BA"/>
    <w:rsid w:val="008546F9"/>
    <w:rsid w:val="008547EF"/>
    <w:rsid w:val="008549CF"/>
    <w:rsid w:val="00854A44"/>
    <w:rsid w:val="00854BF7"/>
    <w:rsid w:val="00854C47"/>
    <w:rsid w:val="00854CB5"/>
    <w:rsid w:val="00854EAD"/>
    <w:rsid w:val="00855050"/>
    <w:rsid w:val="008551A7"/>
    <w:rsid w:val="0085525E"/>
    <w:rsid w:val="008553F9"/>
    <w:rsid w:val="00855476"/>
    <w:rsid w:val="00855590"/>
    <w:rsid w:val="0085567D"/>
    <w:rsid w:val="008557E3"/>
    <w:rsid w:val="00855815"/>
    <w:rsid w:val="008558D7"/>
    <w:rsid w:val="0085598A"/>
    <w:rsid w:val="008559C4"/>
    <w:rsid w:val="008559CE"/>
    <w:rsid w:val="00855C1F"/>
    <w:rsid w:val="00855CD5"/>
    <w:rsid w:val="00855CF1"/>
    <w:rsid w:val="00855F9E"/>
    <w:rsid w:val="0085626D"/>
    <w:rsid w:val="00856286"/>
    <w:rsid w:val="00856347"/>
    <w:rsid w:val="00856419"/>
    <w:rsid w:val="00856586"/>
    <w:rsid w:val="008565DC"/>
    <w:rsid w:val="00856641"/>
    <w:rsid w:val="00856667"/>
    <w:rsid w:val="008566DD"/>
    <w:rsid w:val="008568A4"/>
    <w:rsid w:val="00856936"/>
    <w:rsid w:val="00856941"/>
    <w:rsid w:val="00856B3C"/>
    <w:rsid w:val="00856C3B"/>
    <w:rsid w:val="00856C4F"/>
    <w:rsid w:val="00856CCA"/>
    <w:rsid w:val="00856D7C"/>
    <w:rsid w:val="00856E64"/>
    <w:rsid w:val="00856EBE"/>
    <w:rsid w:val="00856F03"/>
    <w:rsid w:val="00856FDA"/>
    <w:rsid w:val="008570E9"/>
    <w:rsid w:val="0085710D"/>
    <w:rsid w:val="008571D3"/>
    <w:rsid w:val="008571DD"/>
    <w:rsid w:val="0085722C"/>
    <w:rsid w:val="0085726E"/>
    <w:rsid w:val="00857297"/>
    <w:rsid w:val="008572AE"/>
    <w:rsid w:val="00857383"/>
    <w:rsid w:val="0085739A"/>
    <w:rsid w:val="00857459"/>
    <w:rsid w:val="00857494"/>
    <w:rsid w:val="0085750C"/>
    <w:rsid w:val="0085765E"/>
    <w:rsid w:val="0085768B"/>
    <w:rsid w:val="0085769C"/>
    <w:rsid w:val="00857845"/>
    <w:rsid w:val="0085785B"/>
    <w:rsid w:val="008578F0"/>
    <w:rsid w:val="0085796C"/>
    <w:rsid w:val="008579A9"/>
    <w:rsid w:val="00857B24"/>
    <w:rsid w:val="00857CF4"/>
    <w:rsid w:val="00857D46"/>
    <w:rsid w:val="00857D6F"/>
    <w:rsid w:val="00857DA2"/>
    <w:rsid w:val="00857E69"/>
    <w:rsid w:val="00857EC6"/>
    <w:rsid w:val="0086003A"/>
    <w:rsid w:val="0086015F"/>
    <w:rsid w:val="0086018F"/>
    <w:rsid w:val="00860218"/>
    <w:rsid w:val="008602C0"/>
    <w:rsid w:val="00860344"/>
    <w:rsid w:val="0086056A"/>
    <w:rsid w:val="00860606"/>
    <w:rsid w:val="00860628"/>
    <w:rsid w:val="00860670"/>
    <w:rsid w:val="008606A6"/>
    <w:rsid w:val="008606DE"/>
    <w:rsid w:val="008606E4"/>
    <w:rsid w:val="008607C1"/>
    <w:rsid w:val="008607E8"/>
    <w:rsid w:val="0086081C"/>
    <w:rsid w:val="00860963"/>
    <w:rsid w:val="00860A2F"/>
    <w:rsid w:val="00860A51"/>
    <w:rsid w:val="00860AD5"/>
    <w:rsid w:val="00860B4A"/>
    <w:rsid w:val="00860B54"/>
    <w:rsid w:val="00860B59"/>
    <w:rsid w:val="00860D61"/>
    <w:rsid w:val="00860DB0"/>
    <w:rsid w:val="00860DD9"/>
    <w:rsid w:val="00860E1E"/>
    <w:rsid w:val="00860F78"/>
    <w:rsid w:val="0086103A"/>
    <w:rsid w:val="00861193"/>
    <w:rsid w:val="00861220"/>
    <w:rsid w:val="0086128D"/>
    <w:rsid w:val="008613E8"/>
    <w:rsid w:val="00861410"/>
    <w:rsid w:val="00861425"/>
    <w:rsid w:val="0086146A"/>
    <w:rsid w:val="008614B9"/>
    <w:rsid w:val="00861557"/>
    <w:rsid w:val="008615B2"/>
    <w:rsid w:val="008617FD"/>
    <w:rsid w:val="008618BA"/>
    <w:rsid w:val="00861977"/>
    <w:rsid w:val="008619A2"/>
    <w:rsid w:val="00861BA2"/>
    <w:rsid w:val="00861BBA"/>
    <w:rsid w:val="00861E6E"/>
    <w:rsid w:val="00861FD2"/>
    <w:rsid w:val="008620A4"/>
    <w:rsid w:val="00862246"/>
    <w:rsid w:val="008622F8"/>
    <w:rsid w:val="0086232A"/>
    <w:rsid w:val="0086238A"/>
    <w:rsid w:val="008623EB"/>
    <w:rsid w:val="00862444"/>
    <w:rsid w:val="00862482"/>
    <w:rsid w:val="00862488"/>
    <w:rsid w:val="0086249D"/>
    <w:rsid w:val="008625B5"/>
    <w:rsid w:val="00862710"/>
    <w:rsid w:val="00862876"/>
    <w:rsid w:val="00862892"/>
    <w:rsid w:val="008629BE"/>
    <w:rsid w:val="008629C1"/>
    <w:rsid w:val="00862A0B"/>
    <w:rsid w:val="00862AC7"/>
    <w:rsid w:val="00862AE5"/>
    <w:rsid w:val="00862B02"/>
    <w:rsid w:val="00862B70"/>
    <w:rsid w:val="00862B75"/>
    <w:rsid w:val="00862B7F"/>
    <w:rsid w:val="00862CAA"/>
    <w:rsid w:val="00862CBB"/>
    <w:rsid w:val="00862CDE"/>
    <w:rsid w:val="00862D76"/>
    <w:rsid w:val="00862E1B"/>
    <w:rsid w:val="00862E24"/>
    <w:rsid w:val="00862E36"/>
    <w:rsid w:val="00862F04"/>
    <w:rsid w:val="00862F37"/>
    <w:rsid w:val="00863068"/>
    <w:rsid w:val="008630BC"/>
    <w:rsid w:val="00863211"/>
    <w:rsid w:val="0086340A"/>
    <w:rsid w:val="008635FA"/>
    <w:rsid w:val="0086362F"/>
    <w:rsid w:val="008636BD"/>
    <w:rsid w:val="0086374A"/>
    <w:rsid w:val="00863877"/>
    <w:rsid w:val="00863ACD"/>
    <w:rsid w:val="00863AE2"/>
    <w:rsid w:val="00863BA2"/>
    <w:rsid w:val="00863BA5"/>
    <w:rsid w:val="00863C59"/>
    <w:rsid w:val="00863CE6"/>
    <w:rsid w:val="00863CEA"/>
    <w:rsid w:val="00863FF8"/>
    <w:rsid w:val="0086407E"/>
    <w:rsid w:val="008640F2"/>
    <w:rsid w:val="0086418A"/>
    <w:rsid w:val="0086418C"/>
    <w:rsid w:val="00864535"/>
    <w:rsid w:val="00864643"/>
    <w:rsid w:val="008649FB"/>
    <w:rsid w:val="00864A65"/>
    <w:rsid w:val="00864B1D"/>
    <w:rsid w:val="00864B28"/>
    <w:rsid w:val="00864D41"/>
    <w:rsid w:val="00864DCC"/>
    <w:rsid w:val="00864E0C"/>
    <w:rsid w:val="00864E4C"/>
    <w:rsid w:val="00864E69"/>
    <w:rsid w:val="008650D9"/>
    <w:rsid w:val="00865106"/>
    <w:rsid w:val="00865485"/>
    <w:rsid w:val="00865487"/>
    <w:rsid w:val="00865648"/>
    <w:rsid w:val="0086573C"/>
    <w:rsid w:val="00865844"/>
    <w:rsid w:val="00865893"/>
    <w:rsid w:val="008658BF"/>
    <w:rsid w:val="00865935"/>
    <w:rsid w:val="008659B4"/>
    <w:rsid w:val="00865A7E"/>
    <w:rsid w:val="00865AA6"/>
    <w:rsid w:val="00865AD1"/>
    <w:rsid w:val="00865C17"/>
    <w:rsid w:val="00865DCF"/>
    <w:rsid w:val="00865E7E"/>
    <w:rsid w:val="00865E8C"/>
    <w:rsid w:val="00865ECE"/>
    <w:rsid w:val="00865FB5"/>
    <w:rsid w:val="0086609B"/>
    <w:rsid w:val="00866276"/>
    <w:rsid w:val="00866292"/>
    <w:rsid w:val="008663FE"/>
    <w:rsid w:val="0086644C"/>
    <w:rsid w:val="0086650D"/>
    <w:rsid w:val="00866527"/>
    <w:rsid w:val="00866541"/>
    <w:rsid w:val="00866574"/>
    <w:rsid w:val="00866615"/>
    <w:rsid w:val="008666A8"/>
    <w:rsid w:val="008666D9"/>
    <w:rsid w:val="00866936"/>
    <w:rsid w:val="008669A2"/>
    <w:rsid w:val="00866A3F"/>
    <w:rsid w:val="00866A59"/>
    <w:rsid w:val="00866B82"/>
    <w:rsid w:val="00866BF5"/>
    <w:rsid w:val="00866C0D"/>
    <w:rsid w:val="00866CD1"/>
    <w:rsid w:val="00866E27"/>
    <w:rsid w:val="00866EBD"/>
    <w:rsid w:val="00866EBE"/>
    <w:rsid w:val="00866F37"/>
    <w:rsid w:val="00866FA1"/>
    <w:rsid w:val="0086700A"/>
    <w:rsid w:val="00867046"/>
    <w:rsid w:val="0086705F"/>
    <w:rsid w:val="00867196"/>
    <w:rsid w:val="0086728A"/>
    <w:rsid w:val="008672E4"/>
    <w:rsid w:val="008673C2"/>
    <w:rsid w:val="008675EF"/>
    <w:rsid w:val="008678D8"/>
    <w:rsid w:val="008679B3"/>
    <w:rsid w:val="00867B1C"/>
    <w:rsid w:val="00867B7F"/>
    <w:rsid w:val="00867C00"/>
    <w:rsid w:val="00867C5D"/>
    <w:rsid w:val="00867D29"/>
    <w:rsid w:val="00867DA5"/>
    <w:rsid w:val="00870049"/>
    <w:rsid w:val="0087004F"/>
    <w:rsid w:val="00870132"/>
    <w:rsid w:val="00870147"/>
    <w:rsid w:val="0087017B"/>
    <w:rsid w:val="0087026B"/>
    <w:rsid w:val="0087028A"/>
    <w:rsid w:val="0087032F"/>
    <w:rsid w:val="00870361"/>
    <w:rsid w:val="008703BE"/>
    <w:rsid w:val="00870477"/>
    <w:rsid w:val="008706D7"/>
    <w:rsid w:val="00870A49"/>
    <w:rsid w:val="00870CF9"/>
    <w:rsid w:val="00870D60"/>
    <w:rsid w:val="00870D86"/>
    <w:rsid w:val="00870EC5"/>
    <w:rsid w:val="00870F6B"/>
    <w:rsid w:val="00870FA7"/>
    <w:rsid w:val="0087103A"/>
    <w:rsid w:val="0087105D"/>
    <w:rsid w:val="00871118"/>
    <w:rsid w:val="0087128B"/>
    <w:rsid w:val="0087128E"/>
    <w:rsid w:val="00871352"/>
    <w:rsid w:val="008714F5"/>
    <w:rsid w:val="00871563"/>
    <w:rsid w:val="008715D4"/>
    <w:rsid w:val="00871620"/>
    <w:rsid w:val="0087162C"/>
    <w:rsid w:val="00871873"/>
    <w:rsid w:val="00871998"/>
    <w:rsid w:val="00871A29"/>
    <w:rsid w:val="00871B0C"/>
    <w:rsid w:val="00871B2B"/>
    <w:rsid w:val="00871B54"/>
    <w:rsid w:val="00871CF4"/>
    <w:rsid w:val="00871D0B"/>
    <w:rsid w:val="00871D21"/>
    <w:rsid w:val="00871DBA"/>
    <w:rsid w:val="00871DD8"/>
    <w:rsid w:val="00871EB2"/>
    <w:rsid w:val="00871EB6"/>
    <w:rsid w:val="00871EFF"/>
    <w:rsid w:val="00872005"/>
    <w:rsid w:val="0087208A"/>
    <w:rsid w:val="008720F4"/>
    <w:rsid w:val="00872108"/>
    <w:rsid w:val="0087219E"/>
    <w:rsid w:val="008721A2"/>
    <w:rsid w:val="00872254"/>
    <w:rsid w:val="00872302"/>
    <w:rsid w:val="008723F9"/>
    <w:rsid w:val="008723FD"/>
    <w:rsid w:val="00872434"/>
    <w:rsid w:val="0087245D"/>
    <w:rsid w:val="0087249E"/>
    <w:rsid w:val="0087253D"/>
    <w:rsid w:val="00872572"/>
    <w:rsid w:val="0087284C"/>
    <w:rsid w:val="00872871"/>
    <w:rsid w:val="00872945"/>
    <w:rsid w:val="0087295D"/>
    <w:rsid w:val="008729B0"/>
    <w:rsid w:val="00872A92"/>
    <w:rsid w:val="00872B23"/>
    <w:rsid w:val="00872B26"/>
    <w:rsid w:val="00872C44"/>
    <w:rsid w:val="00872E1E"/>
    <w:rsid w:val="00872E2F"/>
    <w:rsid w:val="00872EC8"/>
    <w:rsid w:val="00872F5A"/>
    <w:rsid w:val="00872FDE"/>
    <w:rsid w:val="00873113"/>
    <w:rsid w:val="0087311E"/>
    <w:rsid w:val="0087314A"/>
    <w:rsid w:val="00873154"/>
    <w:rsid w:val="00873178"/>
    <w:rsid w:val="008731C2"/>
    <w:rsid w:val="00873278"/>
    <w:rsid w:val="00873284"/>
    <w:rsid w:val="008733E7"/>
    <w:rsid w:val="008734D6"/>
    <w:rsid w:val="00873572"/>
    <w:rsid w:val="008735ED"/>
    <w:rsid w:val="00873608"/>
    <w:rsid w:val="0087366F"/>
    <w:rsid w:val="008738C7"/>
    <w:rsid w:val="008739D2"/>
    <w:rsid w:val="00873AB1"/>
    <w:rsid w:val="00873C7A"/>
    <w:rsid w:val="00873EE2"/>
    <w:rsid w:val="00873F0C"/>
    <w:rsid w:val="00873F64"/>
    <w:rsid w:val="00873FF7"/>
    <w:rsid w:val="0087402A"/>
    <w:rsid w:val="00874072"/>
    <w:rsid w:val="00874138"/>
    <w:rsid w:val="008741E6"/>
    <w:rsid w:val="008742A7"/>
    <w:rsid w:val="00874363"/>
    <w:rsid w:val="008744CE"/>
    <w:rsid w:val="008745A5"/>
    <w:rsid w:val="008745AB"/>
    <w:rsid w:val="008745F2"/>
    <w:rsid w:val="00874609"/>
    <w:rsid w:val="008747C9"/>
    <w:rsid w:val="008747F5"/>
    <w:rsid w:val="00874837"/>
    <w:rsid w:val="008748CD"/>
    <w:rsid w:val="0087490C"/>
    <w:rsid w:val="00874975"/>
    <w:rsid w:val="008749F9"/>
    <w:rsid w:val="00874A36"/>
    <w:rsid w:val="00874ABD"/>
    <w:rsid w:val="00874AEB"/>
    <w:rsid w:val="00874AEF"/>
    <w:rsid w:val="00874B71"/>
    <w:rsid w:val="00874B75"/>
    <w:rsid w:val="00874BBA"/>
    <w:rsid w:val="00874D2E"/>
    <w:rsid w:val="00874DCA"/>
    <w:rsid w:val="00874E5F"/>
    <w:rsid w:val="00874EBB"/>
    <w:rsid w:val="00874EC6"/>
    <w:rsid w:val="00874EDD"/>
    <w:rsid w:val="00875050"/>
    <w:rsid w:val="00875087"/>
    <w:rsid w:val="00875088"/>
    <w:rsid w:val="008750E6"/>
    <w:rsid w:val="0087516B"/>
    <w:rsid w:val="008751C6"/>
    <w:rsid w:val="00875230"/>
    <w:rsid w:val="0087523F"/>
    <w:rsid w:val="00875291"/>
    <w:rsid w:val="00875309"/>
    <w:rsid w:val="00875381"/>
    <w:rsid w:val="00875384"/>
    <w:rsid w:val="00875400"/>
    <w:rsid w:val="0087558D"/>
    <w:rsid w:val="00875683"/>
    <w:rsid w:val="0087575E"/>
    <w:rsid w:val="00875878"/>
    <w:rsid w:val="00875888"/>
    <w:rsid w:val="008758E6"/>
    <w:rsid w:val="008758F4"/>
    <w:rsid w:val="00875945"/>
    <w:rsid w:val="0087594B"/>
    <w:rsid w:val="00875968"/>
    <w:rsid w:val="008759F6"/>
    <w:rsid w:val="00875A35"/>
    <w:rsid w:val="00875BF5"/>
    <w:rsid w:val="00875C45"/>
    <w:rsid w:val="00875C52"/>
    <w:rsid w:val="00875CF7"/>
    <w:rsid w:val="00875D7D"/>
    <w:rsid w:val="00875E64"/>
    <w:rsid w:val="00875E6D"/>
    <w:rsid w:val="00875E82"/>
    <w:rsid w:val="00876048"/>
    <w:rsid w:val="00876114"/>
    <w:rsid w:val="00876280"/>
    <w:rsid w:val="0087633F"/>
    <w:rsid w:val="0087635C"/>
    <w:rsid w:val="00876482"/>
    <w:rsid w:val="008764B0"/>
    <w:rsid w:val="0087653F"/>
    <w:rsid w:val="008765A8"/>
    <w:rsid w:val="0087682B"/>
    <w:rsid w:val="00876902"/>
    <w:rsid w:val="00876903"/>
    <w:rsid w:val="0087698D"/>
    <w:rsid w:val="00876B5D"/>
    <w:rsid w:val="00876C7A"/>
    <w:rsid w:val="00876CC4"/>
    <w:rsid w:val="00876D0E"/>
    <w:rsid w:val="00876FB1"/>
    <w:rsid w:val="0087702D"/>
    <w:rsid w:val="0087706E"/>
    <w:rsid w:val="0087715E"/>
    <w:rsid w:val="00877188"/>
    <w:rsid w:val="008771ED"/>
    <w:rsid w:val="00877233"/>
    <w:rsid w:val="0087725E"/>
    <w:rsid w:val="00877294"/>
    <w:rsid w:val="008773ED"/>
    <w:rsid w:val="00877503"/>
    <w:rsid w:val="00877589"/>
    <w:rsid w:val="008775CA"/>
    <w:rsid w:val="008775CD"/>
    <w:rsid w:val="008776D2"/>
    <w:rsid w:val="00877720"/>
    <w:rsid w:val="00877725"/>
    <w:rsid w:val="0087772E"/>
    <w:rsid w:val="00877782"/>
    <w:rsid w:val="00877853"/>
    <w:rsid w:val="0087785A"/>
    <w:rsid w:val="0087793A"/>
    <w:rsid w:val="00877990"/>
    <w:rsid w:val="008779FE"/>
    <w:rsid w:val="00877A8E"/>
    <w:rsid w:val="00877B86"/>
    <w:rsid w:val="00877C44"/>
    <w:rsid w:val="00877D10"/>
    <w:rsid w:val="00877F41"/>
    <w:rsid w:val="00877F97"/>
    <w:rsid w:val="00880036"/>
    <w:rsid w:val="008800EB"/>
    <w:rsid w:val="0088014E"/>
    <w:rsid w:val="008801BB"/>
    <w:rsid w:val="00880220"/>
    <w:rsid w:val="00880260"/>
    <w:rsid w:val="008802AF"/>
    <w:rsid w:val="00880410"/>
    <w:rsid w:val="008804E1"/>
    <w:rsid w:val="00880731"/>
    <w:rsid w:val="00880748"/>
    <w:rsid w:val="008807B9"/>
    <w:rsid w:val="008807FA"/>
    <w:rsid w:val="0088080F"/>
    <w:rsid w:val="00880939"/>
    <w:rsid w:val="00880A38"/>
    <w:rsid w:val="00880AD2"/>
    <w:rsid w:val="00880B0B"/>
    <w:rsid w:val="00880C8A"/>
    <w:rsid w:val="00880CAD"/>
    <w:rsid w:val="00880CC3"/>
    <w:rsid w:val="00880D0D"/>
    <w:rsid w:val="00880F32"/>
    <w:rsid w:val="00880F96"/>
    <w:rsid w:val="008810DF"/>
    <w:rsid w:val="0088119A"/>
    <w:rsid w:val="008813EB"/>
    <w:rsid w:val="00881453"/>
    <w:rsid w:val="008814FE"/>
    <w:rsid w:val="00881572"/>
    <w:rsid w:val="0088159C"/>
    <w:rsid w:val="008815AE"/>
    <w:rsid w:val="00881694"/>
    <w:rsid w:val="0088172F"/>
    <w:rsid w:val="00881845"/>
    <w:rsid w:val="00881858"/>
    <w:rsid w:val="008819A5"/>
    <w:rsid w:val="008819C9"/>
    <w:rsid w:val="00881A07"/>
    <w:rsid w:val="00881A39"/>
    <w:rsid w:val="00881A58"/>
    <w:rsid w:val="00881B44"/>
    <w:rsid w:val="00881C74"/>
    <w:rsid w:val="00881E07"/>
    <w:rsid w:val="00881F9F"/>
    <w:rsid w:val="00881FA1"/>
    <w:rsid w:val="00881FB3"/>
    <w:rsid w:val="008820E3"/>
    <w:rsid w:val="0088210E"/>
    <w:rsid w:val="0088223A"/>
    <w:rsid w:val="008823C8"/>
    <w:rsid w:val="0088249D"/>
    <w:rsid w:val="00882569"/>
    <w:rsid w:val="008826A6"/>
    <w:rsid w:val="008826E0"/>
    <w:rsid w:val="00882723"/>
    <w:rsid w:val="00882783"/>
    <w:rsid w:val="00882822"/>
    <w:rsid w:val="008828CD"/>
    <w:rsid w:val="008828DC"/>
    <w:rsid w:val="00882916"/>
    <w:rsid w:val="0088299B"/>
    <w:rsid w:val="008829D4"/>
    <w:rsid w:val="00882A18"/>
    <w:rsid w:val="00882A73"/>
    <w:rsid w:val="00882AEF"/>
    <w:rsid w:val="00882B3A"/>
    <w:rsid w:val="00882BC5"/>
    <w:rsid w:val="00882BFD"/>
    <w:rsid w:val="00882C68"/>
    <w:rsid w:val="00882D98"/>
    <w:rsid w:val="00882F4A"/>
    <w:rsid w:val="00883144"/>
    <w:rsid w:val="00883276"/>
    <w:rsid w:val="0088332D"/>
    <w:rsid w:val="0088332F"/>
    <w:rsid w:val="0088335A"/>
    <w:rsid w:val="00883438"/>
    <w:rsid w:val="00883451"/>
    <w:rsid w:val="0088348A"/>
    <w:rsid w:val="0088361D"/>
    <w:rsid w:val="008836A7"/>
    <w:rsid w:val="008836D0"/>
    <w:rsid w:val="00883716"/>
    <w:rsid w:val="0088380E"/>
    <w:rsid w:val="00883839"/>
    <w:rsid w:val="008838A6"/>
    <w:rsid w:val="0088395E"/>
    <w:rsid w:val="008839C9"/>
    <w:rsid w:val="008839EF"/>
    <w:rsid w:val="00883A07"/>
    <w:rsid w:val="00883B17"/>
    <w:rsid w:val="00883CC9"/>
    <w:rsid w:val="00883D9C"/>
    <w:rsid w:val="00883DF8"/>
    <w:rsid w:val="00883ECE"/>
    <w:rsid w:val="00883F14"/>
    <w:rsid w:val="00883F2F"/>
    <w:rsid w:val="00883F77"/>
    <w:rsid w:val="008840F1"/>
    <w:rsid w:val="00884175"/>
    <w:rsid w:val="0088426F"/>
    <w:rsid w:val="00884339"/>
    <w:rsid w:val="008843EB"/>
    <w:rsid w:val="00884401"/>
    <w:rsid w:val="00884545"/>
    <w:rsid w:val="00884624"/>
    <w:rsid w:val="008846FB"/>
    <w:rsid w:val="0088470F"/>
    <w:rsid w:val="00884756"/>
    <w:rsid w:val="00884810"/>
    <w:rsid w:val="0088485A"/>
    <w:rsid w:val="00884903"/>
    <w:rsid w:val="00884949"/>
    <w:rsid w:val="00884957"/>
    <w:rsid w:val="00884A07"/>
    <w:rsid w:val="00884AB5"/>
    <w:rsid w:val="00884B57"/>
    <w:rsid w:val="00884BA8"/>
    <w:rsid w:val="00884C3C"/>
    <w:rsid w:val="00884CAF"/>
    <w:rsid w:val="00884CFF"/>
    <w:rsid w:val="00884D6B"/>
    <w:rsid w:val="00884D75"/>
    <w:rsid w:val="00884DA3"/>
    <w:rsid w:val="00884DB6"/>
    <w:rsid w:val="00884DD9"/>
    <w:rsid w:val="00884ECC"/>
    <w:rsid w:val="00884F76"/>
    <w:rsid w:val="00885015"/>
    <w:rsid w:val="0088509E"/>
    <w:rsid w:val="008850E7"/>
    <w:rsid w:val="00885126"/>
    <w:rsid w:val="00885152"/>
    <w:rsid w:val="0088517E"/>
    <w:rsid w:val="00885221"/>
    <w:rsid w:val="0088531A"/>
    <w:rsid w:val="008853E6"/>
    <w:rsid w:val="0088556C"/>
    <w:rsid w:val="0088558B"/>
    <w:rsid w:val="0088559E"/>
    <w:rsid w:val="00885665"/>
    <w:rsid w:val="00885976"/>
    <w:rsid w:val="00885A2B"/>
    <w:rsid w:val="00885C5C"/>
    <w:rsid w:val="00885CB5"/>
    <w:rsid w:val="00885E14"/>
    <w:rsid w:val="00886025"/>
    <w:rsid w:val="00886079"/>
    <w:rsid w:val="008860D3"/>
    <w:rsid w:val="008861C7"/>
    <w:rsid w:val="0088638E"/>
    <w:rsid w:val="00886618"/>
    <w:rsid w:val="0088665E"/>
    <w:rsid w:val="0088672A"/>
    <w:rsid w:val="008868A0"/>
    <w:rsid w:val="00886908"/>
    <w:rsid w:val="0088690C"/>
    <w:rsid w:val="00886B1B"/>
    <w:rsid w:val="00886CDD"/>
    <w:rsid w:val="00886D78"/>
    <w:rsid w:val="00886DAD"/>
    <w:rsid w:val="00886E27"/>
    <w:rsid w:val="00886E87"/>
    <w:rsid w:val="00886EF3"/>
    <w:rsid w:val="00886F15"/>
    <w:rsid w:val="00886F7E"/>
    <w:rsid w:val="008870E5"/>
    <w:rsid w:val="00887115"/>
    <w:rsid w:val="00887186"/>
    <w:rsid w:val="0088718D"/>
    <w:rsid w:val="008871CF"/>
    <w:rsid w:val="008873AB"/>
    <w:rsid w:val="008873DE"/>
    <w:rsid w:val="008873E0"/>
    <w:rsid w:val="00887478"/>
    <w:rsid w:val="0088748A"/>
    <w:rsid w:val="008875AB"/>
    <w:rsid w:val="00887622"/>
    <w:rsid w:val="0088768B"/>
    <w:rsid w:val="008876D0"/>
    <w:rsid w:val="00887957"/>
    <w:rsid w:val="008879EB"/>
    <w:rsid w:val="00887A27"/>
    <w:rsid w:val="00887D08"/>
    <w:rsid w:val="00887D9A"/>
    <w:rsid w:val="00887D9D"/>
    <w:rsid w:val="00887DF4"/>
    <w:rsid w:val="00887E14"/>
    <w:rsid w:val="00887EA2"/>
    <w:rsid w:val="0089005D"/>
    <w:rsid w:val="00890154"/>
    <w:rsid w:val="0089017A"/>
    <w:rsid w:val="008901E4"/>
    <w:rsid w:val="00890247"/>
    <w:rsid w:val="0089028A"/>
    <w:rsid w:val="008902CF"/>
    <w:rsid w:val="00890495"/>
    <w:rsid w:val="008904C8"/>
    <w:rsid w:val="0089051D"/>
    <w:rsid w:val="00890605"/>
    <w:rsid w:val="00890615"/>
    <w:rsid w:val="00890705"/>
    <w:rsid w:val="008907A9"/>
    <w:rsid w:val="0089080D"/>
    <w:rsid w:val="0089089F"/>
    <w:rsid w:val="0089090D"/>
    <w:rsid w:val="008909BE"/>
    <w:rsid w:val="00890A00"/>
    <w:rsid w:val="00890A70"/>
    <w:rsid w:val="00890D32"/>
    <w:rsid w:val="008910AD"/>
    <w:rsid w:val="008910B8"/>
    <w:rsid w:val="00891159"/>
    <w:rsid w:val="0089116C"/>
    <w:rsid w:val="00891192"/>
    <w:rsid w:val="008911AE"/>
    <w:rsid w:val="00891284"/>
    <w:rsid w:val="00891433"/>
    <w:rsid w:val="0089156C"/>
    <w:rsid w:val="00891844"/>
    <w:rsid w:val="0089187B"/>
    <w:rsid w:val="00891989"/>
    <w:rsid w:val="008919CC"/>
    <w:rsid w:val="00891A50"/>
    <w:rsid w:val="00891B14"/>
    <w:rsid w:val="00891C22"/>
    <w:rsid w:val="00891CB2"/>
    <w:rsid w:val="00891CF1"/>
    <w:rsid w:val="00891E3E"/>
    <w:rsid w:val="00891E95"/>
    <w:rsid w:val="00891EBB"/>
    <w:rsid w:val="00891F1E"/>
    <w:rsid w:val="008920A8"/>
    <w:rsid w:val="008921FF"/>
    <w:rsid w:val="008922D7"/>
    <w:rsid w:val="00892515"/>
    <w:rsid w:val="0089256F"/>
    <w:rsid w:val="008925C2"/>
    <w:rsid w:val="00892626"/>
    <w:rsid w:val="008926A1"/>
    <w:rsid w:val="00892918"/>
    <w:rsid w:val="00892A18"/>
    <w:rsid w:val="00892A22"/>
    <w:rsid w:val="00892A53"/>
    <w:rsid w:val="00892BB1"/>
    <w:rsid w:val="00892C7F"/>
    <w:rsid w:val="00892C88"/>
    <w:rsid w:val="00892CD8"/>
    <w:rsid w:val="00892F00"/>
    <w:rsid w:val="00892F8D"/>
    <w:rsid w:val="00893018"/>
    <w:rsid w:val="0089304C"/>
    <w:rsid w:val="00893166"/>
    <w:rsid w:val="008932B3"/>
    <w:rsid w:val="008932BA"/>
    <w:rsid w:val="00893331"/>
    <w:rsid w:val="008933DA"/>
    <w:rsid w:val="0089344F"/>
    <w:rsid w:val="00893465"/>
    <w:rsid w:val="008934E2"/>
    <w:rsid w:val="0089351A"/>
    <w:rsid w:val="00893548"/>
    <w:rsid w:val="008936B5"/>
    <w:rsid w:val="0089385C"/>
    <w:rsid w:val="0089388B"/>
    <w:rsid w:val="008939F4"/>
    <w:rsid w:val="008939FA"/>
    <w:rsid w:val="00893AB3"/>
    <w:rsid w:val="00893B51"/>
    <w:rsid w:val="00893CA9"/>
    <w:rsid w:val="00893CD5"/>
    <w:rsid w:val="00893D25"/>
    <w:rsid w:val="00893D71"/>
    <w:rsid w:val="00893DCE"/>
    <w:rsid w:val="00893E42"/>
    <w:rsid w:val="00893EB2"/>
    <w:rsid w:val="00893F5D"/>
    <w:rsid w:val="00893F77"/>
    <w:rsid w:val="00893F99"/>
    <w:rsid w:val="008940E3"/>
    <w:rsid w:val="008941C7"/>
    <w:rsid w:val="00894269"/>
    <w:rsid w:val="00894498"/>
    <w:rsid w:val="008944C9"/>
    <w:rsid w:val="008945FA"/>
    <w:rsid w:val="00894653"/>
    <w:rsid w:val="008946EF"/>
    <w:rsid w:val="008947A4"/>
    <w:rsid w:val="00894936"/>
    <w:rsid w:val="00894B08"/>
    <w:rsid w:val="00894C9E"/>
    <w:rsid w:val="00894DEB"/>
    <w:rsid w:val="00894E9D"/>
    <w:rsid w:val="00895057"/>
    <w:rsid w:val="0089512D"/>
    <w:rsid w:val="0089513B"/>
    <w:rsid w:val="00895191"/>
    <w:rsid w:val="008951AB"/>
    <w:rsid w:val="0089534B"/>
    <w:rsid w:val="00895492"/>
    <w:rsid w:val="00895687"/>
    <w:rsid w:val="00895777"/>
    <w:rsid w:val="0089577C"/>
    <w:rsid w:val="00895786"/>
    <w:rsid w:val="0089583D"/>
    <w:rsid w:val="00895914"/>
    <w:rsid w:val="0089593D"/>
    <w:rsid w:val="00895CBC"/>
    <w:rsid w:val="00895D24"/>
    <w:rsid w:val="00895D77"/>
    <w:rsid w:val="00895E53"/>
    <w:rsid w:val="00895EBE"/>
    <w:rsid w:val="008960DB"/>
    <w:rsid w:val="0089618D"/>
    <w:rsid w:val="008961DB"/>
    <w:rsid w:val="00896298"/>
    <w:rsid w:val="008964CE"/>
    <w:rsid w:val="00896545"/>
    <w:rsid w:val="00896663"/>
    <w:rsid w:val="008966FA"/>
    <w:rsid w:val="00896780"/>
    <w:rsid w:val="008967CF"/>
    <w:rsid w:val="008968D5"/>
    <w:rsid w:val="00896AF5"/>
    <w:rsid w:val="00896B3B"/>
    <w:rsid w:val="00896B4E"/>
    <w:rsid w:val="00896CAC"/>
    <w:rsid w:val="00896CBF"/>
    <w:rsid w:val="00896DAA"/>
    <w:rsid w:val="00896DDC"/>
    <w:rsid w:val="0089708D"/>
    <w:rsid w:val="00897127"/>
    <w:rsid w:val="0089714D"/>
    <w:rsid w:val="00897161"/>
    <w:rsid w:val="0089717F"/>
    <w:rsid w:val="00897233"/>
    <w:rsid w:val="0089723E"/>
    <w:rsid w:val="0089726D"/>
    <w:rsid w:val="00897558"/>
    <w:rsid w:val="0089757E"/>
    <w:rsid w:val="008975CF"/>
    <w:rsid w:val="008976B8"/>
    <w:rsid w:val="0089791B"/>
    <w:rsid w:val="008979B6"/>
    <w:rsid w:val="00897A3C"/>
    <w:rsid w:val="00897ADD"/>
    <w:rsid w:val="00897B86"/>
    <w:rsid w:val="00897D3D"/>
    <w:rsid w:val="00897DE3"/>
    <w:rsid w:val="00897DFF"/>
    <w:rsid w:val="00897E69"/>
    <w:rsid w:val="00897EE6"/>
    <w:rsid w:val="00897F36"/>
    <w:rsid w:val="008A006A"/>
    <w:rsid w:val="008A007B"/>
    <w:rsid w:val="008A009D"/>
    <w:rsid w:val="008A01FE"/>
    <w:rsid w:val="008A048A"/>
    <w:rsid w:val="008A053E"/>
    <w:rsid w:val="008A05CF"/>
    <w:rsid w:val="008A0734"/>
    <w:rsid w:val="008A07AE"/>
    <w:rsid w:val="008A07B9"/>
    <w:rsid w:val="008A08BB"/>
    <w:rsid w:val="008A0926"/>
    <w:rsid w:val="008A0D34"/>
    <w:rsid w:val="008A0DA6"/>
    <w:rsid w:val="008A0E68"/>
    <w:rsid w:val="008A0E7E"/>
    <w:rsid w:val="008A0FC3"/>
    <w:rsid w:val="008A10C0"/>
    <w:rsid w:val="008A12DF"/>
    <w:rsid w:val="008A14EB"/>
    <w:rsid w:val="008A1567"/>
    <w:rsid w:val="008A162E"/>
    <w:rsid w:val="008A1683"/>
    <w:rsid w:val="008A1857"/>
    <w:rsid w:val="008A18A1"/>
    <w:rsid w:val="008A1BBE"/>
    <w:rsid w:val="008A1DAD"/>
    <w:rsid w:val="008A1DF5"/>
    <w:rsid w:val="008A1F0B"/>
    <w:rsid w:val="008A203C"/>
    <w:rsid w:val="008A2170"/>
    <w:rsid w:val="008A217E"/>
    <w:rsid w:val="008A234C"/>
    <w:rsid w:val="008A23DA"/>
    <w:rsid w:val="008A240E"/>
    <w:rsid w:val="008A24AF"/>
    <w:rsid w:val="008A2594"/>
    <w:rsid w:val="008A25AC"/>
    <w:rsid w:val="008A25CA"/>
    <w:rsid w:val="008A2740"/>
    <w:rsid w:val="008A27B8"/>
    <w:rsid w:val="008A2904"/>
    <w:rsid w:val="008A2993"/>
    <w:rsid w:val="008A2A83"/>
    <w:rsid w:val="008A2B25"/>
    <w:rsid w:val="008A2BD9"/>
    <w:rsid w:val="008A2C2C"/>
    <w:rsid w:val="008A2D1F"/>
    <w:rsid w:val="008A2DF9"/>
    <w:rsid w:val="008A2E7F"/>
    <w:rsid w:val="008A315F"/>
    <w:rsid w:val="008A3315"/>
    <w:rsid w:val="008A3316"/>
    <w:rsid w:val="008A337E"/>
    <w:rsid w:val="008A33D6"/>
    <w:rsid w:val="008A3511"/>
    <w:rsid w:val="008A35E5"/>
    <w:rsid w:val="008A3748"/>
    <w:rsid w:val="008A37FA"/>
    <w:rsid w:val="008A38DA"/>
    <w:rsid w:val="008A39A2"/>
    <w:rsid w:val="008A3ADD"/>
    <w:rsid w:val="008A3B47"/>
    <w:rsid w:val="008A3BC8"/>
    <w:rsid w:val="008A3C5D"/>
    <w:rsid w:val="008A3CC2"/>
    <w:rsid w:val="008A3D94"/>
    <w:rsid w:val="008A3F33"/>
    <w:rsid w:val="008A4047"/>
    <w:rsid w:val="008A404D"/>
    <w:rsid w:val="008A4054"/>
    <w:rsid w:val="008A40BA"/>
    <w:rsid w:val="008A4198"/>
    <w:rsid w:val="008A4235"/>
    <w:rsid w:val="008A42C3"/>
    <w:rsid w:val="008A4302"/>
    <w:rsid w:val="008A4311"/>
    <w:rsid w:val="008A43DF"/>
    <w:rsid w:val="008A44F7"/>
    <w:rsid w:val="008A455D"/>
    <w:rsid w:val="008A45B1"/>
    <w:rsid w:val="008A45CE"/>
    <w:rsid w:val="008A4600"/>
    <w:rsid w:val="008A461B"/>
    <w:rsid w:val="008A46DD"/>
    <w:rsid w:val="008A475B"/>
    <w:rsid w:val="008A4852"/>
    <w:rsid w:val="008A48A8"/>
    <w:rsid w:val="008A48E0"/>
    <w:rsid w:val="008A49A9"/>
    <w:rsid w:val="008A4A30"/>
    <w:rsid w:val="008A4AAB"/>
    <w:rsid w:val="008A4B46"/>
    <w:rsid w:val="008A4B73"/>
    <w:rsid w:val="008A4C03"/>
    <w:rsid w:val="008A4C1C"/>
    <w:rsid w:val="008A4CA0"/>
    <w:rsid w:val="008A4CBB"/>
    <w:rsid w:val="008A4E10"/>
    <w:rsid w:val="008A4E4A"/>
    <w:rsid w:val="008A4F1E"/>
    <w:rsid w:val="008A4F71"/>
    <w:rsid w:val="008A5001"/>
    <w:rsid w:val="008A51B6"/>
    <w:rsid w:val="008A52A5"/>
    <w:rsid w:val="008A52FE"/>
    <w:rsid w:val="008A53A6"/>
    <w:rsid w:val="008A556A"/>
    <w:rsid w:val="008A557E"/>
    <w:rsid w:val="008A564C"/>
    <w:rsid w:val="008A5773"/>
    <w:rsid w:val="008A57CA"/>
    <w:rsid w:val="008A580E"/>
    <w:rsid w:val="008A58BC"/>
    <w:rsid w:val="008A59E6"/>
    <w:rsid w:val="008A59F0"/>
    <w:rsid w:val="008A5B77"/>
    <w:rsid w:val="008A5C5E"/>
    <w:rsid w:val="008A5D25"/>
    <w:rsid w:val="008A60B4"/>
    <w:rsid w:val="008A61E9"/>
    <w:rsid w:val="008A6252"/>
    <w:rsid w:val="008A628F"/>
    <w:rsid w:val="008A62C6"/>
    <w:rsid w:val="008A62D0"/>
    <w:rsid w:val="008A6447"/>
    <w:rsid w:val="008A651B"/>
    <w:rsid w:val="008A6655"/>
    <w:rsid w:val="008A670F"/>
    <w:rsid w:val="008A6881"/>
    <w:rsid w:val="008A6A87"/>
    <w:rsid w:val="008A6AC9"/>
    <w:rsid w:val="008A6B74"/>
    <w:rsid w:val="008A6CC5"/>
    <w:rsid w:val="008A6D5A"/>
    <w:rsid w:val="008A6E20"/>
    <w:rsid w:val="008A6EF4"/>
    <w:rsid w:val="008A6F87"/>
    <w:rsid w:val="008A701D"/>
    <w:rsid w:val="008A7032"/>
    <w:rsid w:val="008A7145"/>
    <w:rsid w:val="008A7188"/>
    <w:rsid w:val="008A718B"/>
    <w:rsid w:val="008A73A6"/>
    <w:rsid w:val="008A7437"/>
    <w:rsid w:val="008A74C0"/>
    <w:rsid w:val="008A7532"/>
    <w:rsid w:val="008A75A7"/>
    <w:rsid w:val="008A765D"/>
    <w:rsid w:val="008A76D6"/>
    <w:rsid w:val="008A76DD"/>
    <w:rsid w:val="008A773B"/>
    <w:rsid w:val="008A77AE"/>
    <w:rsid w:val="008A781F"/>
    <w:rsid w:val="008A7A14"/>
    <w:rsid w:val="008A7A25"/>
    <w:rsid w:val="008A7A3A"/>
    <w:rsid w:val="008A7A8E"/>
    <w:rsid w:val="008A7B0F"/>
    <w:rsid w:val="008A7B4B"/>
    <w:rsid w:val="008A7B83"/>
    <w:rsid w:val="008A7C0D"/>
    <w:rsid w:val="008A7C19"/>
    <w:rsid w:val="008A7F7B"/>
    <w:rsid w:val="008A7F91"/>
    <w:rsid w:val="008A7FB4"/>
    <w:rsid w:val="008A7FCF"/>
    <w:rsid w:val="008B0018"/>
    <w:rsid w:val="008B0070"/>
    <w:rsid w:val="008B00B0"/>
    <w:rsid w:val="008B00E2"/>
    <w:rsid w:val="008B0106"/>
    <w:rsid w:val="008B019F"/>
    <w:rsid w:val="008B02B0"/>
    <w:rsid w:val="008B0380"/>
    <w:rsid w:val="008B04BC"/>
    <w:rsid w:val="008B04FF"/>
    <w:rsid w:val="008B0793"/>
    <w:rsid w:val="008B08A7"/>
    <w:rsid w:val="008B09E2"/>
    <w:rsid w:val="008B0A06"/>
    <w:rsid w:val="008B0AA5"/>
    <w:rsid w:val="008B0B04"/>
    <w:rsid w:val="008B0C7D"/>
    <w:rsid w:val="008B0E4A"/>
    <w:rsid w:val="008B0E59"/>
    <w:rsid w:val="008B0F4B"/>
    <w:rsid w:val="008B1019"/>
    <w:rsid w:val="008B118B"/>
    <w:rsid w:val="008B128B"/>
    <w:rsid w:val="008B1402"/>
    <w:rsid w:val="008B1414"/>
    <w:rsid w:val="008B142D"/>
    <w:rsid w:val="008B1600"/>
    <w:rsid w:val="008B1987"/>
    <w:rsid w:val="008B19D6"/>
    <w:rsid w:val="008B1B83"/>
    <w:rsid w:val="008B1C61"/>
    <w:rsid w:val="008B1CAB"/>
    <w:rsid w:val="008B1CE5"/>
    <w:rsid w:val="008B1D18"/>
    <w:rsid w:val="008B1D19"/>
    <w:rsid w:val="008B1D3E"/>
    <w:rsid w:val="008B1DA1"/>
    <w:rsid w:val="008B1E1C"/>
    <w:rsid w:val="008B1E54"/>
    <w:rsid w:val="008B221A"/>
    <w:rsid w:val="008B2229"/>
    <w:rsid w:val="008B2295"/>
    <w:rsid w:val="008B24CA"/>
    <w:rsid w:val="008B2577"/>
    <w:rsid w:val="008B26FD"/>
    <w:rsid w:val="008B2743"/>
    <w:rsid w:val="008B2790"/>
    <w:rsid w:val="008B27E0"/>
    <w:rsid w:val="008B2A83"/>
    <w:rsid w:val="008B2B11"/>
    <w:rsid w:val="008B2B43"/>
    <w:rsid w:val="008B2B66"/>
    <w:rsid w:val="008B2B72"/>
    <w:rsid w:val="008B2B92"/>
    <w:rsid w:val="008B2C28"/>
    <w:rsid w:val="008B2C62"/>
    <w:rsid w:val="008B2C9E"/>
    <w:rsid w:val="008B2CE0"/>
    <w:rsid w:val="008B2D8A"/>
    <w:rsid w:val="008B2DAE"/>
    <w:rsid w:val="008B2EDF"/>
    <w:rsid w:val="008B2FAB"/>
    <w:rsid w:val="008B30A8"/>
    <w:rsid w:val="008B3125"/>
    <w:rsid w:val="008B3366"/>
    <w:rsid w:val="008B336C"/>
    <w:rsid w:val="008B33A0"/>
    <w:rsid w:val="008B33B4"/>
    <w:rsid w:val="008B3531"/>
    <w:rsid w:val="008B35C0"/>
    <w:rsid w:val="008B3710"/>
    <w:rsid w:val="008B3722"/>
    <w:rsid w:val="008B372C"/>
    <w:rsid w:val="008B384E"/>
    <w:rsid w:val="008B3895"/>
    <w:rsid w:val="008B3A37"/>
    <w:rsid w:val="008B3A59"/>
    <w:rsid w:val="008B3D49"/>
    <w:rsid w:val="008B3DD0"/>
    <w:rsid w:val="008B3E28"/>
    <w:rsid w:val="008B3E55"/>
    <w:rsid w:val="008B3ECE"/>
    <w:rsid w:val="008B3F14"/>
    <w:rsid w:val="008B4101"/>
    <w:rsid w:val="008B4208"/>
    <w:rsid w:val="008B423E"/>
    <w:rsid w:val="008B430D"/>
    <w:rsid w:val="008B442D"/>
    <w:rsid w:val="008B449B"/>
    <w:rsid w:val="008B449E"/>
    <w:rsid w:val="008B44E1"/>
    <w:rsid w:val="008B47C0"/>
    <w:rsid w:val="008B47E9"/>
    <w:rsid w:val="008B48EE"/>
    <w:rsid w:val="008B49BF"/>
    <w:rsid w:val="008B4A68"/>
    <w:rsid w:val="008B4A99"/>
    <w:rsid w:val="008B4B8D"/>
    <w:rsid w:val="008B4C8F"/>
    <w:rsid w:val="008B4D8A"/>
    <w:rsid w:val="008B4DA4"/>
    <w:rsid w:val="008B4F99"/>
    <w:rsid w:val="008B502D"/>
    <w:rsid w:val="008B503C"/>
    <w:rsid w:val="008B5206"/>
    <w:rsid w:val="008B555E"/>
    <w:rsid w:val="008B588A"/>
    <w:rsid w:val="008B59F0"/>
    <w:rsid w:val="008B5B66"/>
    <w:rsid w:val="008B5B9A"/>
    <w:rsid w:val="008B5DE8"/>
    <w:rsid w:val="008B5E06"/>
    <w:rsid w:val="008B6016"/>
    <w:rsid w:val="008B62D0"/>
    <w:rsid w:val="008B62FA"/>
    <w:rsid w:val="008B6324"/>
    <w:rsid w:val="008B6434"/>
    <w:rsid w:val="008B645B"/>
    <w:rsid w:val="008B6597"/>
    <w:rsid w:val="008B66F0"/>
    <w:rsid w:val="008B66F1"/>
    <w:rsid w:val="008B670A"/>
    <w:rsid w:val="008B675B"/>
    <w:rsid w:val="008B67CC"/>
    <w:rsid w:val="008B6836"/>
    <w:rsid w:val="008B6840"/>
    <w:rsid w:val="008B6874"/>
    <w:rsid w:val="008B689F"/>
    <w:rsid w:val="008B690C"/>
    <w:rsid w:val="008B6A2F"/>
    <w:rsid w:val="008B6B0C"/>
    <w:rsid w:val="008B6BD0"/>
    <w:rsid w:val="008B6C25"/>
    <w:rsid w:val="008B6D55"/>
    <w:rsid w:val="008B6D6A"/>
    <w:rsid w:val="008B6DAC"/>
    <w:rsid w:val="008B6DD8"/>
    <w:rsid w:val="008B6DD9"/>
    <w:rsid w:val="008B70B8"/>
    <w:rsid w:val="008B7221"/>
    <w:rsid w:val="008B7384"/>
    <w:rsid w:val="008B73E3"/>
    <w:rsid w:val="008B74D0"/>
    <w:rsid w:val="008B7581"/>
    <w:rsid w:val="008B7624"/>
    <w:rsid w:val="008B77E1"/>
    <w:rsid w:val="008B780D"/>
    <w:rsid w:val="008B78AE"/>
    <w:rsid w:val="008B794A"/>
    <w:rsid w:val="008B7B15"/>
    <w:rsid w:val="008B7B79"/>
    <w:rsid w:val="008B7BE2"/>
    <w:rsid w:val="008B7C42"/>
    <w:rsid w:val="008B7CDF"/>
    <w:rsid w:val="008B7D26"/>
    <w:rsid w:val="008B7D45"/>
    <w:rsid w:val="008B7D7F"/>
    <w:rsid w:val="008B7ECE"/>
    <w:rsid w:val="008B7F74"/>
    <w:rsid w:val="008C007A"/>
    <w:rsid w:val="008C0111"/>
    <w:rsid w:val="008C01C6"/>
    <w:rsid w:val="008C020E"/>
    <w:rsid w:val="008C025D"/>
    <w:rsid w:val="008C02BB"/>
    <w:rsid w:val="008C03D9"/>
    <w:rsid w:val="008C04A2"/>
    <w:rsid w:val="008C04F4"/>
    <w:rsid w:val="008C050E"/>
    <w:rsid w:val="008C0583"/>
    <w:rsid w:val="008C0593"/>
    <w:rsid w:val="008C05E1"/>
    <w:rsid w:val="008C0682"/>
    <w:rsid w:val="008C086D"/>
    <w:rsid w:val="008C08FE"/>
    <w:rsid w:val="008C09C7"/>
    <w:rsid w:val="008C0AE1"/>
    <w:rsid w:val="008C0B18"/>
    <w:rsid w:val="008C0C33"/>
    <w:rsid w:val="008C0C4A"/>
    <w:rsid w:val="008C0C7D"/>
    <w:rsid w:val="008C0D02"/>
    <w:rsid w:val="008C0D9A"/>
    <w:rsid w:val="008C0E02"/>
    <w:rsid w:val="008C0E75"/>
    <w:rsid w:val="008C0F7D"/>
    <w:rsid w:val="008C104A"/>
    <w:rsid w:val="008C113C"/>
    <w:rsid w:val="008C115B"/>
    <w:rsid w:val="008C1191"/>
    <w:rsid w:val="008C12A9"/>
    <w:rsid w:val="008C12E6"/>
    <w:rsid w:val="008C13F3"/>
    <w:rsid w:val="008C14BC"/>
    <w:rsid w:val="008C14F2"/>
    <w:rsid w:val="008C1500"/>
    <w:rsid w:val="008C152B"/>
    <w:rsid w:val="008C15EF"/>
    <w:rsid w:val="008C1605"/>
    <w:rsid w:val="008C16F9"/>
    <w:rsid w:val="008C1768"/>
    <w:rsid w:val="008C176A"/>
    <w:rsid w:val="008C176C"/>
    <w:rsid w:val="008C1785"/>
    <w:rsid w:val="008C1818"/>
    <w:rsid w:val="008C184F"/>
    <w:rsid w:val="008C189E"/>
    <w:rsid w:val="008C192E"/>
    <w:rsid w:val="008C19C0"/>
    <w:rsid w:val="008C1A20"/>
    <w:rsid w:val="008C1A6A"/>
    <w:rsid w:val="008C1CA2"/>
    <w:rsid w:val="008C1D4C"/>
    <w:rsid w:val="008C1D8A"/>
    <w:rsid w:val="008C1E23"/>
    <w:rsid w:val="008C1E5E"/>
    <w:rsid w:val="008C1E80"/>
    <w:rsid w:val="008C1E83"/>
    <w:rsid w:val="008C1E8D"/>
    <w:rsid w:val="008C208C"/>
    <w:rsid w:val="008C231A"/>
    <w:rsid w:val="008C2550"/>
    <w:rsid w:val="008C2642"/>
    <w:rsid w:val="008C2740"/>
    <w:rsid w:val="008C279F"/>
    <w:rsid w:val="008C27CC"/>
    <w:rsid w:val="008C285D"/>
    <w:rsid w:val="008C295C"/>
    <w:rsid w:val="008C29D3"/>
    <w:rsid w:val="008C2A85"/>
    <w:rsid w:val="008C2ABF"/>
    <w:rsid w:val="008C2AED"/>
    <w:rsid w:val="008C2C99"/>
    <w:rsid w:val="008C2D77"/>
    <w:rsid w:val="008C2D8D"/>
    <w:rsid w:val="008C2DB3"/>
    <w:rsid w:val="008C2F09"/>
    <w:rsid w:val="008C2F86"/>
    <w:rsid w:val="008C318A"/>
    <w:rsid w:val="008C32D4"/>
    <w:rsid w:val="008C32D5"/>
    <w:rsid w:val="008C32FC"/>
    <w:rsid w:val="008C33DB"/>
    <w:rsid w:val="008C3416"/>
    <w:rsid w:val="008C345E"/>
    <w:rsid w:val="008C3681"/>
    <w:rsid w:val="008C36C2"/>
    <w:rsid w:val="008C36DE"/>
    <w:rsid w:val="008C37D6"/>
    <w:rsid w:val="008C3935"/>
    <w:rsid w:val="008C3972"/>
    <w:rsid w:val="008C3C4E"/>
    <w:rsid w:val="008C3CFE"/>
    <w:rsid w:val="008C3F21"/>
    <w:rsid w:val="008C3F69"/>
    <w:rsid w:val="008C3FAD"/>
    <w:rsid w:val="008C409D"/>
    <w:rsid w:val="008C40C0"/>
    <w:rsid w:val="008C415C"/>
    <w:rsid w:val="008C429C"/>
    <w:rsid w:val="008C42E5"/>
    <w:rsid w:val="008C42F7"/>
    <w:rsid w:val="008C4322"/>
    <w:rsid w:val="008C4406"/>
    <w:rsid w:val="008C45CB"/>
    <w:rsid w:val="008C4611"/>
    <w:rsid w:val="008C46D3"/>
    <w:rsid w:val="008C477B"/>
    <w:rsid w:val="008C47BA"/>
    <w:rsid w:val="008C49D2"/>
    <w:rsid w:val="008C4B3F"/>
    <w:rsid w:val="008C4BA3"/>
    <w:rsid w:val="008C4D8B"/>
    <w:rsid w:val="008C4EFE"/>
    <w:rsid w:val="008C500F"/>
    <w:rsid w:val="008C5053"/>
    <w:rsid w:val="008C52DE"/>
    <w:rsid w:val="008C5328"/>
    <w:rsid w:val="008C5406"/>
    <w:rsid w:val="008C5731"/>
    <w:rsid w:val="008C573F"/>
    <w:rsid w:val="008C57CA"/>
    <w:rsid w:val="008C5830"/>
    <w:rsid w:val="008C594A"/>
    <w:rsid w:val="008C59D0"/>
    <w:rsid w:val="008C5A6F"/>
    <w:rsid w:val="008C5B21"/>
    <w:rsid w:val="008C5B40"/>
    <w:rsid w:val="008C5BD8"/>
    <w:rsid w:val="008C5CAF"/>
    <w:rsid w:val="008C5D64"/>
    <w:rsid w:val="008C5E9B"/>
    <w:rsid w:val="008C6078"/>
    <w:rsid w:val="008C609A"/>
    <w:rsid w:val="008C60EA"/>
    <w:rsid w:val="008C6118"/>
    <w:rsid w:val="008C6121"/>
    <w:rsid w:val="008C61D5"/>
    <w:rsid w:val="008C61E7"/>
    <w:rsid w:val="008C6226"/>
    <w:rsid w:val="008C625F"/>
    <w:rsid w:val="008C6293"/>
    <w:rsid w:val="008C62AA"/>
    <w:rsid w:val="008C62D6"/>
    <w:rsid w:val="008C630E"/>
    <w:rsid w:val="008C643F"/>
    <w:rsid w:val="008C64B5"/>
    <w:rsid w:val="008C6658"/>
    <w:rsid w:val="008C66D4"/>
    <w:rsid w:val="008C66DA"/>
    <w:rsid w:val="008C6820"/>
    <w:rsid w:val="008C682C"/>
    <w:rsid w:val="008C6A17"/>
    <w:rsid w:val="008C6A93"/>
    <w:rsid w:val="008C6B0B"/>
    <w:rsid w:val="008C6BF6"/>
    <w:rsid w:val="008C6D07"/>
    <w:rsid w:val="008C6E0C"/>
    <w:rsid w:val="008C6E55"/>
    <w:rsid w:val="008C7022"/>
    <w:rsid w:val="008C70E3"/>
    <w:rsid w:val="008C718A"/>
    <w:rsid w:val="008C72CD"/>
    <w:rsid w:val="008C73D3"/>
    <w:rsid w:val="008C73EB"/>
    <w:rsid w:val="008C7419"/>
    <w:rsid w:val="008C74EB"/>
    <w:rsid w:val="008C75B1"/>
    <w:rsid w:val="008C75E4"/>
    <w:rsid w:val="008C7610"/>
    <w:rsid w:val="008C77C4"/>
    <w:rsid w:val="008C7803"/>
    <w:rsid w:val="008C78D9"/>
    <w:rsid w:val="008C7909"/>
    <w:rsid w:val="008C794D"/>
    <w:rsid w:val="008C79BC"/>
    <w:rsid w:val="008C7A11"/>
    <w:rsid w:val="008C7A12"/>
    <w:rsid w:val="008C7AB3"/>
    <w:rsid w:val="008C7AD5"/>
    <w:rsid w:val="008C7AE7"/>
    <w:rsid w:val="008C7CB2"/>
    <w:rsid w:val="008C7CF5"/>
    <w:rsid w:val="008C7E19"/>
    <w:rsid w:val="008D01B4"/>
    <w:rsid w:val="008D025B"/>
    <w:rsid w:val="008D042B"/>
    <w:rsid w:val="008D0492"/>
    <w:rsid w:val="008D0534"/>
    <w:rsid w:val="008D0548"/>
    <w:rsid w:val="008D05A2"/>
    <w:rsid w:val="008D065C"/>
    <w:rsid w:val="008D06BF"/>
    <w:rsid w:val="008D0749"/>
    <w:rsid w:val="008D07FB"/>
    <w:rsid w:val="008D080A"/>
    <w:rsid w:val="008D08C2"/>
    <w:rsid w:val="008D094B"/>
    <w:rsid w:val="008D0BF7"/>
    <w:rsid w:val="008D0C7D"/>
    <w:rsid w:val="008D0CDA"/>
    <w:rsid w:val="008D0D25"/>
    <w:rsid w:val="008D0D4A"/>
    <w:rsid w:val="008D0DE0"/>
    <w:rsid w:val="008D0E2A"/>
    <w:rsid w:val="008D0E3A"/>
    <w:rsid w:val="008D0EC1"/>
    <w:rsid w:val="008D0EF2"/>
    <w:rsid w:val="008D0FBD"/>
    <w:rsid w:val="008D10BD"/>
    <w:rsid w:val="008D13C1"/>
    <w:rsid w:val="008D1805"/>
    <w:rsid w:val="008D1845"/>
    <w:rsid w:val="008D1904"/>
    <w:rsid w:val="008D1A1D"/>
    <w:rsid w:val="008D1AC0"/>
    <w:rsid w:val="008D1B2E"/>
    <w:rsid w:val="008D1BCB"/>
    <w:rsid w:val="008D1D4F"/>
    <w:rsid w:val="008D1DBD"/>
    <w:rsid w:val="008D1E92"/>
    <w:rsid w:val="008D1EBA"/>
    <w:rsid w:val="008D1F56"/>
    <w:rsid w:val="008D1F63"/>
    <w:rsid w:val="008D1FC2"/>
    <w:rsid w:val="008D20C4"/>
    <w:rsid w:val="008D21D4"/>
    <w:rsid w:val="008D2358"/>
    <w:rsid w:val="008D23C2"/>
    <w:rsid w:val="008D2414"/>
    <w:rsid w:val="008D2500"/>
    <w:rsid w:val="008D2855"/>
    <w:rsid w:val="008D2879"/>
    <w:rsid w:val="008D29F8"/>
    <w:rsid w:val="008D2B9B"/>
    <w:rsid w:val="008D2C0D"/>
    <w:rsid w:val="008D2C2F"/>
    <w:rsid w:val="008D2C44"/>
    <w:rsid w:val="008D2E60"/>
    <w:rsid w:val="008D2F11"/>
    <w:rsid w:val="008D318C"/>
    <w:rsid w:val="008D3339"/>
    <w:rsid w:val="008D3340"/>
    <w:rsid w:val="008D3357"/>
    <w:rsid w:val="008D3453"/>
    <w:rsid w:val="008D3474"/>
    <w:rsid w:val="008D3592"/>
    <w:rsid w:val="008D3755"/>
    <w:rsid w:val="008D37F2"/>
    <w:rsid w:val="008D391F"/>
    <w:rsid w:val="008D3A68"/>
    <w:rsid w:val="008D3B40"/>
    <w:rsid w:val="008D3C72"/>
    <w:rsid w:val="008D3C98"/>
    <w:rsid w:val="008D3D18"/>
    <w:rsid w:val="008D3D8A"/>
    <w:rsid w:val="008D3DCC"/>
    <w:rsid w:val="008D3E11"/>
    <w:rsid w:val="008D3FF7"/>
    <w:rsid w:val="008D400E"/>
    <w:rsid w:val="008D405E"/>
    <w:rsid w:val="008D42B7"/>
    <w:rsid w:val="008D42D7"/>
    <w:rsid w:val="008D4439"/>
    <w:rsid w:val="008D45AD"/>
    <w:rsid w:val="008D4640"/>
    <w:rsid w:val="008D466B"/>
    <w:rsid w:val="008D4966"/>
    <w:rsid w:val="008D4968"/>
    <w:rsid w:val="008D49F4"/>
    <w:rsid w:val="008D4A02"/>
    <w:rsid w:val="008D4A9C"/>
    <w:rsid w:val="008D4AD3"/>
    <w:rsid w:val="008D4B70"/>
    <w:rsid w:val="008D4B7A"/>
    <w:rsid w:val="008D4C4A"/>
    <w:rsid w:val="008D4C75"/>
    <w:rsid w:val="008D4CF9"/>
    <w:rsid w:val="008D4D55"/>
    <w:rsid w:val="008D502A"/>
    <w:rsid w:val="008D51DB"/>
    <w:rsid w:val="008D5213"/>
    <w:rsid w:val="008D53E9"/>
    <w:rsid w:val="008D5624"/>
    <w:rsid w:val="008D5666"/>
    <w:rsid w:val="008D57D1"/>
    <w:rsid w:val="008D5AFF"/>
    <w:rsid w:val="008D5B51"/>
    <w:rsid w:val="008D5BF2"/>
    <w:rsid w:val="008D5D78"/>
    <w:rsid w:val="008D5DDA"/>
    <w:rsid w:val="008D5E13"/>
    <w:rsid w:val="008D5EF7"/>
    <w:rsid w:val="008D5F32"/>
    <w:rsid w:val="008D5FCA"/>
    <w:rsid w:val="008D607E"/>
    <w:rsid w:val="008D60E2"/>
    <w:rsid w:val="008D6329"/>
    <w:rsid w:val="008D63A7"/>
    <w:rsid w:val="008D63CE"/>
    <w:rsid w:val="008D63EE"/>
    <w:rsid w:val="008D63F3"/>
    <w:rsid w:val="008D640C"/>
    <w:rsid w:val="008D643C"/>
    <w:rsid w:val="008D646A"/>
    <w:rsid w:val="008D6560"/>
    <w:rsid w:val="008D6590"/>
    <w:rsid w:val="008D671E"/>
    <w:rsid w:val="008D6801"/>
    <w:rsid w:val="008D6820"/>
    <w:rsid w:val="008D69C0"/>
    <w:rsid w:val="008D69DB"/>
    <w:rsid w:val="008D6A02"/>
    <w:rsid w:val="008D6A0C"/>
    <w:rsid w:val="008D6B0C"/>
    <w:rsid w:val="008D6B69"/>
    <w:rsid w:val="008D6B89"/>
    <w:rsid w:val="008D6C5D"/>
    <w:rsid w:val="008D6D91"/>
    <w:rsid w:val="008D6E8A"/>
    <w:rsid w:val="008D6EDB"/>
    <w:rsid w:val="008D6F00"/>
    <w:rsid w:val="008D6F8A"/>
    <w:rsid w:val="008D7020"/>
    <w:rsid w:val="008D7052"/>
    <w:rsid w:val="008D7121"/>
    <w:rsid w:val="008D7139"/>
    <w:rsid w:val="008D7267"/>
    <w:rsid w:val="008D7278"/>
    <w:rsid w:val="008D7470"/>
    <w:rsid w:val="008D74B6"/>
    <w:rsid w:val="008D75F3"/>
    <w:rsid w:val="008D7735"/>
    <w:rsid w:val="008D7750"/>
    <w:rsid w:val="008D7789"/>
    <w:rsid w:val="008D77F4"/>
    <w:rsid w:val="008D7924"/>
    <w:rsid w:val="008D793F"/>
    <w:rsid w:val="008D7941"/>
    <w:rsid w:val="008D7A4A"/>
    <w:rsid w:val="008D7AF6"/>
    <w:rsid w:val="008D7B79"/>
    <w:rsid w:val="008D7CD7"/>
    <w:rsid w:val="008D7CF4"/>
    <w:rsid w:val="008D7E73"/>
    <w:rsid w:val="008D7EAA"/>
    <w:rsid w:val="008D7FF6"/>
    <w:rsid w:val="008E0031"/>
    <w:rsid w:val="008E009A"/>
    <w:rsid w:val="008E0205"/>
    <w:rsid w:val="008E0237"/>
    <w:rsid w:val="008E02A7"/>
    <w:rsid w:val="008E037E"/>
    <w:rsid w:val="008E0385"/>
    <w:rsid w:val="008E03EF"/>
    <w:rsid w:val="008E044C"/>
    <w:rsid w:val="008E0498"/>
    <w:rsid w:val="008E0547"/>
    <w:rsid w:val="008E0570"/>
    <w:rsid w:val="008E0649"/>
    <w:rsid w:val="008E06D4"/>
    <w:rsid w:val="008E0709"/>
    <w:rsid w:val="008E0799"/>
    <w:rsid w:val="008E07DC"/>
    <w:rsid w:val="008E08CC"/>
    <w:rsid w:val="008E0999"/>
    <w:rsid w:val="008E09C6"/>
    <w:rsid w:val="008E0B3E"/>
    <w:rsid w:val="008E0BB2"/>
    <w:rsid w:val="008E0C98"/>
    <w:rsid w:val="008E0CB8"/>
    <w:rsid w:val="008E0E0F"/>
    <w:rsid w:val="008E0E23"/>
    <w:rsid w:val="008E0E73"/>
    <w:rsid w:val="008E0F5E"/>
    <w:rsid w:val="008E0FB1"/>
    <w:rsid w:val="008E0FF1"/>
    <w:rsid w:val="008E10EF"/>
    <w:rsid w:val="008E1138"/>
    <w:rsid w:val="008E1188"/>
    <w:rsid w:val="008E1196"/>
    <w:rsid w:val="008E11D0"/>
    <w:rsid w:val="008E1364"/>
    <w:rsid w:val="008E151F"/>
    <w:rsid w:val="008E1548"/>
    <w:rsid w:val="008E1665"/>
    <w:rsid w:val="008E184A"/>
    <w:rsid w:val="008E1868"/>
    <w:rsid w:val="008E1941"/>
    <w:rsid w:val="008E1BAA"/>
    <w:rsid w:val="008E1C55"/>
    <w:rsid w:val="008E1C70"/>
    <w:rsid w:val="008E1C9A"/>
    <w:rsid w:val="008E1D25"/>
    <w:rsid w:val="008E1E39"/>
    <w:rsid w:val="008E1EB3"/>
    <w:rsid w:val="008E1F9D"/>
    <w:rsid w:val="008E200F"/>
    <w:rsid w:val="008E2118"/>
    <w:rsid w:val="008E2241"/>
    <w:rsid w:val="008E228B"/>
    <w:rsid w:val="008E22B3"/>
    <w:rsid w:val="008E22D0"/>
    <w:rsid w:val="008E22EF"/>
    <w:rsid w:val="008E23F5"/>
    <w:rsid w:val="008E2455"/>
    <w:rsid w:val="008E2461"/>
    <w:rsid w:val="008E2467"/>
    <w:rsid w:val="008E24C6"/>
    <w:rsid w:val="008E2511"/>
    <w:rsid w:val="008E2663"/>
    <w:rsid w:val="008E27FD"/>
    <w:rsid w:val="008E29A6"/>
    <w:rsid w:val="008E2A07"/>
    <w:rsid w:val="008E2B4E"/>
    <w:rsid w:val="008E2B61"/>
    <w:rsid w:val="008E2B69"/>
    <w:rsid w:val="008E2C20"/>
    <w:rsid w:val="008E2C2F"/>
    <w:rsid w:val="008E2CBD"/>
    <w:rsid w:val="008E2D51"/>
    <w:rsid w:val="008E2D52"/>
    <w:rsid w:val="008E2DB9"/>
    <w:rsid w:val="008E2E86"/>
    <w:rsid w:val="008E2EEE"/>
    <w:rsid w:val="008E2EF4"/>
    <w:rsid w:val="008E2F10"/>
    <w:rsid w:val="008E2F72"/>
    <w:rsid w:val="008E326A"/>
    <w:rsid w:val="008E333E"/>
    <w:rsid w:val="008E33E6"/>
    <w:rsid w:val="008E3548"/>
    <w:rsid w:val="008E35BA"/>
    <w:rsid w:val="008E35CC"/>
    <w:rsid w:val="008E3630"/>
    <w:rsid w:val="008E3714"/>
    <w:rsid w:val="008E375F"/>
    <w:rsid w:val="008E3812"/>
    <w:rsid w:val="008E39C3"/>
    <w:rsid w:val="008E3A0D"/>
    <w:rsid w:val="008E3A3A"/>
    <w:rsid w:val="008E3BFD"/>
    <w:rsid w:val="008E3EAE"/>
    <w:rsid w:val="008E3FFC"/>
    <w:rsid w:val="008E405E"/>
    <w:rsid w:val="008E40DE"/>
    <w:rsid w:val="008E40F7"/>
    <w:rsid w:val="008E41D6"/>
    <w:rsid w:val="008E4236"/>
    <w:rsid w:val="008E426B"/>
    <w:rsid w:val="008E42C4"/>
    <w:rsid w:val="008E4374"/>
    <w:rsid w:val="008E4384"/>
    <w:rsid w:val="008E441D"/>
    <w:rsid w:val="008E4584"/>
    <w:rsid w:val="008E45AF"/>
    <w:rsid w:val="008E466D"/>
    <w:rsid w:val="008E46AC"/>
    <w:rsid w:val="008E47AE"/>
    <w:rsid w:val="008E47FC"/>
    <w:rsid w:val="008E4838"/>
    <w:rsid w:val="008E48B1"/>
    <w:rsid w:val="008E48F2"/>
    <w:rsid w:val="008E4A45"/>
    <w:rsid w:val="008E4A6D"/>
    <w:rsid w:val="008E4AEE"/>
    <w:rsid w:val="008E4BFF"/>
    <w:rsid w:val="008E4FF1"/>
    <w:rsid w:val="008E500B"/>
    <w:rsid w:val="008E50FD"/>
    <w:rsid w:val="008E511C"/>
    <w:rsid w:val="008E5228"/>
    <w:rsid w:val="008E529D"/>
    <w:rsid w:val="008E5456"/>
    <w:rsid w:val="008E5492"/>
    <w:rsid w:val="008E54D1"/>
    <w:rsid w:val="008E5594"/>
    <w:rsid w:val="008E55AD"/>
    <w:rsid w:val="008E56A4"/>
    <w:rsid w:val="008E56F7"/>
    <w:rsid w:val="008E5963"/>
    <w:rsid w:val="008E5A36"/>
    <w:rsid w:val="008E5B74"/>
    <w:rsid w:val="008E5B99"/>
    <w:rsid w:val="008E5C26"/>
    <w:rsid w:val="008E5DC8"/>
    <w:rsid w:val="008E5E2B"/>
    <w:rsid w:val="008E5EAD"/>
    <w:rsid w:val="008E5F39"/>
    <w:rsid w:val="008E6081"/>
    <w:rsid w:val="008E60E5"/>
    <w:rsid w:val="008E6179"/>
    <w:rsid w:val="008E61BE"/>
    <w:rsid w:val="008E6236"/>
    <w:rsid w:val="008E628B"/>
    <w:rsid w:val="008E6311"/>
    <w:rsid w:val="008E64A2"/>
    <w:rsid w:val="008E6501"/>
    <w:rsid w:val="008E6578"/>
    <w:rsid w:val="008E6589"/>
    <w:rsid w:val="008E661D"/>
    <w:rsid w:val="008E679B"/>
    <w:rsid w:val="008E6839"/>
    <w:rsid w:val="008E6A19"/>
    <w:rsid w:val="008E6AED"/>
    <w:rsid w:val="008E6B18"/>
    <w:rsid w:val="008E6BAB"/>
    <w:rsid w:val="008E6BF3"/>
    <w:rsid w:val="008E6E85"/>
    <w:rsid w:val="008E6E9F"/>
    <w:rsid w:val="008E7289"/>
    <w:rsid w:val="008E731D"/>
    <w:rsid w:val="008E73BB"/>
    <w:rsid w:val="008E73C7"/>
    <w:rsid w:val="008E73D8"/>
    <w:rsid w:val="008E742A"/>
    <w:rsid w:val="008E74AD"/>
    <w:rsid w:val="008E74BB"/>
    <w:rsid w:val="008E78F4"/>
    <w:rsid w:val="008E7A33"/>
    <w:rsid w:val="008E7A6E"/>
    <w:rsid w:val="008E7B1A"/>
    <w:rsid w:val="008E7B62"/>
    <w:rsid w:val="008E7B9C"/>
    <w:rsid w:val="008E7C2F"/>
    <w:rsid w:val="008E7CA5"/>
    <w:rsid w:val="008E7D37"/>
    <w:rsid w:val="008E7D8B"/>
    <w:rsid w:val="008E7DFA"/>
    <w:rsid w:val="008E7EA5"/>
    <w:rsid w:val="008E7EAB"/>
    <w:rsid w:val="008E7EAC"/>
    <w:rsid w:val="008F0016"/>
    <w:rsid w:val="008F0017"/>
    <w:rsid w:val="008F0082"/>
    <w:rsid w:val="008F00A4"/>
    <w:rsid w:val="008F00B9"/>
    <w:rsid w:val="008F00E0"/>
    <w:rsid w:val="008F00E9"/>
    <w:rsid w:val="008F0104"/>
    <w:rsid w:val="008F01F2"/>
    <w:rsid w:val="008F02BD"/>
    <w:rsid w:val="008F059D"/>
    <w:rsid w:val="008F0651"/>
    <w:rsid w:val="008F0722"/>
    <w:rsid w:val="008F0737"/>
    <w:rsid w:val="008F083D"/>
    <w:rsid w:val="008F0842"/>
    <w:rsid w:val="008F0885"/>
    <w:rsid w:val="008F0A28"/>
    <w:rsid w:val="008F0A5E"/>
    <w:rsid w:val="008F0BE1"/>
    <w:rsid w:val="008F0BF2"/>
    <w:rsid w:val="008F0E13"/>
    <w:rsid w:val="008F0F17"/>
    <w:rsid w:val="008F0FC6"/>
    <w:rsid w:val="008F11AC"/>
    <w:rsid w:val="008F11D5"/>
    <w:rsid w:val="008F143F"/>
    <w:rsid w:val="008F154F"/>
    <w:rsid w:val="008F15D3"/>
    <w:rsid w:val="008F162B"/>
    <w:rsid w:val="008F1684"/>
    <w:rsid w:val="008F169B"/>
    <w:rsid w:val="008F17A5"/>
    <w:rsid w:val="008F184E"/>
    <w:rsid w:val="008F18BB"/>
    <w:rsid w:val="008F1936"/>
    <w:rsid w:val="008F193E"/>
    <w:rsid w:val="008F1AD4"/>
    <w:rsid w:val="008F1BDD"/>
    <w:rsid w:val="008F1C62"/>
    <w:rsid w:val="008F1CE6"/>
    <w:rsid w:val="008F1D69"/>
    <w:rsid w:val="008F1D7B"/>
    <w:rsid w:val="008F1DA5"/>
    <w:rsid w:val="008F205D"/>
    <w:rsid w:val="008F20AD"/>
    <w:rsid w:val="008F2199"/>
    <w:rsid w:val="008F21C8"/>
    <w:rsid w:val="008F2371"/>
    <w:rsid w:val="008F2372"/>
    <w:rsid w:val="008F23A5"/>
    <w:rsid w:val="008F23B4"/>
    <w:rsid w:val="008F2443"/>
    <w:rsid w:val="008F2567"/>
    <w:rsid w:val="008F2571"/>
    <w:rsid w:val="008F258C"/>
    <w:rsid w:val="008F2691"/>
    <w:rsid w:val="008F2857"/>
    <w:rsid w:val="008F29E1"/>
    <w:rsid w:val="008F2A08"/>
    <w:rsid w:val="008F2A13"/>
    <w:rsid w:val="008F2B7F"/>
    <w:rsid w:val="008F2C22"/>
    <w:rsid w:val="008F2C34"/>
    <w:rsid w:val="008F2CC0"/>
    <w:rsid w:val="008F2D1D"/>
    <w:rsid w:val="008F2F1F"/>
    <w:rsid w:val="008F30C6"/>
    <w:rsid w:val="008F315F"/>
    <w:rsid w:val="008F321F"/>
    <w:rsid w:val="008F326A"/>
    <w:rsid w:val="008F33C1"/>
    <w:rsid w:val="008F3443"/>
    <w:rsid w:val="008F3476"/>
    <w:rsid w:val="008F3717"/>
    <w:rsid w:val="008F3868"/>
    <w:rsid w:val="008F3869"/>
    <w:rsid w:val="008F3962"/>
    <w:rsid w:val="008F3A9C"/>
    <w:rsid w:val="008F3B6D"/>
    <w:rsid w:val="008F3C92"/>
    <w:rsid w:val="008F3E60"/>
    <w:rsid w:val="008F3EBD"/>
    <w:rsid w:val="008F4063"/>
    <w:rsid w:val="008F4118"/>
    <w:rsid w:val="008F418B"/>
    <w:rsid w:val="008F424A"/>
    <w:rsid w:val="008F42B1"/>
    <w:rsid w:val="008F434C"/>
    <w:rsid w:val="008F43A7"/>
    <w:rsid w:val="008F442B"/>
    <w:rsid w:val="008F4490"/>
    <w:rsid w:val="008F44A8"/>
    <w:rsid w:val="008F4560"/>
    <w:rsid w:val="008F4627"/>
    <w:rsid w:val="008F469D"/>
    <w:rsid w:val="008F46F0"/>
    <w:rsid w:val="008F4822"/>
    <w:rsid w:val="008F4974"/>
    <w:rsid w:val="008F49BB"/>
    <w:rsid w:val="008F4A64"/>
    <w:rsid w:val="008F4B45"/>
    <w:rsid w:val="008F4BC5"/>
    <w:rsid w:val="008F4DC9"/>
    <w:rsid w:val="008F5304"/>
    <w:rsid w:val="008F54DA"/>
    <w:rsid w:val="008F5534"/>
    <w:rsid w:val="008F55C2"/>
    <w:rsid w:val="008F5645"/>
    <w:rsid w:val="008F567F"/>
    <w:rsid w:val="008F5697"/>
    <w:rsid w:val="008F57A2"/>
    <w:rsid w:val="008F57CC"/>
    <w:rsid w:val="008F5850"/>
    <w:rsid w:val="008F59B3"/>
    <w:rsid w:val="008F5A87"/>
    <w:rsid w:val="008F5B8B"/>
    <w:rsid w:val="008F5BC3"/>
    <w:rsid w:val="008F5CAC"/>
    <w:rsid w:val="008F5D0F"/>
    <w:rsid w:val="008F5D21"/>
    <w:rsid w:val="008F5DBB"/>
    <w:rsid w:val="008F5EFB"/>
    <w:rsid w:val="008F5F57"/>
    <w:rsid w:val="008F5FA6"/>
    <w:rsid w:val="008F5FF3"/>
    <w:rsid w:val="008F6066"/>
    <w:rsid w:val="008F60B0"/>
    <w:rsid w:val="008F61EF"/>
    <w:rsid w:val="008F6269"/>
    <w:rsid w:val="008F6360"/>
    <w:rsid w:val="008F6608"/>
    <w:rsid w:val="008F67A4"/>
    <w:rsid w:val="008F6848"/>
    <w:rsid w:val="008F6900"/>
    <w:rsid w:val="008F694A"/>
    <w:rsid w:val="008F6A41"/>
    <w:rsid w:val="008F6BA8"/>
    <w:rsid w:val="008F6BF5"/>
    <w:rsid w:val="008F6C85"/>
    <w:rsid w:val="008F6CC0"/>
    <w:rsid w:val="008F6CCD"/>
    <w:rsid w:val="008F6CE5"/>
    <w:rsid w:val="008F6D14"/>
    <w:rsid w:val="008F6D88"/>
    <w:rsid w:val="008F6EE2"/>
    <w:rsid w:val="008F6F50"/>
    <w:rsid w:val="008F6FD1"/>
    <w:rsid w:val="008F6FF4"/>
    <w:rsid w:val="008F6FF9"/>
    <w:rsid w:val="008F7056"/>
    <w:rsid w:val="008F7087"/>
    <w:rsid w:val="008F719E"/>
    <w:rsid w:val="008F71AC"/>
    <w:rsid w:val="008F71D2"/>
    <w:rsid w:val="008F71FA"/>
    <w:rsid w:val="008F7221"/>
    <w:rsid w:val="008F73A8"/>
    <w:rsid w:val="008F73A9"/>
    <w:rsid w:val="008F741E"/>
    <w:rsid w:val="008F756B"/>
    <w:rsid w:val="008F75B5"/>
    <w:rsid w:val="008F760B"/>
    <w:rsid w:val="008F76C7"/>
    <w:rsid w:val="008F784D"/>
    <w:rsid w:val="008F7872"/>
    <w:rsid w:val="008F78AC"/>
    <w:rsid w:val="008F793F"/>
    <w:rsid w:val="008F7995"/>
    <w:rsid w:val="008F79F9"/>
    <w:rsid w:val="008F7C7D"/>
    <w:rsid w:val="008F7CED"/>
    <w:rsid w:val="008F7DF4"/>
    <w:rsid w:val="008F7E11"/>
    <w:rsid w:val="008F7F84"/>
    <w:rsid w:val="00900003"/>
    <w:rsid w:val="0090007A"/>
    <w:rsid w:val="00900161"/>
    <w:rsid w:val="009002F0"/>
    <w:rsid w:val="009003E1"/>
    <w:rsid w:val="009004D0"/>
    <w:rsid w:val="00900599"/>
    <w:rsid w:val="009006D5"/>
    <w:rsid w:val="009006EC"/>
    <w:rsid w:val="00900712"/>
    <w:rsid w:val="00900798"/>
    <w:rsid w:val="00900799"/>
    <w:rsid w:val="0090093D"/>
    <w:rsid w:val="00900A6F"/>
    <w:rsid w:val="00900B26"/>
    <w:rsid w:val="00900B2A"/>
    <w:rsid w:val="00900B82"/>
    <w:rsid w:val="00900BAF"/>
    <w:rsid w:val="00900DA5"/>
    <w:rsid w:val="00900DF6"/>
    <w:rsid w:val="00900F98"/>
    <w:rsid w:val="00901009"/>
    <w:rsid w:val="00901089"/>
    <w:rsid w:val="00901134"/>
    <w:rsid w:val="009011AB"/>
    <w:rsid w:val="009011D0"/>
    <w:rsid w:val="009012CD"/>
    <w:rsid w:val="0090160F"/>
    <w:rsid w:val="0090165D"/>
    <w:rsid w:val="00901698"/>
    <w:rsid w:val="00901703"/>
    <w:rsid w:val="00901733"/>
    <w:rsid w:val="009019CB"/>
    <w:rsid w:val="00901A4C"/>
    <w:rsid w:val="00901A9B"/>
    <w:rsid w:val="00901ADD"/>
    <w:rsid w:val="00901B5F"/>
    <w:rsid w:val="00901B73"/>
    <w:rsid w:val="00901C38"/>
    <w:rsid w:val="00901D3F"/>
    <w:rsid w:val="00901DC1"/>
    <w:rsid w:val="00901E7F"/>
    <w:rsid w:val="00901EE6"/>
    <w:rsid w:val="00901EFE"/>
    <w:rsid w:val="009020B0"/>
    <w:rsid w:val="009020F4"/>
    <w:rsid w:val="009023FF"/>
    <w:rsid w:val="009024E4"/>
    <w:rsid w:val="00902573"/>
    <w:rsid w:val="00902618"/>
    <w:rsid w:val="00902685"/>
    <w:rsid w:val="009026A7"/>
    <w:rsid w:val="00902717"/>
    <w:rsid w:val="009027E3"/>
    <w:rsid w:val="00902907"/>
    <w:rsid w:val="00902965"/>
    <w:rsid w:val="009029AB"/>
    <w:rsid w:val="00902A62"/>
    <w:rsid w:val="00902AAB"/>
    <w:rsid w:val="00902ACE"/>
    <w:rsid w:val="00902B9F"/>
    <w:rsid w:val="00902BAE"/>
    <w:rsid w:val="00902C48"/>
    <w:rsid w:val="00902C69"/>
    <w:rsid w:val="00902D14"/>
    <w:rsid w:val="00902D9F"/>
    <w:rsid w:val="00902E59"/>
    <w:rsid w:val="00903165"/>
    <w:rsid w:val="00903211"/>
    <w:rsid w:val="009032DE"/>
    <w:rsid w:val="009032E5"/>
    <w:rsid w:val="00903303"/>
    <w:rsid w:val="00903431"/>
    <w:rsid w:val="00903503"/>
    <w:rsid w:val="00903505"/>
    <w:rsid w:val="0090353B"/>
    <w:rsid w:val="0090368A"/>
    <w:rsid w:val="0090377E"/>
    <w:rsid w:val="0090385F"/>
    <w:rsid w:val="009038BF"/>
    <w:rsid w:val="009038FC"/>
    <w:rsid w:val="00903945"/>
    <w:rsid w:val="00903D82"/>
    <w:rsid w:val="00903DCC"/>
    <w:rsid w:val="00903E12"/>
    <w:rsid w:val="00903E8B"/>
    <w:rsid w:val="00903E96"/>
    <w:rsid w:val="00903FF2"/>
    <w:rsid w:val="009044B4"/>
    <w:rsid w:val="00904513"/>
    <w:rsid w:val="00904A11"/>
    <w:rsid w:val="00904B34"/>
    <w:rsid w:val="00904B3B"/>
    <w:rsid w:val="00904B5A"/>
    <w:rsid w:val="00904BCF"/>
    <w:rsid w:val="00904BD0"/>
    <w:rsid w:val="00904C45"/>
    <w:rsid w:val="00904CCE"/>
    <w:rsid w:val="00904D6E"/>
    <w:rsid w:val="00904F04"/>
    <w:rsid w:val="00904F63"/>
    <w:rsid w:val="009050F4"/>
    <w:rsid w:val="00905131"/>
    <w:rsid w:val="00905260"/>
    <w:rsid w:val="009052CB"/>
    <w:rsid w:val="009052F7"/>
    <w:rsid w:val="00905328"/>
    <w:rsid w:val="0090533C"/>
    <w:rsid w:val="0090546D"/>
    <w:rsid w:val="0090547A"/>
    <w:rsid w:val="00905618"/>
    <w:rsid w:val="009056A8"/>
    <w:rsid w:val="0090576A"/>
    <w:rsid w:val="009058A4"/>
    <w:rsid w:val="009058B1"/>
    <w:rsid w:val="009058B9"/>
    <w:rsid w:val="00905914"/>
    <w:rsid w:val="00905954"/>
    <w:rsid w:val="00905962"/>
    <w:rsid w:val="00905B06"/>
    <w:rsid w:val="00905B64"/>
    <w:rsid w:val="00905BA1"/>
    <w:rsid w:val="00905C63"/>
    <w:rsid w:val="00905D69"/>
    <w:rsid w:val="00905ED4"/>
    <w:rsid w:val="00905F53"/>
    <w:rsid w:val="0090605F"/>
    <w:rsid w:val="0090609A"/>
    <w:rsid w:val="00906131"/>
    <w:rsid w:val="0090621F"/>
    <w:rsid w:val="009062C1"/>
    <w:rsid w:val="00906387"/>
    <w:rsid w:val="00906427"/>
    <w:rsid w:val="00906437"/>
    <w:rsid w:val="009065C2"/>
    <w:rsid w:val="00906656"/>
    <w:rsid w:val="00906775"/>
    <w:rsid w:val="0090685F"/>
    <w:rsid w:val="00906870"/>
    <w:rsid w:val="00906901"/>
    <w:rsid w:val="00906934"/>
    <w:rsid w:val="009069F8"/>
    <w:rsid w:val="00906AD4"/>
    <w:rsid w:val="00906AE0"/>
    <w:rsid w:val="00906CB1"/>
    <w:rsid w:val="00906CDC"/>
    <w:rsid w:val="00906D4B"/>
    <w:rsid w:val="00906D5A"/>
    <w:rsid w:val="00906EF2"/>
    <w:rsid w:val="00906FBB"/>
    <w:rsid w:val="00907125"/>
    <w:rsid w:val="0090717A"/>
    <w:rsid w:val="009071F3"/>
    <w:rsid w:val="009073C5"/>
    <w:rsid w:val="00907441"/>
    <w:rsid w:val="00907630"/>
    <w:rsid w:val="00907745"/>
    <w:rsid w:val="009077E1"/>
    <w:rsid w:val="0090787F"/>
    <w:rsid w:val="009078A3"/>
    <w:rsid w:val="00907979"/>
    <w:rsid w:val="00907992"/>
    <w:rsid w:val="00907B29"/>
    <w:rsid w:val="00907B2D"/>
    <w:rsid w:val="00907C6C"/>
    <w:rsid w:val="00907C70"/>
    <w:rsid w:val="00907DBB"/>
    <w:rsid w:val="00907F9D"/>
    <w:rsid w:val="00907FF7"/>
    <w:rsid w:val="0091005F"/>
    <w:rsid w:val="00910157"/>
    <w:rsid w:val="00910201"/>
    <w:rsid w:val="0091021C"/>
    <w:rsid w:val="0091023C"/>
    <w:rsid w:val="00910294"/>
    <w:rsid w:val="00910353"/>
    <w:rsid w:val="009103C4"/>
    <w:rsid w:val="00910445"/>
    <w:rsid w:val="009104FA"/>
    <w:rsid w:val="00910549"/>
    <w:rsid w:val="009105CE"/>
    <w:rsid w:val="0091064A"/>
    <w:rsid w:val="0091068A"/>
    <w:rsid w:val="009106E1"/>
    <w:rsid w:val="00910771"/>
    <w:rsid w:val="00910797"/>
    <w:rsid w:val="00910823"/>
    <w:rsid w:val="00910966"/>
    <w:rsid w:val="009109CC"/>
    <w:rsid w:val="00910B06"/>
    <w:rsid w:val="00910B15"/>
    <w:rsid w:val="00910B5E"/>
    <w:rsid w:val="00910E5C"/>
    <w:rsid w:val="00910E98"/>
    <w:rsid w:val="00910F45"/>
    <w:rsid w:val="00910F61"/>
    <w:rsid w:val="0091107E"/>
    <w:rsid w:val="009111E1"/>
    <w:rsid w:val="0091122E"/>
    <w:rsid w:val="009112D6"/>
    <w:rsid w:val="00911391"/>
    <w:rsid w:val="00911445"/>
    <w:rsid w:val="00911651"/>
    <w:rsid w:val="00911709"/>
    <w:rsid w:val="0091183B"/>
    <w:rsid w:val="0091187F"/>
    <w:rsid w:val="00911880"/>
    <w:rsid w:val="0091197A"/>
    <w:rsid w:val="00911AD8"/>
    <w:rsid w:val="00911B85"/>
    <w:rsid w:val="00911BB6"/>
    <w:rsid w:val="00911C73"/>
    <w:rsid w:val="00911CCD"/>
    <w:rsid w:val="00911DE4"/>
    <w:rsid w:val="00911DEE"/>
    <w:rsid w:val="00911E6D"/>
    <w:rsid w:val="00911E96"/>
    <w:rsid w:val="00911F54"/>
    <w:rsid w:val="009120A5"/>
    <w:rsid w:val="009120FC"/>
    <w:rsid w:val="00912178"/>
    <w:rsid w:val="00912229"/>
    <w:rsid w:val="009122B7"/>
    <w:rsid w:val="00912347"/>
    <w:rsid w:val="00912348"/>
    <w:rsid w:val="009123AE"/>
    <w:rsid w:val="00912451"/>
    <w:rsid w:val="00912490"/>
    <w:rsid w:val="00912683"/>
    <w:rsid w:val="00912790"/>
    <w:rsid w:val="009127E9"/>
    <w:rsid w:val="0091281A"/>
    <w:rsid w:val="00912838"/>
    <w:rsid w:val="009129B8"/>
    <w:rsid w:val="009129C8"/>
    <w:rsid w:val="00912A7E"/>
    <w:rsid w:val="00912ADD"/>
    <w:rsid w:val="00912B42"/>
    <w:rsid w:val="00912C1D"/>
    <w:rsid w:val="00912DD8"/>
    <w:rsid w:val="00912FC7"/>
    <w:rsid w:val="0091302E"/>
    <w:rsid w:val="009130D9"/>
    <w:rsid w:val="0091314D"/>
    <w:rsid w:val="00913215"/>
    <w:rsid w:val="009132A6"/>
    <w:rsid w:val="00913322"/>
    <w:rsid w:val="009133A5"/>
    <w:rsid w:val="009133AA"/>
    <w:rsid w:val="00913423"/>
    <w:rsid w:val="009134A8"/>
    <w:rsid w:val="00913503"/>
    <w:rsid w:val="00913568"/>
    <w:rsid w:val="00913665"/>
    <w:rsid w:val="009136F1"/>
    <w:rsid w:val="0091375A"/>
    <w:rsid w:val="00913778"/>
    <w:rsid w:val="00913893"/>
    <w:rsid w:val="00913935"/>
    <w:rsid w:val="00913BE9"/>
    <w:rsid w:val="00913C1C"/>
    <w:rsid w:val="00913DC7"/>
    <w:rsid w:val="00913E1E"/>
    <w:rsid w:val="00913E2A"/>
    <w:rsid w:val="00913E52"/>
    <w:rsid w:val="00914092"/>
    <w:rsid w:val="00914107"/>
    <w:rsid w:val="0091415B"/>
    <w:rsid w:val="00914172"/>
    <w:rsid w:val="0091428C"/>
    <w:rsid w:val="0091429E"/>
    <w:rsid w:val="00914359"/>
    <w:rsid w:val="009143E6"/>
    <w:rsid w:val="0091440C"/>
    <w:rsid w:val="009144BF"/>
    <w:rsid w:val="009145FA"/>
    <w:rsid w:val="00914961"/>
    <w:rsid w:val="00914ABD"/>
    <w:rsid w:val="00914B02"/>
    <w:rsid w:val="00914B15"/>
    <w:rsid w:val="00914C80"/>
    <w:rsid w:val="00914C8D"/>
    <w:rsid w:val="00914E19"/>
    <w:rsid w:val="00914E28"/>
    <w:rsid w:val="00914F51"/>
    <w:rsid w:val="00914F95"/>
    <w:rsid w:val="00914FBC"/>
    <w:rsid w:val="00914FC1"/>
    <w:rsid w:val="00914FEA"/>
    <w:rsid w:val="009152E2"/>
    <w:rsid w:val="009152E6"/>
    <w:rsid w:val="00915327"/>
    <w:rsid w:val="0091535B"/>
    <w:rsid w:val="009158CF"/>
    <w:rsid w:val="00915919"/>
    <w:rsid w:val="00915A3F"/>
    <w:rsid w:val="00915AB4"/>
    <w:rsid w:val="00915ADE"/>
    <w:rsid w:val="00915B1A"/>
    <w:rsid w:val="00915B36"/>
    <w:rsid w:val="00915B61"/>
    <w:rsid w:val="00915B6E"/>
    <w:rsid w:val="00915C68"/>
    <w:rsid w:val="00915C9D"/>
    <w:rsid w:val="00915D0E"/>
    <w:rsid w:val="00915E3B"/>
    <w:rsid w:val="00915F17"/>
    <w:rsid w:val="00916029"/>
    <w:rsid w:val="00916039"/>
    <w:rsid w:val="00916215"/>
    <w:rsid w:val="00916293"/>
    <w:rsid w:val="00916298"/>
    <w:rsid w:val="0091632C"/>
    <w:rsid w:val="00916341"/>
    <w:rsid w:val="00916372"/>
    <w:rsid w:val="009163E0"/>
    <w:rsid w:val="009163FF"/>
    <w:rsid w:val="00916526"/>
    <w:rsid w:val="009165CE"/>
    <w:rsid w:val="009165DF"/>
    <w:rsid w:val="00916660"/>
    <w:rsid w:val="00916693"/>
    <w:rsid w:val="00916721"/>
    <w:rsid w:val="00916726"/>
    <w:rsid w:val="009167E8"/>
    <w:rsid w:val="00916821"/>
    <w:rsid w:val="009169AD"/>
    <w:rsid w:val="009169B8"/>
    <w:rsid w:val="00916C2E"/>
    <w:rsid w:val="00916C85"/>
    <w:rsid w:val="00916CB9"/>
    <w:rsid w:val="00916D57"/>
    <w:rsid w:val="00916E03"/>
    <w:rsid w:val="00916ED6"/>
    <w:rsid w:val="00917247"/>
    <w:rsid w:val="009172BB"/>
    <w:rsid w:val="009172E4"/>
    <w:rsid w:val="009173EF"/>
    <w:rsid w:val="0091746F"/>
    <w:rsid w:val="009174A2"/>
    <w:rsid w:val="009174EF"/>
    <w:rsid w:val="00917614"/>
    <w:rsid w:val="00917655"/>
    <w:rsid w:val="00917770"/>
    <w:rsid w:val="009178A3"/>
    <w:rsid w:val="00917980"/>
    <w:rsid w:val="00917A7B"/>
    <w:rsid w:val="00917B02"/>
    <w:rsid w:val="00917B58"/>
    <w:rsid w:val="00917BC0"/>
    <w:rsid w:val="00917BF2"/>
    <w:rsid w:val="00917D56"/>
    <w:rsid w:val="00917DBC"/>
    <w:rsid w:val="00917E4D"/>
    <w:rsid w:val="00917EEE"/>
    <w:rsid w:val="00917F10"/>
    <w:rsid w:val="00917F3D"/>
    <w:rsid w:val="00917F47"/>
    <w:rsid w:val="00920037"/>
    <w:rsid w:val="0092006A"/>
    <w:rsid w:val="0092009B"/>
    <w:rsid w:val="009200E0"/>
    <w:rsid w:val="009201A5"/>
    <w:rsid w:val="0092022B"/>
    <w:rsid w:val="0092024E"/>
    <w:rsid w:val="00920267"/>
    <w:rsid w:val="00920366"/>
    <w:rsid w:val="009203B5"/>
    <w:rsid w:val="009203BF"/>
    <w:rsid w:val="009204EF"/>
    <w:rsid w:val="00920525"/>
    <w:rsid w:val="009205A3"/>
    <w:rsid w:val="009205AB"/>
    <w:rsid w:val="009205AE"/>
    <w:rsid w:val="00920804"/>
    <w:rsid w:val="0092098D"/>
    <w:rsid w:val="009209D8"/>
    <w:rsid w:val="00920A39"/>
    <w:rsid w:val="00920A5B"/>
    <w:rsid w:val="00920A87"/>
    <w:rsid w:val="00920AE7"/>
    <w:rsid w:val="00920B17"/>
    <w:rsid w:val="00920B2B"/>
    <w:rsid w:val="00920D4B"/>
    <w:rsid w:val="00920D75"/>
    <w:rsid w:val="00920DBB"/>
    <w:rsid w:val="00920F0A"/>
    <w:rsid w:val="00920FB1"/>
    <w:rsid w:val="00920FB7"/>
    <w:rsid w:val="00920FB8"/>
    <w:rsid w:val="0092103E"/>
    <w:rsid w:val="0092127C"/>
    <w:rsid w:val="009213FE"/>
    <w:rsid w:val="00921481"/>
    <w:rsid w:val="00921500"/>
    <w:rsid w:val="0092156E"/>
    <w:rsid w:val="009215E1"/>
    <w:rsid w:val="009216BE"/>
    <w:rsid w:val="0092171F"/>
    <w:rsid w:val="00921949"/>
    <w:rsid w:val="00921A15"/>
    <w:rsid w:val="00921A5D"/>
    <w:rsid w:val="00921AA0"/>
    <w:rsid w:val="00921B1A"/>
    <w:rsid w:val="00921BB0"/>
    <w:rsid w:val="00921BBB"/>
    <w:rsid w:val="00921E5B"/>
    <w:rsid w:val="00921E88"/>
    <w:rsid w:val="00921F82"/>
    <w:rsid w:val="00921F85"/>
    <w:rsid w:val="00921FC8"/>
    <w:rsid w:val="009221C4"/>
    <w:rsid w:val="009221D1"/>
    <w:rsid w:val="00922211"/>
    <w:rsid w:val="00922256"/>
    <w:rsid w:val="0092225F"/>
    <w:rsid w:val="009222E1"/>
    <w:rsid w:val="00922326"/>
    <w:rsid w:val="009223BA"/>
    <w:rsid w:val="009224EE"/>
    <w:rsid w:val="0092256A"/>
    <w:rsid w:val="00922680"/>
    <w:rsid w:val="009227AD"/>
    <w:rsid w:val="009227EC"/>
    <w:rsid w:val="0092281C"/>
    <w:rsid w:val="0092291B"/>
    <w:rsid w:val="009229AF"/>
    <w:rsid w:val="009229B1"/>
    <w:rsid w:val="00922A3B"/>
    <w:rsid w:val="00922ADB"/>
    <w:rsid w:val="00922AE8"/>
    <w:rsid w:val="00922B0C"/>
    <w:rsid w:val="00922B4A"/>
    <w:rsid w:val="00922BBB"/>
    <w:rsid w:val="00922D13"/>
    <w:rsid w:val="00922D5E"/>
    <w:rsid w:val="00922DF4"/>
    <w:rsid w:val="00922F54"/>
    <w:rsid w:val="00922F61"/>
    <w:rsid w:val="00923054"/>
    <w:rsid w:val="009230CE"/>
    <w:rsid w:val="00923305"/>
    <w:rsid w:val="00923331"/>
    <w:rsid w:val="00923361"/>
    <w:rsid w:val="00923378"/>
    <w:rsid w:val="009233D7"/>
    <w:rsid w:val="00923440"/>
    <w:rsid w:val="00923497"/>
    <w:rsid w:val="00923598"/>
    <w:rsid w:val="0092360A"/>
    <w:rsid w:val="00923635"/>
    <w:rsid w:val="0092367E"/>
    <w:rsid w:val="009236AE"/>
    <w:rsid w:val="009236EA"/>
    <w:rsid w:val="0092382E"/>
    <w:rsid w:val="0092396F"/>
    <w:rsid w:val="00923A18"/>
    <w:rsid w:val="00923B95"/>
    <w:rsid w:val="00923D15"/>
    <w:rsid w:val="00923D5D"/>
    <w:rsid w:val="00923DA2"/>
    <w:rsid w:val="00923DEA"/>
    <w:rsid w:val="00923E57"/>
    <w:rsid w:val="00923EE3"/>
    <w:rsid w:val="00923FAF"/>
    <w:rsid w:val="00923FB9"/>
    <w:rsid w:val="00924187"/>
    <w:rsid w:val="009244AD"/>
    <w:rsid w:val="00924532"/>
    <w:rsid w:val="0092459C"/>
    <w:rsid w:val="009246C7"/>
    <w:rsid w:val="009246E7"/>
    <w:rsid w:val="0092484C"/>
    <w:rsid w:val="009248B1"/>
    <w:rsid w:val="00924B3A"/>
    <w:rsid w:val="00924B9C"/>
    <w:rsid w:val="00924E08"/>
    <w:rsid w:val="00924E7E"/>
    <w:rsid w:val="00924F71"/>
    <w:rsid w:val="00924F8F"/>
    <w:rsid w:val="00925257"/>
    <w:rsid w:val="009252C8"/>
    <w:rsid w:val="00925302"/>
    <w:rsid w:val="009253FB"/>
    <w:rsid w:val="00925434"/>
    <w:rsid w:val="00925457"/>
    <w:rsid w:val="0092572E"/>
    <w:rsid w:val="0092576B"/>
    <w:rsid w:val="00925838"/>
    <w:rsid w:val="009258D9"/>
    <w:rsid w:val="00925927"/>
    <w:rsid w:val="009259C3"/>
    <w:rsid w:val="009259D8"/>
    <w:rsid w:val="009259E5"/>
    <w:rsid w:val="00925C79"/>
    <w:rsid w:val="00925CE8"/>
    <w:rsid w:val="00925E91"/>
    <w:rsid w:val="00925F2C"/>
    <w:rsid w:val="00925F64"/>
    <w:rsid w:val="00925F6E"/>
    <w:rsid w:val="00925F77"/>
    <w:rsid w:val="00925F82"/>
    <w:rsid w:val="00925FC6"/>
    <w:rsid w:val="0092600E"/>
    <w:rsid w:val="00926194"/>
    <w:rsid w:val="0092625A"/>
    <w:rsid w:val="00926545"/>
    <w:rsid w:val="009266F4"/>
    <w:rsid w:val="00926987"/>
    <w:rsid w:val="00926A48"/>
    <w:rsid w:val="00926B7F"/>
    <w:rsid w:val="00926C91"/>
    <w:rsid w:val="00926DA8"/>
    <w:rsid w:val="00926E95"/>
    <w:rsid w:val="009270E5"/>
    <w:rsid w:val="00927208"/>
    <w:rsid w:val="0092723B"/>
    <w:rsid w:val="00927366"/>
    <w:rsid w:val="009273AD"/>
    <w:rsid w:val="00927439"/>
    <w:rsid w:val="00927443"/>
    <w:rsid w:val="009274B0"/>
    <w:rsid w:val="00927648"/>
    <w:rsid w:val="009276FA"/>
    <w:rsid w:val="009277C1"/>
    <w:rsid w:val="009279AD"/>
    <w:rsid w:val="00927A0E"/>
    <w:rsid w:val="00927A65"/>
    <w:rsid w:val="00927BBD"/>
    <w:rsid w:val="00927BF5"/>
    <w:rsid w:val="00927D05"/>
    <w:rsid w:val="00927DD4"/>
    <w:rsid w:val="00927EC9"/>
    <w:rsid w:val="00927EDF"/>
    <w:rsid w:val="00927EF8"/>
    <w:rsid w:val="00930004"/>
    <w:rsid w:val="009300BE"/>
    <w:rsid w:val="009300F3"/>
    <w:rsid w:val="009301D0"/>
    <w:rsid w:val="00930345"/>
    <w:rsid w:val="009305D3"/>
    <w:rsid w:val="00930712"/>
    <w:rsid w:val="00930874"/>
    <w:rsid w:val="009308CD"/>
    <w:rsid w:val="0093093E"/>
    <w:rsid w:val="00930A67"/>
    <w:rsid w:val="00930ACC"/>
    <w:rsid w:val="00930C81"/>
    <w:rsid w:val="00930E31"/>
    <w:rsid w:val="00930E67"/>
    <w:rsid w:val="00930F1B"/>
    <w:rsid w:val="00930FBE"/>
    <w:rsid w:val="009312C3"/>
    <w:rsid w:val="00931463"/>
    <w:rsid w:val="00931511"/>
    <w:rsid w:val="00931546"/>
    <w:rsid w:val="0093163F"/>
    <w:rsid w:val="0093166D"/>
    <w:rsid w:val="00931943"/>
    <w:rsid w:val="009319F5"/>
    <w:rsid w:val="00931A97"/>
    <w:rsid w:val="00931BB5"/>
    <w:rsid w:val="00931BC4"/>
    <w:rsid w:val="00931C46"/>
    <w:rsid w:val="00931C7C"/>
    <w:rsid w:val="00931CE5"/>
    <w:rsid w:val="00931D2D"/>
    <w:rsid w:val="0093207E"/>
    <w:rsid w:val="009320BA"/>
    <w:rsid w:val="00932152"/>
    <w:rsid w:val="00932459"/>
    <w:rsid w:val="0093248E"/>
    <w:rsid w:val="009324E1"/>
    <w:rsid w:val="0093250B"/>
    <w:rsid w:val="0093255F"/>
    <w:rsid w:val="00932576"/>
    <w:rsid w:val="00932605"/>
    <w:rsid w:val="0093268A"/>
    <w:rsid w:val="00932759"/>
    <w:rsid w:val="0093276F"/>
    <w:rsid w:val="00932814"/>
    <w:rsid w:val="0093284F"/>
    <w:rsid w:val="00932880"/>
    <w:rsid w:val="009328DA"/>
    <w:rsid w:val="0093296A"/>
    <w:rsid w:val="00932A94"/>
    <w:rsid w:val="00932C07"/>
    <w:rsid w:val="00932D36"/>
    <w:rsid w:val="00932EA7"/>
    <w:rsid w:val="00932F30"/>
    <w:rsid w:val="00932F3C"/>
    <w:rsid w:val="00933184"/>
    <w:rsid w:val="00933193"/>
    <w:rsid w:val="009331F8"/>
    <w:rsid w:val="009331FF"/>
    <w:rsid w:val="00933260"/>
    <w:rsid w:val="009332B8"/>
    <w:rsid w:val="009332E4"/>
    <w:rsid w:val="0093332E"/>
    <w:rsid w:val="009333EA"/>
    <w:rsid w:val="009336A9"/>
    <w:rsid w:val="00933711"/>
    <w:rsid w:val="00933800"/>
    <w:rsid w:val="00933838"/>
    <w:rsid w:val="00933851"/>
    <w:rsid w:val="00933883"/>
    <w:rsid w:val="009338DC"/>
    <w:rsid w:val="0093399F"/>
    <w:rsid w:val="009339B6"/>
    <w:rsid w:val="00933A83"/>
    <w:rsid w:val="00933AD4"/>
    <w:rsid w:val="00933D37"/>
    <w:rsid w:val="00933D82"/>
    <w:rsid w:val="00933E3B"/>
    <w:rsid w:val="00933E68"/>
    <w:rsid w:val="00933E7A"/>
    <w:rsid w:val="00934040"/>
    <w:rsid w:val="009340AE"/>
    <w:rsid w:val="009340E7"/>
    <w:rsid w:val="00934100"/>
    <w:rsid w:val="00934394"/>
    <w:rsid w:val="009343D7"/>
    <w:rsid w:val="009345DD"/>
    <w:rsid w:val="00934658"/>
    <w:rsid w:val="0093488A"/>
    <w:rsid w:val="009348B7"/>
    <w:rsid w:val="00934963"/>
    <w:rsid w:val="00934A70"/>
    <w:rsid w:val="00934AAA"/>
    <w:rsid w:val="00934B38"/>
    <w:rsid w:val="00934C6D"/>
    <w:rsid w:val="00934DD4"/>
    <w:rsid w:val="00934F01"/>
    <w:rsid w:val="00934F18"/>
    <w:rsid w:val="00935064"/>
    <w:rsid w:val="00935253"/>
    <w:rsid w:val="009352C7"/>
    <w:rsid w:val="009352EA"/>
    <w:rsid w:val="00935605"/>
    <w:rsid w:val="009356A8"/>
    <w:rsid w:val="009357AC"/>
    <w:rsid w:val="009357E9"/>
    <w:rsid w:val="00935891"/>
    <w:rsid w:val="009358C9"/>
    <w:rsid w:val="009359AC"/>
    <w:rsid w:val="00935A9B"/>
    <w:rsid w:val="00935AA9"/>
    <w:rsid w:val="00935AAE"/>
    <w:rsid w:val="00935C00"/>
    <w:rsid w:val="00935C29"/>
    <w:rsid w:val="00935CD0"/>
    <w:rsid w:val="00935D41"/>
    <w:rsid w:val="00935DD3"/>
    <w:rsid w:val="00935E9D"/>
    <w:rsid w:val="00935EDD"/>
    <w:rsid w:val="00935FB0"/>
    <w:rsid w:val="00935FB2"/>
    <w:rsid w:val="00935FED"/>
    <w:rsid w:val="0093605D"/>
    <w:rsid w:val="00936060"/>
    <w:rsid w:val="00936083"/>
    <w:rsid w:val="009361B9"/>
    <w:rsid w:val="0093639F"/>
    <w:rsid w:val="0093641F"/>
    <w:rsid w:val="00936443"/>
    <w:rsid w:val="00936682"/>
    <w:rsid w:val="00936893"/>
    <w:rsid w:val="00936A0A"/>
    <w:rsid w:val="00936B32"/>
    <w:rsid w:val="00936B93"/>
    <w:rsid w:val="00936BBD"/>
    <w:rsid w:val="00936BDF"/>
    <w:rsid w:val="00936C09"/>
    <w:rsid w:val="00936D89"/>
    <w:rsid w:val="00936DF4"/>
    <w:rsid w:val="00937022"/>
    <w:rsid w:val="009371CD"/>
    <w:rsid w:val="00937226"/>
    <w:rsid w:val="0093724C"/>
    <w:rsid w:val="00937271"/>
    <w:rsid w:val="009372A3"/>
    <w:rsid w:val="009372F1"/>
    <w:rsid w:val="00937303"/>
    <w:rsid w:val="0093730A"/>
    <w:rsid w:val="00937478"/>
    <w:rsid w:val="009374BA"/>
    <w:rsid w:val="0093751E"/>
    <w:rsid w:val="00937569"/>
    <w:rsid w:val="009375B8"/>
    <w:rsid w:val="009375D7"/>
    <w:rsid w:val="009375EB"/>
    <w:rsid w:val="00937699"/>
    <w:rsid w:val="0093776D"/>
    <w:rsid w:val="00937826"/>
    <w:rsid w:val="00937836"/>
    <w:rsid w:val="009378EB"/>
    <w:rsid w:val="009378F7"/>
    <w:rsid w:val="00937A78"/>
    <w:rsid w:val="00937AE6"/>
    <w:rsid w:val="00937AFF"/>
    <w:rsid w:val="00937B1D"/>
    <w:rsid w:val="00937CBA"/>
    <w:rsid w:val="00937D23"/>
    <w:rsid w:val="00937EEE"/>
    <w:rsid w:val="00937EF2"/>
    <w:rsid w:val="00937EFB"/>
    <w:rsid w:val="00937FB0"/>
    <w:rsid w:val="0094005C"/>
    <w:rsid w:val="009400B2"/>
    <w:rsid w:val="0094012A"/>
    <w:rsid w:val="0094019E"/>
    <w:rsid w:val="009401CE"/>
    <w:rsid w:val="009401DE"/>
    <w:rsid w:val="009401FB"/>
    <w:rsid w:val="0094057A"/>
    <w:rsid w:val="009405A0"/>
    <w:rsid w:val="009405BE"/>
    <w:rsid w:val="00940616"/>
    <w:rsid w:val="009406E0"/>
    <w:rsid w:val="00940774"/>
    <w:rsid w:val="009409CB"/>
    <w:rsid w:val="009409DC"/>
    <w:rsid w:val="00940A37"/>
    <w:rsid w:val="00940B66"/>
    <w:rsid w:val="00940C2F"/>
    <w:rsid w:val="00940C3C"/>
    <w:rsid w:val="00940C99"/>
    <w:rsid w:val="00940CC1"/>
    <w:rsid w:val="00940CD9"/>
    <w:rsid w:val="00940D37"/>
    <w:rsid w:val="00940D46"/>
    <w:rsid w:val="00940F6E"/>
    <w:rsid w:val="00941090"/>
    <w:rsid w:val="00941092"/>
    <w:rsid w:val="009410D1"/>
    <w:rsid w:val="009410D8"/>
    <w:rsid w:val="00941125"/>
    <w:rsid w:val="009413CD"/>
    <w:rsid w:val="00941620"/>
    <w:rsid w:val="00941650"/>
    <w:rsid w:val="00941692"/>
    <w:rsid w:val="00941765"/>
    <w:rsid w:val="0094185E"/>
    <w:rsid w:val="00941A07"/>
    <w:rsid w:val="00941BF0"/>
    <w:rsid w:val="00941D29"/>
    <w:rsid w:val="00941ED6"/>
    <w:rsid w:val="00941EDD"/>
    <w:rsid w:val="00941F38"/>
    <w:rsid w:val="00941F4D"/>
    <w:rsid w:val="0094201E"/>
    <w:rsid w:val="00942061"/>
    <w:rsid w:val="009420AF"/>
    <w:rsid w:val="00942128"/>
    <w:rsid w:val="00942233"/>
    <w:rsid w:val="0094226C"/>
    <w:rsid w:val="009422CD"/>
    <w:rsid w:val="00942334"/>
    <w:rsid w:val="009424BC"/>
    <w:rsid w:val="00942501"/>
    <w:rsid w:val="009425DA"/>
    <w:rsid w:val="0094264D"/>
    <w:rsid w:val="00942830"/>
    <w:rsid w:val="009428D9"/>
    <w:rsid w:val="00942929"/>
    <w:rsid w:val="009429AB"/>
    <w:rsid w:val="00942ADB"/>
    <w:rsid w:val="00942B5B"/>
    <w:rsid w:val="00942C7C"/>
    <w:rsid w:val="00942D22"/>
    <w:rsid w:val="00942E46"/>
    <w:rsid w:val="00943023"/>
    <w:rsid w:val="009430FB"/>
    <w:rsid w:val="00943128"/>
    <w:rsid w:val="00943237"/>
    <w:rsid w:val="0094323E"/>
    <w:rsid w:val="0094329E"/>
    <w:rsid w:val="00943303"/>
    <w:rsid w:val="00943348"/>
    <w:rsid w:val="0094338F"/>
    <w:rsid w:val="009433BF"/>
    <w:rsid w:val="009434C0"/>
    <w:rsid w:val="00943506"/>
    <w:rsid w:val="009436D8"/>
    <w:rsid w:val="00943747"/>
    <w:rsid w:val="009437D2"/>
    <w:rsid w:val="0094386D"/>
    <w:rsid w:val="009438D0"/>
    <w:rsid w:val="009439BF"/>
    <w:rsid w:val="00943B0E"/>
    <w:rsid w:val="00943B39"/>
    <w:rsid w:val="00943BAB"/>
    <w:rsid w:val="00943BDE"/>
    <w:rsid w:val="00943C21"/>
    <w:rsid w:val="00943CBA"/>
    <w:rsid w:val="00943D22"/>
    <w:rsid w:val="00943D5D"/>
    <w:rsid w:val="00943DEB"/>
    <w:rsid w:val="00943DF6"/>
    <w:rsid w:val="00943E36"/>
    <w:rsid w:val="0094400F"/>
    <w:rsid w:val="0094406A"/>
    <w:rsid w:val="009440BE"/>
    <w:rsid w:val="00944230"/>
    <w:rsid w:val="0094436E"/>
    <w:rsid w:val="009443EE"/>
    <w:rsid w:val="00944464"/>
    <w:rsid w:val="0094446C"/>
    <w:rsid w:val="0094448B"/>
    <w:rsid w:val="009445AB"/>
    <w:rsid w:val="009447B7"/>
    <w:rsid w:val="009447E4"/>
    <w:rsid w:val="0094486D"/>
    <w:rsid w:val="009448C0"/>
    <w:rsid w:val="0094493B"/>
    <w:rsid w:val="009449D8"/>
    <w:rsid w:val="00944A03"/>
    <w:rsid w:val="00944A2F"/>
    <w:rsid w:val="00944B7F"/>
    <w:rsid w:val="00944BBA"/>
    <w:rsid w:val="00944C55"/>
    <w:rsid w:val="00944CF9"/>
    <w:rsid w:val="00944CFE"/>
    <w:rsid w:val="00944D36"/>
    <w:rsid w:val="00944F9B"/>
    <w:rsid w:val="00945007"/>
    <w:rsid w:val="009450B4"/>
    <w:rsid w:val="009453E8"/>
    <w:rsid w:val="0094542E"/>
    <w:rsid w:val="009454A1"/>
    <w:rsid w:val="009455A4"/>
    <w:rsid w:val="0094562B"/>
    <w:rsid w:val="00945707"/>
    <w:rsid w:val="009457CF"/>
    <w:rsid w:val="009458CE"/>
    <w:rsid w:val="009458D7"/>
    <w:rsid w:val="009459B5"/>
    <w:rsid w:val="00945A3E"/>
    <w:rsid w:val="00945DD1"/>
    <w:rsid w:val="00945E21"/>
    <w:rsid w:val="00945E85"/>
    <w:rsid w:val="009460D5"/>
    <w:rsid w:val="00946101"/>
    <w:rsid w:val="00946124"/>
    <w:rsid w:val="00946226"/>
    <w:rsid w:val="009462CE"/>
    <w:rsid w:val="00946453"/>
    <w:rsid w:val="0094647E"/>
    <w:rsid w:val="009464CE"/>
    <w:rsid w:val="009464FD"/>
    <w:rsid w:val="0094652F"/>
    <w:rsid w:val="0094657D"/>
    <w:rsid w:val="0094661B"/>
    <w:rsid w:val="0094672F"/>
    <w:rsid w:val="00946742"/>
    <w:rsid w:val="00946786"/>
    <w:rsid w:val="00946855"/>
    <w:rsid w:val="00946A79"/>
    <w:rsid w:val="00946B20"/>
    <w:rsid w:val="00946B6F"/>
    <w:rsid w:val="00946C83"/>
    <w:rsid w:val="00946F58"/>
    <w:rsid w:val="00946FDF"/>
    <w:rsid w:val="00947025"/>
    <w:rsid w:val="009470CE"/>
    <w:rsid w:val="00947118"/>
    <w:rsid w:val="009471F7"/>
    <w:rsid w:val="0094720D"/>
    <w:rsid w:val="00947345"/>
    <w:rsid w:val="0094741E"/>
    <w:rsid w:val="00947471"/>
    <w:rsid w:val="00947546"/>
    <w:rsid w:val="0094756E"/>
    <w:rsid w:val="009475B0"/>
    <w:rsid w:val="009476EC"/>
    <w:rsid w:val="009477A1"/>
    <w:rsid w:val="009477F4"/>
    <w:rsid w:val="0094785E"/>
    <w:rsid w:val="00947862"/>
    <w:rsid w:val="009478C2"/>
    <w:rsid w:val="00947AB0"/>
    <w:rsid w:val="00947AF1"/>
    <w:rsid w:val="00947D53"/>
    <w:rsid w:val="00947ED4"/>
    <w:rsid w:val="00947EE0"/>
    <w:rsid w:val="00950119"/>
    <w:rsid w:val="00950498"/>
    <w:rsid w:val="009504C4"/>
    <w:rsid w:val="009505B2"/>
    <w:rsid w:val="00950701"/>
    <w:rsid w:val="00950915"/>
    <w:rsid w:val="0095092C"/>
    <w:rsid w:val="009509C5"/>
    <w:rsid w:val="00950A1D"/>
    <w:rsid w:val="00950A77"/>
    <w:rsid w:val="00950AB8"/>
    <w:rsid w:val="00950AE3"/>
    <w:rsid w:val="00950B0C"/>
    <w:rsid w:val="00950B85"/>
    <w:rsid w:val="00950B88"/>
    <w:rsid w:val="00950C05"/>
    <w:rsid w:val="00950C8E"/>
    <w:rsid w:val="00950D1B"/>
    <w:rsid w:val="00950D56"/>
    <w:rsid w:val="00950DD5"/>
    <w:rsid w:val="00950E11"/>
    <w:rsid w:val="00950E49"/>
    <w:rsid w:val="00950E99"/>
    <w:rsid w:val="00950F16"/>
    <w:rsid w:val="00950F18"/>
    <w:rsid w:val="00950FB8"/>
    <w:rsid w:val="00951132"/>
    <w:rsid w:val="009511CF"/>
    <w:rsid w:val="0095128B"/>
    <w:rsid w:val="0095132B"/>
    <w:rsid w:val="00951339"/>
    <w:rsid w:val="00951443"/>
    <w:rsid w:val="00951554"/>
    <w:rsid w:val="00951596"/>
    <w:rsid w:val="009515EC"/>
    <w:rsid w:val="0095181E"/>
    <w:rsid w:val="00951896"/>
    <w:rsid w:val="00951C77"/>
    <w:rsid w:val="00951C9D"/>
    <w:rsid w:val="00951DDC"/>
    <w:rsid w:val="00951E7B"/>
    <w:rsid w:val="00951E8A"/>
    <w:rsid w:val="00952051"/>
    <w:rsid w:val="00952069"/>
    <w:rsid w:val="0095208A"/>
    <w:rsid w:val="009520E3"/>
    <w:rsid w:val="009521CE"/>
    <w:rsid w:val="009521EA"/>
    <w:rsid w:val="00952277"/>
    <w:rsid w:val="009522C5"/>
    <w:rsid w:val="009523C6"/>
    <w:rsid w:val="009524BF"/>
    <w:rsid w:val="00952612"/>
    <w:rsid w:val="00952638"/>
    <w:rsid w:val="009526B1"/>
    <w:rsid w:val="009526C0"/>
    <w:rsid w:val="00952750"/>
    <w:rsid w:val="00952864"/>
    <w:rsid w:val="009528DF"/>
    <w:rsid w:val="00952914"/>
    <w:rsid w:val="0095291F"/>
    <w:rsid w:val="00952922"/>
    <w:rsid w:val="00952927"/>
    <w:rsid w:val="00952952"/>
    <w:rsid w:val="009529F0"/>
    <w:rsid w:val="009529F7"/>
    <w:rsid w:val="00952A28"/>
    <w:rsid w:val="00952BCD"/>
    <w:rsid w:val="00952C1E"/>
    <w:rsid w:val="00952D9A"/>
    <w:rsid w:val="00952DCB"/>
    <w:rsid w:val="00952EA5"/>
    <w:rsid w:val="009533C0"/>
    <w:rsid w:val="0095353B"/>
    <w:rsid w:val="009535D4"/>
    <w:rsid w:val="0095367B"/>
    <w:rsid w:val="009536F2"/>
    <w:rsid w:val="00953797"/>
    <w:rsid w:val="00953980"/>
    <w:rsid w:val="00953A70"/>
    <w:rsid w:val="00953AB6"/>
    <w:rsid w:val="00953AD1"/>
    <w:rsid w:val="00953ADF"/>
    <w:rsid w:val="00953B21"/>
    <w:rsid w:val="00953B5B"/>
    <w:rsid w:val="00953C21"/>
    <w:rsid w:val="00953C2A"/>
    <w:rsid w:val="00953C43"/>
    <w:rsid w:val="00953C87"/>
    <w:rsid w:val="00953CA2"/>
    <w:rsid w:val="00954008"/>
    <w:rsid w:val="009540E7"/>
    <w:rsid w:val="00954128"/>
    <w:rsid w:val="00954245"/>
    <w:rsid w:val="00954290"/>
    <w:rsid w:val="009542E6"/>
    <w:rsid w:val="0095460C"/>
    <w:rsid w:val="0095469F"/>
    <w:rsid w:val="00954779"/>
    <w:rsid w:val="0095478E"/>
    <w:rsid w:val="00954815"/>
    <w:rsid w:val="00954826"/>
    <w:rsid w:val="0095499B"/>
    <w:rsid w:val="009549A4"/>
    <w:rsid w:val="009549FD"/>
    <w:rsid w:val="00954AB8"/>
    <w:rsid w:val="00954D1F"/>
    <w:rsid w:val="00954EA0"/>
    <w:rsid w:val="00954EEE"/>
    <w:rsid w:val="00954F61"/>
    <w:rsid w:val="0095507A"/>
    <w:rsid w:val="009550D9"/>
    <w:rsid w:val="00955126"/>
    <w:rsid w:val="00955190"/>
    <w:rsid w:val="0095526C"/>
    <w:rsid w:val="00955456"/>
    <w:rsid w:val="0095550F"/>
    <w:rsid w:val="009555CE"/>
    <w:rsid w:val="0095564D"/>
    <w:rsid w:val="0095569B"/>
    <w:rsid w:val="00955744"/>
    <w:rsid w:val="00955807"/>
    <w:rsid w:val="00955A5E"/>
    <w:rsid w:val="00955BD8"/>
    <w:rsid w:val="00955BE8"/>
    <w:rsid w:val="00955BEE"/>
    <w:rsid w:val="00955D10"/>
    <w:rsid w:val="00955D4C"/>
    <w:rsid w:val="00955ECD"/>
    <w:rsid w:val="00955EEA"/>
    <w:rsid w:val="00955FD0"/>
    <w:rsid w:val="00956017"/>
    <w:rsid w:val="009560D2"/>
    <w:rsid w:val="009560D8"/>
    <w:rsid w:val="00956141"/>
    <w:rsid w:val="0095626F"/>
    <w:rsid w:val="0095627C"/>
    <w:rsid w:val="0095630A"/>
    <w:rsid w:val="0095653D"/>
    <w:rsid w:val="00956720"/>
    <w:rsid w:val="00956727"/>
    <w:rsid w:val="00956803"/>
    <w:rsid w:val="00956BF8"/>
    <w:rsid w:val="00956C9D"/>
    <w:rsid w:val="00956CB6"/>
    <w:rsid w:val="00956CDF"/>
    <w:rsid w:val="00957117"/>
    <w:rsid w:val="009571E2"/>
    <w:rsid w:val="00957266"/>
    <w:rsid w:val="0095726E"/>
    <w:rsid w:val="009572FE"/>
    <w:rsid w:val="0095736B"/>
    <w:rsid w:val="009573CC"/>
    <w:rsid w:val="00957470"/>
    <w:rsid w:val="009575A3"/>
    <w:rsid w:val="009575DF"/>
    <w:rsid w:val="0095765C"/>
    <w:rsid w:val="009579EC"/>
    <w:rsid w:val="009579F9"/>
    <w:rsid w:val="00957A4E"/>
    <w:rsid w:val="00957BCD"/>
    <w:rsid w:val="00957C42"/>
    <w:rsid w:val="00957CFC"/>
    <w:rsid w:val="00957FB2"/>
    <w:rsid w:val="00960064"/>
    <w:rsid w:val="009600B3"/>
    <w:rsid w:val="009601A2"/>
    <w:rsid w:val="009601FB"/>
    <w:rsid w:val="00960256"/>
    <w:rsid w:val="009602BF"/>
    <w:rsid w:val="009602D2"/>
    <w:rsid w:val="0096033B"/>
    <w:rsid w:val="009606F5"/>
    <w:rsid w:val="009608F0"/>
    <w:rsid w:val="009609EE"/>
    <w:rsid w:val="00960A09"/>
    <w:rsid w:val="00960A92"/>
    <w:rsid w:val="00960B33"/>
    <w:rsid w:val="00960C87"/>
    <w:rsid w:val="00960CB2"/>
    <w:rsid w:val="00960D45"/>
    <w:rsid w:val="00960D73"/>
    <w:rsid w:val="00960E21"/>
    <w:rsid w:val="0096106D"/>
    <w:rsid w:val="00961148"/>
    <w:rsid w:val="009612B1"/>
    <w:rsid w:val="009612C5"/>
    <w:rsid w:val="00961302"/>
    <w:rsid w:val="00961339"/>
    <w:rsid w:val="00961354"/>
    <w:rsid w:val="00961517"/>
    <w:rsid w:val="00961699"/>
    <w:rsid w:val="00961803"/>
    <w:rsid w:val="0096182D"/>
    <w:rsid w:val="00961880"/>
    <w:rsid w:val="009618E9"/>
    <w:rsid w:val="00961973"/>
    <w:rsid w:val="00961A0B"/>
    <w:rsid w:val="00961ADD"/>
    <w:rsid w:val="00961B88"/>
    <w:rsid w:val="00961B91"/>
    <w:rsid w:val="00961C0B"/>
    <w:rsid w:val="00961C39"/>
    <w:rsid w:val="00961C84"/>
    <w:rsid w:val="00961CE0"/>
    <w:rsid w:val="00961D4C"/>
    <w:rsid w:val="00961EDD"/>
    <w:rsid w:val="00961FB2"/>
    <w:rsid w:val="00962005"/>
    <w:rsid w:val="00962015"/>
    <w:rsid w:val="00962033"/>
    <w:rsid w:val="00962046"/>
    <w:rsid w:val="0096217B"/>
    <w:rsid w:val="0096224C"/>
    <w:rsid w:val="0096224D"/>
    <w:rsid w:val="00962268"/>
    <w:rsid w:val="009622AA"/>
    <w:rsid w:val="009623B1"/>
    <w:rsid w:val="009623C9"/>
    <w:rsid w:val="00962428"/>
    <w:rsid w:val="00962616"/>
    <w:rsid w:val="00962653"/>
    <w:rsid w:val="0096265C"/>
    <w:rsid w:val="00962681"/>
    <w:rsid w:val="009627FF"/>
    <w:rsid w:val="00962834"/>
    <w:rsid w:val="0096283E"/>
    <w:rsid w:val="00962887"/>
    <w:rsid w:val="00962A3C"/>
    <w:rsid w:val="00962C38"/>
    <w:rsid w:val="00962D32"/>
    <w:rsid w:val="00962D62"/>
    <w:rsid w:val="00962DDF"/>
    <w:rsid w:val="0096309B"/>
    <w:rsid w:val="009630D7"/>
    <w:rsid w:val="009632E7"/>
    <w:rsid w:val="00963305"/>
    <w:rsid w:val="0096338F"/>
    <w:rsid w:val="009633A2"/>
    <w:rsid w:val="009633E9"/>
    <w:rsid w:val="009633EE"/>
    <w:rsid w:val="009634B7"/>
    <w:rsid w:val="0096357B"/>
    <w:rsid w:val="0096357F"/>
    <w:rsid w:val="0096358F"/>
    <w:rsid w:val="00963774"/>
    <w:rsid w:val="00963964"/>
    <w:rsid w:val="00963A5F"/>
    <w:rsid w:val="00963AFB"/>
    <w:rsid w:val="00963BBE"/>
    <w:rsid w:val="00963D44"/>
    <w:rsid w:val="00963DCA"/>
    <w:rsid w:val="00963E58"/>
    <w:rsid w:val="009640C1"/>
    <w:rsid w:val="0096435C"/>
    <w:rsid w:val="009643F8"/>
    <w:rsid w:val="0096443C"/>
    <w:rsid w:val="00964500"/>
    <w:rsid w:val="0096450D"/>
    <w:rsid w:val="0096461F"/>
    <w:rsid w:val="00964689"/>
    <w:rsid w:val="009647F1"/>
    <w:rsid w:val="00964875"/>
    <w:rsid w:val="0096497A"/>
    <w:rsid w:val="00964A32"/>
    <w:rsid w:val="00964A3C"/>
    <w:rsid w:val="00964A88"/>
    <w:rsid w:val="00964B1E"/>
    <w:rsid w:val="00964D04"/>
    <w:rsid w:val="00964D55"/>
    <w:rsid w:val="00964DA2"/>
    <w:rsid w:val="00964DB3"/>
    <w:rsid w:val="00964E11"/>
    <w:rsid w:val="00964EA0"/>
    <w:rsid w:val="00964EB5"/>
    <w:rsid w:val="00964F69"/>
    <w:rsid w:val="00964FD4"/>
    <w:rsid w:val="009650B6"/>
    <w:rsid w:val="00965170"/>
    <w:rsid w:val="009651BA"/>
    <w:rsid w:val="00965205"/>
    <w:rsid w:val="00965260"/>
    <w:rsid w:val="0096529E"/>
    <w:rsid w:val="009652C9"/>
    <w:rsid w:val="00965317"/>
    <w:rsid w:val="00965321"/>
    <w:rsid w:val="009653D6"/>
    <w:rsid w:val="00965435"/>
    <w:rsid w:val="0096543B"/>
    <w:rsid w:val="0096547D"/>
    <w:rsid w:val="0096549B"/>
    <w:rsid w:val="00965540"/>
    <w:rsid w:val="009656C0"/>
    <w:rsid w:val="00965721"/>
    <w:rsid w:val="0096579C"/>
    <w:rsid w:val="009657E8"/>
    <w:rsid w:val="00965B5D"/>
    <w:rsid w:val="00965BBA"/>
    <w:rsid w:val="00965D1B"/>
    <w:rsid w:val="00965D2B"/>
    <w:rsid w:val="00965DA2"/>
    <w:rsid w:val="00965F3C"/>
    <w:rsid w:val="009660C2"/>
    <w:rsid w:val="0096616A"/>
    <w:rsid w:val="009662BF"/>
    <w:rsid w:val="00966599"/>
    <w:rsid w:val="009665BC"/>
    <w:rsid w:val="0096675F"/>
    <w:rsid w:val="009669EB"/>
    <w:rsid w:val="00966A6C"/>
    <w:rsid w:val="00966A76"/>
    <w:rsid w:val="00966B2D"/>
    <w:rsid w:val="00966B7B"/>
    <w:rsid w:val="00966BA3"/>
    <w:rsid w:val="009671C0"/>
    <w:rsid w:val="00967331"/>
    <w:rsid w:val="009674F1"/>
    <w:rsid w:val="00967511"/>
    <w:rsid w:val="00967718"/>
    <w:rsid w:val="0096776B"/>
    <w:rsid w:val="009677E2"/>
    <w:rsid w:val="00967885"/>
    <w:rsid w:val="009678F8"/>
    <w:rsid w:val="0096790B"/>
    <w:rsid w:val="0096791A"/>
    <w:rsid w:val="00967949"/>
    <w:rsid w:val="00967B87"/>
    <w:rsid w:val="00967C0C"/>
    <w:rsid w:val="00967D2F"/>
    <w:rsid w:val="00967D58"/>
    <w:rsid w:val="00967D7F"/>
    <w:rsid w:val="00967D89"/>
    <w:rsid w:val="00967E16"/>
    <w:rsid w:val="00967EB2"/>
    <w:rsid w:val="00967F49"/>
    <w:rsid w:val="00969177"/>
    <w:rsid w:val="009701A8"/>
    <w:rsid w:val="0097024C"/>
    <w:rsid w:val="009703BF"/>
    <w:rsid w:val="00970404"/>
    <w:rsid w:val="00970406"/>
    <w:rsid w:val="0097040B"/>
    <w:rsid w:val="0097055A"/>
    <w:rsid w:val="009705DE"/>
    <w:rsid w:val="009705E3"/>
    <w:rsid w:val="009709B7"/>
    <w:rsid w:val="00970A13"/>
    <w:rsid w:val="00970A19"/>
    <w:rsid w:val="00970A20"/>
    <w:rsid w:val="00970A4E"/>
    <w:rsid w:val="00970B2C"/>
    <w:rsid w:val="00970BA4"/>
    <w:rsid w:val="00970CDE"/>
    <w:rsid w:val="00970F35"/>
    <w:rsid w:val="00970F3A"/>
    <w:rsid w:val="00970F62"/>
    <w:rsid w:val="00971035"/>
    <w:rsid w:val="00971129"/>
    <w:rsid w:val="0097116F"/>
    <w:rsid w:val="00971177"/>
    <w:rsid w:val="009711C5"/>
    <w:rsid w:val="009713A1"/>
    <w:rsid w:val="009714B0"/>
    <w:rsid w:val="00971765"/>
    <w:rsid w:val="0097185C"/>
    <w:rsid w:val="00971869"/>
    <w:rsid w:val="00971A4F"/>
    <w:rsid w:val="00971AF8"/>
    <w:rsid w:val="00971BEC"/>
    <w:rsid w:val="00971C8C"/>
    <w:rsid w:val="00971D82"/>
    <w:rsid w:val="00971F2D"/>
    <w:rsid w:val="00971F34"/>
    <w:rsid w:val="00971F3F"/>
    <w:rsid w:val="00971F87"/>
    <w:rsid w:val="00972056"/>
    <w:rsid w:val="00972084"/>
    <w:rsid w:val="00972126"/>
    <w:rsid w:val="00972148"/>
    <w:rsid w:val="0097218A"/>
    <w:rsid w:val="00972194"/>
    <w:rsid w:val="009721BD"/>
    <w:rsid w:val="00972378"/>
    <w:rsid w:val="0097238A"/>
    <w:rsid w:val="00972655"/>
    <w:rsid w:val="00972768"/>
    <w:rsid w:val="009727BD"/>
    <w:rsid w:val="00972805"/>
    <w:rsid w:val="00972864"/>
    <w:rsid w:val="00972DFA"/>
    <w:rsid w:val="00972F2D"/>
    <w:rsid w:val="00972FA1"/>
    <w:rsid w:val="009731B6"/>
    <w:rsid w:val="009731BD"/>
    <w:rsid w:val="009732A8"/>
    <w:rsid w:val="009733D8"/>
    <w:rsid w:val="0097342B"/>
    <w:rsid w:val="0097342C"/>
    <w:rsid w:val="009735D0"/>
    <w:rsid w:val="00973694"/>
    <w:rsid w:val="0097372C"/>
    <w:rsid w:val="00973744"/>
    <w:rsid w:val="0097384C"/>
    <w:rsid w:val="00973900"/>
    <w:rsid w:val="0097393E"/>
    <w:rsid w:val="00973970"/>
    <w:rsid w:val="00973B06"/>
    <w:rsid w:val="00973B27"/>
    <w:rsid w:val="00973B7E"/>
    <w:rsid w:val="00973B98"/>
    <w:rsid w:val="00973BA2"/>
    <w:rsid w:val="00973C08"/>
    <w:rsid w:val="00973C24"/>
    <w:rsid w:val="00973D9E"/>
    <w:rsid w:val="00973E56"/>
    <w:rsid w:val="00973F9B"/>
    <w:rsid w:val="00973FD2"/>
    <w:rsid w:val="00973FD3"/>
    <w:rsid w:val="00973FF6"/>
    <w:rsid w:val="0097402F"/>
    <w:rsid w:val="009741A4"/>
    <w:rsid w:val="009741BF"/>
    <w:rsid w:val="00974221"/>
    <w:rsid w:val="009742D8"/>
    <w:rsid w:val="00974330"/>
    <w:rsid w:val="0097444C"/>
    <w:rsid w:val="00974464"/>
    <w:rsid w:val="0097448D"/>
    <w:rsid w:val="009746C9"/>
    <w:rsid w:val="009746F8"/>
    <w:rsid w:val="009747CC"/>
    <w:rsid w:val="009747E9"/>
    <w:rsid w:val="0097490C"/>
    <w:rsid w:val="009749E3"/>
    <w:rsid w:val="00974A5F"/>
    <w:rsid w:val="00974A9A"/>
    <w:rsid w:val="00974BC9"/>
    <w:rsid w:val="00974D5A"/>
    <w:rsid w:val="00974E32"/>
    <w:rsid w:val="00974E68"/>
    <w:rsid w:val="00974FCE"/>
    <w:rsid w:val="00974FEB"/>
    <w:rsid w:val="00975015"/>
    <w:rsid w:val="0097505C"/>
    <w:rsid w:val="0097523C"/>
    <w:rsid w:val="0097529D"/>
    <w:rsid w:val="00975468"/>
    <w:rsid w:val="009755B1"/>
    <w:rsid w:val="009755E1"/>
    <w:rsid w:val="00975822"/>
    <w:rsid w:val="009758F6"/>
    <w:rsid w:val="00975940"/>
    <w:rsid w:val="00975950"/>
    <w:rsid w:val="0097595F"/>
    <w:rsid w:val="00975A11"/>
    <w:rsid w:val="00975A70"/>
    <w:rsid w:val="00975C97"/>
    <w:rsid w:val="00975D2B"/>
    <w:rsid w:val="00975D31"/>
    <w:rsid w:val="00975D6E"/>
    <w:rsid w:val="00975D88"/>
    <w:rsid w:val="00975E46"/>
    <w:rsid w:val="00975EDF"/>
    <w:rsid w:val="00975FAB"/>
    <w:rsid w:val="0097601F"/>
    <w:rsid w:val="0097615C"/>
    <w:rsid w:val="0097620A"/>
    <w:rsid w:val="0097624C"/>
    <w:rsid w:val="00976309"/>
    <w:rsid w:val="009764B8"/>
    <w:rsid w:val="00976641"/>
    <w:rsid w:val="0097665E"/>
    <w:rsid w:val="00976749"/>
    <w:rsid w:val="00976AC5"/>
    <w:rsid w:val="00976B25"/>
    <w:rsid w:val="00976C57"/>
    <w:rsid w:val="00976E43"/>
    <w:rsid w:val="00976F50"/>
    <w:rsid w:val="00976F95"/>
    <w:rsid w:val="00976FFC"/>
    <w:rsid w:val="009770C8"/>
    <w:rsid w:val="009770DC"/>
    <w:rsid w:val="00977185"/>
    <w:rsid w:val="00977311"/>
    <w:rsid w:val="00977330"/>
    <w:rsid w:val="0097737B"/>
    <w:rsid w:val="00977434"/>
    <w:rsid w:val="009777B0"/>
    <w:rsid w:val="009778FC"/>
    <w:rsid w:val="00977A6B"/>
    <w:rsid w:val="00977A93"/>
    <w:rsid w:val="00977A94"/>
    <w:rsid w:val="00977ADF"/>
    <w:rsid w:val="00977B70"/>
    <w:rsid w:val="00977D25"/>
    <w:rsid w:val="00977D99"/>
    <w:rsid w:val="00977DD0"/>
    <w:rsid w:val="00977E5E"/>
    <w:rsid w:val="00977EBE"/>
    <w:rsid w:val="00977EF1"/>
    <w:rsid w:val="00977FCF"/>
    <w:rsid w:val="00980001"/>
    <w:rsid w:val="009800CD"/>
    <w:rsid w:val="00980197"/>
    <w:rsid w:val="0098026F"/>
    <w:rsid w:val="009803C3"/>
    <w:rsid w:val="00980495"/>
    <w:rsid w:val="009804E3"/>
    <w:rsid w:val="00980507"/>
    <w:rsid w:val="00980591"/>
    <w:rsid w:val="00980701"/>
    <w:rsid w:val="0098078E"/>
    <w:rsid w:val="009808F4"/>
    <w:rsid w:val="00980A0C"/>
    <w:rsid w:val="00980A2D"/>
    <w:rsid w:val="00980B07"/>
    <w:rsid w:val="00980BE1"/>
    <w:rsid w:val="00980D30"/>
    <w:rsid w:val="00980DB0"/>
    <w:rsid w:val="00980DD2"/>
    <w:rsid w:val="00980EF9"/>
    <w:rsid w:val="009810C2"/>
    <w:rsid w:val="00981139"/>
    <w:rsid w:val="009811C7"/>
    <w:rsid w:val="00981243"/>
    <w:rsid w:val="0098144F"/>
    <w:rsid w:val="0098156B"/>
    <w:rsid w:val="00981621"/>
    <w:rsid w:val="009816B8"/>
    <w:rsid w:val="00981705"/>
    <w:rsid w:val="00981709"/>
    <w:rsid w:val="00981864"/>
    <w:rsid w:val="00981BD3"/>
    <w:rsid w:val="00981C18"/>
    <w:rsid w:val="00981D51"/>
    <w:rsid w:val="00981D6D"/>
    <w:rsid w:val="00981E25"/>
    <w:rsid w:val="00982036"/>
    <w:rsid w:val="0098237E"/>
    <w:rsid w:val="009825D2"/>
    <w:rsid w:val="0098277F"/>
    <w:rsid w:val="009829E0"/>
    <w:rsid w:val="00982A3E"/>
    <w:rsid w:val="00982A73"/>
    <w:rsid w:val="00982BB7"/>
    <w:rsid w:val="00982DB9"/>
    <w:rsid w:val="00982F59"/>
    <w:rsid w:val="00982F71"/>
    <w:rsid w:val="00982F9A"/>
    <w:rsid w:val="009830FB"/>
    <w:rsid w:val="009831B3"/>
    <w:rsid w:val="0098320E"/>
    <w:rsid w:val="00983285"/>
    <w:rsid w:val="00983302"/>
    <w:rsid w:val="009834A0"/>
    <w:rsid w:val="00983633"/>
    <w:rsid w:val="00983748"/>
    <w:rsid w:val="00983866"/>
    <w:rsid w:val="00983870"/>
    <w:rsid w:val="00983957"/>
    <w:rsid w:val="00983979"/>
    <w:rsid w:val="00983A6E"/>
    <w:rsid w:val="00983C3E"/>
    <w:rsid w:val="00983CF1"/>
    <w:rsid w:val="00983CFE"/>
    <w:rsid w:val="00983D98"/>
    <w:rsid w:val="00983FA5"/>
    <w:rsid w:val="009840D3"/>
    <w:rsid w:val="00984109"/>
    <w:rsid w:val="00984161"/>
    <w:rsid w:val="00984190"/>
    <w:rsid w:val="009841D9"/>
    <w:rsid w:val="00984258"/>
    <w:rsid w:val="0098425B"/>
    <w:rsid w:val="0098429E"/>
    <w:rsid w:val="009842A3"/>
    <w:rsid w:val="009842DF"/>
    <w:rsid w:val="009844F4"/>
    <w:rsid w:val="0098458E"/>
    <w:rsid w:val="009845A8"/>
    <w:rsid w:val="0098462E"/>
    <w:rsid w:val="009846D0"/>
    <w:rsid w:val="009846D5"/>
    <w:rsid w:val="0098476D"/>
    <w:rsid w:val="00984793"/>
    <w:rsid w:val="009847E2"/>
    <w:rsid w:val="009849BF"/>
    <w:rsid w:val="00984AE8"/>
    <w:rsid w:val="00984B18"/>
    <w:rsid w:val="00984C66"/>
    <w:rsid w:val="00984C7C"/>
    <w:rsid w:val="00984CB9"/>
    <w:rsid w:val="00984CCC"/>
    <w:rsid w:val="00984CFE"/>
    <w:rsid w:val="00984D2E"/>
    <w:rsid w:val="00984D5B"/>
    <w:rsid w:val="00984D8C"/>
    <w:rsid w:val="00984E27"/>
    <w:rsid w:val="00984F1E"/>
    <w:rsid w:val="00985054"/>
    <w:rsid w:val="0098532D"/>
    <w:rsid w:val="00985352"/>
    <w:rsid w:val="0098535F"/>
    <w:rsid w:val="009853D6"/>
    <w:rsid w:val="009854DF"/>
    <w:rsid w:val="0098557B"/>
    <w:rsid w:val="009855A0"/>
    <w:rsid w:val="00985689"/>
    <w:rsid w:val="009856A3"/>
    <w:rsid w:val="00985709"/>
    <w:rsid w:val="00985730"/>
    <w:rsid w:val="009857B2"/>
    <w:rsid w:val="009857D2"/>
    <w:rsid w:val="009857EA"/>
    <w:rsid w:val="00985805"/>
    <w:rsid w:val="00985947"/>
    <w:rsid w:val="00985AB2"/>
    <w:rsid w:val="00985C64"/>
    <w:rsid w:val="00985C69"/>
    <w:rsid w:val="00985E2B"/>
    <w:rsid w:val="0098604F"/>
    <w:rsid w:val="009860AE"/>
    <w:rsid w:val="009860D4"/>
    <w:rsid w:val="00986172"/>
    <w:rsid w:val="00986186"/>
    <w:rsid w:val="009862E2"/>
    <w:rsid w:val="00986353"/>
    <w:rsid w:val="009863AF"/>
    <w:rsid w:val="0098640B"/>
    <w:rsid w:val="009864B8"/>
    <w:rsid w:val="00986511"/>
    <w:rsid w:val="00986586"/>
    <w:rsid w:val="009866F0"/>
    <w:rsid w:val="00986733"/>
    <w:rsid w:val="0098675D"/>
    <w:rsid w:val="00986769"/>
    <w:rsid w:val="00986785"/>
    <w:rsid w:val="00986814"/>
    <w:rsid w:val="009868D5"/>
    <w:rsid w:val="0098692A"/>
    <w:rsid w:val="00986A4D"/>
    <w:rsid w:val="00986AC9"/>
    <w:rsid w:val="00986AD3"/>
    <w:rsid w:val="00986BF8"/>
    <w:rsid w:val="00986CDD"/>
    <w:rsid w:val="00986CF3"/>
    <w:rsid w:val="00986D99"/>
    <w:rsid w:val="00986EB9"/>
    <w:rsid w:val="00986F0B"/>
    <w:rsid w:val="00987143"/>
    <w:rsid w:val="0098714C"/>
    <w:rsid w:val="009871C9"/>
    <w:rsid w:val="009872F0"/>
    <w:rsid w:val="0098733A"/>
    <w:rsid w:val="00987487"/>
    <w:rsid w:val="00987542"/>
    <w:rsid w:val="009875BC"/>
    <w:rsid w:val="00987602"/>
    <w:rsid w:val="00987728"/>
    <w:rsid w:val="0098778B"/>
    <w:rsid w:val="009878CD"/>
    <w:rsid w:val="0098795C"/>
    <w:rsid w:val="00987991"/>
    <w:rsid w:val="00987A3A"/>
    <w:rsid w:val="00987C40"/>
    <w:rsid w:val="00987CBF"/>
    <w:rsid w:val="00987D1B"/>
    <w:rsid w:val="009900FC"/>
    <w:rsid w:val="00990268"/>
    <w:rsid w:val="009902C0"/>
    <w:rsid w:val="009902D2"/>
    <w:rsid w:val="0099038F"/>
    <w:rsid w:val="009903C1"/>
    <w:rsid w:val="009904CC"/>
    <w:rsid w:val="00990504"/>
    <w:rsid w:val="0099059E"/>
    <w:rsid w:val="00990628"/>
    <w:rsid w:val="009906CA"/>
    <w:rsid w:val="00990841"/>
    <w:rsid w:val="009908C5"/>
    <w:rsid w:val="0099094A"/>
    <w:rsid w:val="009909D2"/>
    <w:rsid w:val="00990B95"/>
    <w:rsid w:val="00990BB2"/>
    <w:rsid w:val="00990C48"/>
    <w:rsid w:val="00990C4F"/>
    <w:rsid w:val="00990C89"/>
    <w:rsid w:val="00990CC7"/>
    <w:rsid w:val="00990DA4"/>
    <w:rsid w:val="00990DCF"/>
    <w:rsid w:val="00990FBB"/>
    <w:rsid w:val="009910CE"/>
    <w:rsid w:val="0099139B"/>
    <w:rsid w:val="00991680"/>
    <w:rsid w:val="00991701"/>
    <w:rsid w:val="00991751"/>
    <w:rsid w:val="0099188F"/>
    <w:rsid w:val="0099189B"/>
    <w:rsid w:val="009918B2"/>
    <w:rsid w:val="00991947"/>
    <w:rsid w:val="0099196E"/>
    <w:rsid w:val="00991975"/>
    <w:rsid w:val="00991A67"/>
    <w:rsid w:val="00991B1D"/>
    <w:rsid w:val="00991CC7"/>
    <w:rsid w:val="00991CEC"/>
    <w:rsid w:val="00991DD0"/>
    <w:rsid w:val="00991EE2"/>
    <w:rsid w:val="00991F42"/>
    <w:rsid w:val="0099208A"/>
    <w:rsid w:val="00992185"/>
    <w:rsid w:val="00992240"/>
    <w:rsid w:val="0099229F"/>
    <w:rsid w:val="009924E9"/>
    <w:rsid w:val="00992633"/>
    <w:rsid w:val="009926CD"/>
    <w:rsid w:val="0099275F"/>
    <w:rsid w:val="0099280D"/>
    <w:rsid w:val="00992847"/>
    <w:rsid w:val="009928E3"/>
    <w:rsid w:val="00992937"/>
    <w:rsid w:val="00992998"/>
    <w:rsid w:val="009929AF"/>
    <w:rsid w:val="00992AC8"/>
    <w:rsid w:val="00992C41"/>
    <w:rsid w:val="00992C8A"/>
    <w:rsid w:val="00992D5E"/>
    <w:rsid w:val="00993073"/>
    <w:rsid w:val="00993083"/>
    <w:rsid w:val="00993112"/>
    <w:rsid w:val="0099333C"/>
    <w:rsid w:val="009934B3"/>
    <w:rsid w:val="009934B9"/>
    <w:rsid w:val="009934DF"/>
    <w:rsid w:val="009935B4"/>
    <w:rsid w:val="0099362A"/>
    <w:rsid w:val="0099364F"/>
    <w:rsid w:val="0099372A"/>
    <w:rsid w:val="009938B5"/>
    <w:rsid w:val="00993953"/>
    <w:rsid w:val="009939CF"/>
    <w:rsid w:val="00993A38"/>
    <w:rsid w:val="00993A96"/>
    <w:rsid w:val="00993B9E"/>
    <w:rsid w:val="00993BD4"/>
    <w:rsid w:val="00993D5E"/>
    <w:rsid w:val="00993EDD"/>
    <w:rsid w:val="0099405D"/>
    <w:rsid w:val="009940A0"/>
    <w:rsid w:val="00994146"/>
    <w:rsid w:val="009941E0"/>
    <w:rsid w:val="009943B5"/>
    <w:rsid w:val="0099443A"/>
    <w:rsid w:val="00994507"/>
    <w:rsid w:val="0099454B"/>
    <w:rsid w:val="00994552"/>
    <w:rsid w:val="00994673"/>
    <w:rsid w:val="00994858"/>
    <w:rsid w:val="009948A8"/>
    <w:rsid w:val="009948ED"/>
    <w:rsid w:val="00994B01"/>
    <w:rsid w:val="00994BEE"/>
    <w:rsid w:val="00994CBB"/>
    <w:rsid w:val="00994F63"/>
    <w:rsid w:val="00994F9A"/>
    <w:rsid w:val="00994FCE"/>
    <w:rsid w:val="0099504E"/>
    <w:rsid w:val="00995085"/>
    <w:rsid w:val="009950C5"/>
    <w:rsid w:val="00995193"/>
    <w:rsid w:val="0099526D"/>
    <w:rsid w:val="0099543B"/>
    <w:rsid w:val="009955C6"/>
    <w:rsid w:val="009955E2"/>
    <w:rsid w:val="00995690"/>
    <w:rsid w:val="00995709"/>
    <w:rsid w:val="009957E5"/>
    <w:rsid w:val="00995837"/>
    <w:rsid w:val="00995905"/>
    <w:rsid w:val="00995A11"/>
    <w:rsid w:val="00995D19"/>
    <w:rsid w:val="00995DB5"/>
    <w:rsid w:val="00995FFD"/>
    <w:rsid w:val="0099606C"/>
    <w:rsid w:val="0099615D"/>
    <w:rsid w:val="009961B9"/>
    <w:rsid w:val="00996367"/>
    <w:rsid w:val="0099643F"/>
    <w:rsid w:val="009964C3"/>
    <w:rsid w:val="009964E8"/>
    <w:rsid w:val="00996529"/>
    <w:rsid w:val="009968C3"/>
    <w:rsid w:val="009969C7"/>
    <w:rsid w:val="009969FC"/>
    <w:rsid w:val="00996A06"/>
    <w:rsid w:val="00996A0F"/>
    <w:rsid w:val="00996A13"/>
    <w:rsid w:val="00996A80"/>
    <w:rsid w:val="00996BDF"/>
    <w:rsid w:val="00996C2D"/>
    <w:rsid w:val="00996C3A"/>
    <w:rsid w:val="00996E52"/>
    <w:rsid w:val="00996E98"/>
    <w:rsid w:val="00996ED7"/>
    <w:rsid w:val="00996EF8"/>
    <w:rsid w:val="0099702A"/>
    <w:rsid w:val="00997110"/>
    <w:rsid w:val="00997395"/>
    <w:rsid w:val="009973CA"/>
    <w:rsid w:val="009973CC"/>
    <w:rsid w:val="0099741B"/>
    <w:rsid w:val="009978A2"/>
    <w:rsid w:val="0099792F"/>
    <w:rsid w:val="0099796A"/>
    <w:rsid w:val="009979E1"/>
    <w:rsid w:val="00997A82"/>
    <w:rsid w:val="00997ADE"/>
    <w:rsid w:val="00997CD1"/>
    <w:rsid w:val="00997CE8"/>
    <w:rsid w:val="00997EDB"/>
    <w:rsid w:val="00997F6B"/>
    <w:rsid w:val="009A0054"/>
    <w:rsid w:val="009A00ED"/>
    <w:rsid w:val="009A0259"/>
    <w:rsid w:val="009A03EF"/>
    <w:rsid w:val="009A055B"/>
    <w:rsid w:val="009A0839"/>
    <w:rsid w:val="009A0846"/>
    <w:rsid w:val="009A085F"/>
    <w:rsid w:val="009A086C"/>
    <w:rsid w:val="009A094F"/>
    <w:rsid w:val="009A09B6"/>
    <w:rsid w:val="009A0A18"/>
    <w:rsid w:val="009A0A82"/>
    <w:rsid w:val="009A0BE4"/>
    <w:rsid w:val="009A0C0B"/>
    <w:rsid w:val="009A0C40"/>
    <w:rsid w:val="009A0DCB"/>
    <w:rsid w:val="009A0E35"/>
    <w:rsid w:val="009A0E8F"/>
    <w:rsid w:val="009A0EFE"/>
    <w:rsid w:val="009A0F71"/>
    <w:rsid w:val="009A1086"/>
    <w:rsid w:val="009A10BA"/>
    <w:rsid w:val="009A1108"/>
    <w:rsid w:val="009A1173"/>
    <w:rsid w:val="009A1184"/>
    <w:rsid w:val="009A1339"/>
    <w:rsid w:val="009A1424"/>
    <w:rsid w:val="009A1463"/>
    <w:rsid w:val="009A1553"/>
    <w:rsid w:val="009A15B9"/>
    <w:rsid w:val="009A1716"/>
    <w:rsid w:val="009A179C"/>
    <w:rsid w:val="009A1811"/>
    <w:rsid w:val="009A1822"/>
    <w:rsid w:val="009A1837"/>
    <w:rsid w:val="009A191B"/>
    <w:rsid w:val="009A1935"/>
    <w:rsid w:val="009A1B2C"/>
    <w:rsid w:val="009A1B36"/>
    <w:rsid w:val="009A1BAD"/>
    <w:rsid w:val="009A1EB9"/>
    <w:rsid w:val="009A1ECE"/>
    <w:rsid w:val="009A1F18"/>
    <w:rsid w:val="009A2183"/>
    <w:rsid w:val="009A21D9"/>
    <w:rsid w:val="009A2318"/>
    <w:rsid w:val="009A2442"/>
    <w:rsid w:val="009A2657"/>
    <w:rsid w:val="009A266B"/>
    <w:rsid w:val="009A267F"/>
    <w:rsid w:val="009A26A9"/>
    <w:rsid w:val="009A26B0"/>
    <w:rsid w:val="009A26B3"/>
    <w:rsid w:val="009A26CE"/>
    <w:rsid w:val="009A26DC"/>
    <w:rsid w:val="009A2723"/>
    <w:rsid w:val="009A28A1"/>
    <w:rsid w:val="009A2930"/>
    <w:rsid w:val="009A2979"/>
    <w:rsid w:val="009A2A89"/>
    <w:rsid w:val="009A2B7E"/>
    <w:rsid w:val="009A2B85"/>
    <w:rsid w:val="009A2D8D"/>
    <w:rsid w:val="009A2E1E"/>
    <w:rsid w:val="009A2EB0"/>
    <w:rsid w:val="009A2F11"/>
    <w:rsid w:val="009A2FA2"/>
    <w:rsid w:val="009A303F"/>
    <w:rsid w:val="009A3086"/>
    <w:rsid w:val="009A3122"/>
    <w:rsid w:val="009A31ED"/>
    <w:rsid w:val="009A31F4"/>
    <w:rsid w:val="009A345A"/>
    <w:rsid w:val="009A347E"/>
    <w:rsid w:val="009A351B"/>
    <w:rsid w:val="009A35A3"/>
    <w:rsid w:val="009A369F"/>
    <w:rsid w:val="009A36F8"/>
    <w:rsid w:val="009A372F"/>
    <w:rsid w:val="009A37A0"/>
    <w:rsid w:val="009A394E"/>
    <w:rsid w:val="009A397F"/>
    <w:rsid w:val="009A3A73"/>
    <w:rsid w:val="009A3C50"/>
    <w:rsid w:val="009A3C7C"/>
    <w:rsid w:val="009A3DA9"/>
    <w:rsid w:val="009A3F46"/>
    <w:rsid w:val="009A3FC5"/>
    <w:rsid w:val="009A4063"/>
    <w:rsid w:val="009A407D"/>
    <w:rsid w:val="009A40B5"/>
    <w:rsid w:val="009A413B"/>
    <w:rsid w:val="009A4250"/>
    <w:rsid w:val="009A42DA"/>
    <w:rsid w:val="009A433A"/>
    <w:rsid w:val="009A43EB"/>
    <w:rsid w:val="009A43FF"/>
    <w:rsid w:val="009A442C"/>
    <w:rsid w:val="009A443E"/>
    <w:rsid w:val="009A448B"/>
    <w:rsid w:val="009A4490"/>
    <w:rsid w:val="009A4493"/>
    <w:rsid w:val="009A459E"/>
    <w:rsid w:val="009A46A6"/>
    <w:rsid w:val="009A4754"/>
    <w:rsid w:val="009A47A2"/>
    <w:rsid w:val="009A487C"/>
    <w:rsid w:val="009A48B1"/>
    <w:rsid w:val="009A4900"/>
    <w:rsid w:val="009A4924"/>
    <w:rsid w:val="009A49A1"/>
    <w:rsid w:val="009A49C2"/>
    <w:rsid w:val="009A4A8F"/>
    <w:rsid w:val="009A4B8D"/>
    <w:rsid w:val="009A4BFC"/>
    <w:rsid w:val="009A4C34"/>
    <w:rsid w:val="009A4C48"/>
    <w:rsid w:val="009A4C8B"/>
    <w:rsid w:val="009A4D59"/>
    <w:rsid w:val="009A4DB9"/>
    <w:rsid w:val="009A4DBD"/>
    <w:rsid w:val="009A5018"/>
    <w:rsid w:val="009A504B"/>
    <w:rsid w:val="009A51D5"/>
    <w:rsid w:val="009A524E"/>
    <w:rsid w:val="009A52DB"/>
    <w:rsid w:val="009A5322"/>
    <w:rsid w:val="009A54CB"/>
    <w:rsid w:val="009A552A"/>
    <w:rsid w:val="009A555F"/>
    <w:rsid w:val="009A558C"/>
    <w:rsid w:val="009A5715"/>
    <w:rsid w:val="009A5AC8"/>
    <w:rsid w:val="009A5BED"/>
    <w:rsid w:val="009A5D37"/>
    <w:rsid w:val="009A5E4F"/>
    <w:rsid w:val="009A5EB9"/>
    <w:rsid w:val="009A5F05"/>
    <w:rsid w:val="009A5F36"/>
    <w:rsid w:val="009A612D"/>
    <w:rsid w:val="009A6312"/>
    <w:rsid w:val="009A6337"/>
    <w:rsid w:val="009A64EA"/>
    <w:rsid w:val="009A671F"/>
    <w:rsid w:val="009A67BC"/>
    <w:rsid w:val="009A6860"/>
    <w:rsid w:val="009A68B8"/>
    <w:rsid w:val="009A691A"/>
    <w:rsid w:val="009A6BE7"/>
    <w:rsid w:val="009A6BFD"/>
    <w:rsid w:val="009A6C03"/>
    <w:rsid w:val="009A6C6D"/>
    <w:rsid w:val="009A6CE3"/>
    <w:rsid w:val="009A6D12"/>
    <w:rsid w:val="009A6F45"/>
    <w:rsid w:val="009A6FD4"/>
    <w:rsid w:val="009A7031"/>
    <w:rsid w:val="009A7058"/>
    <w:rsid w:val="009A7179"/>
    <w:rsid w:val="009A7277"/>
    <w:rsid w:val="009A72F3"/>
    <w:rsid w:val="009A734E"/>
    <w:rsid w:val="009A735B"/>
    <w:rsid w:val="009A736B"/>
    <w:rsid w:val="009A7478"/>
    <w:rsid w:val="009A7535"/>
    <w:rsid w:val="009A7540"/>
    <w:rsid w:val="009A7585"/>
    <w:rsid w:val="009A75BB"/>
    <w:rsid w:val="009A767B"/>
    <w:rsid w:val="009A7756"/>
    <w:rsid w:val="009A77EE"/>
    <w:rsid w:val="009A79A7"/>
    <w:rsid w:val="009A7B71"/>
    <w:rsid w:val="009A7C78"/>
    <w:rsid w:val="009A7D99"/>
    <w:rsid w:val="009A7F04"/>
    <w:rsid w:val="009A7F14"/>
    <w:rsid w:val="009A7FA1"/>
    <w:rsid w:val="009A7FC2"/>
    <w:rsid w:val="009B0057"/>
    <w:rsid w:val="009B01FE"/>
    <w:rsid w:val="009B023E"/>
    <w:rsid w:val="009B02AC"/>
    <w:rsid w:val="009B04D6"/>
    <w:rsid w:val="009B0589"/>
    <w:rsid w:val="009B0615"/>
    <w:rsid w:val="009B067E"/>
    <w:rsid w:val="009B06AB"/>
    <w:rsid w:val="009B06EE"/>
    <w:rsid w:val="009B0963"/>
    <w:rsid w:val="009B0A1A"/>
    <w:rsid w:val="009B0A4F"/>
    <w:rsid w:val="009B0B1E"/>
    <w:rsid w:val="009B0C5D"/>
    <w:rsid w:val="009B0CE8"/>
    <w:rsid w:val="009B0F57"/>
    <w:rsid w:val="009B100A"/>
    <w:rsid w:val="009B125E"/>
    <w:rsid w:val="009B1294"/>
    <w:rsid w:val="009B13BD"/>
    <w:rsid w:val="009B156D"/>
    <w:rsid w:val="009B15AC"/>
    <w:rsid w:val="009B1637"/>
    <w:rsid w:val="009B1726"/>
    <w:rsid w:val="009B1791"/>
    <w:rsid w:val="009B19BF"/>
    <w:rsid w:val="009B1A7C"/>
    <w:rsid w:val="009B1C2E"/>
    <w:rsid w:val="009B1E20"/>
    <w:rsid w:val="009B1EA7"/>
    <w:rsid w:val="009B1FD2"/>
    <w:rsid w:val="009B203E"/>
    <w:rsid w:val="009B2042"/>
    <w:rsid w:val="009B20AC"/>
    <w:rsid w:val="009B212F"/>
    <w:rsid w:val="009B2236"/>
    <w:rsid w:val="009B241B"/>
    <w:rsid w:val="009B2468"/>
    <w:rsid w:val="009B24B8"/>
    <w:rsid w:val="009B24F6"/>
    <w:rsid w:val="009B27C9"/>
    <w:rsid w:val="009B285A"/>
    <w:rsid w:val="009B2920"/>
    <w:rsid w:val="009B2927"/>
    <w:rsid w:val="009B29A9"/>
    <w:rsid w:val="009B2B03"/>
    <w:rsid w:val="009B2B38"/>
    <w:rsid w:val="009B2B73"/>
    <w:rsid w:val="009B2BF3"/>
    <w:rsid w:val="009B2C7F"/>
    <w:rsid w:val="009B2DF6"/>
    <w:rsid w:val="009B2E45"/>
    <w:rsid w:val="009B2E89"/>
    <w:rsid w:val="009B2F0B"/>
    <w:rsid w:val="009B2F14"/>
    <w:rsid w:val="009B2F8A"/>
    <w:rsid w:val="009B3057"/>
    <w:rsid w:val="009B30E6"/>
    <w:rsid w:val="009B31CE"/>
    <w:rsid w:val="009B32AE"/>
    <w:rsid w:val="009B3309"/>
    <w:rsid w:val="009B33DC"/>
    <w:rsid w:val="009B3457"/>
    <w:rsid w:val="009B3516"/>
    <w:rsid w:val="009B358D"/>
    <w:rsid w:val="009B3761"/>
    <w:rsid w:val="009B3776"/>
    <w:rsid w:val="009B38C8"/>
    <w:rsid w:val="009B3955"/>
    <w:rsid w:val="009B396E"/>
    <w:rsid w:val="009B39AE"/>
    <w:rsid w:val="009B39DE"/>
    <w:rsid w:val="009B3A01"/>
    <w:rsid w:val="009B3AEC"/>
    <w:rsid w:val="009B3B20"/>
    <w:rsid w:val="009B3C3D"/>
    <w:rsid w:val="009B3C8C"/>
    <w:rsid w:val="009B3C8D"/>
    <w:rsid w:val="009B3CCF"/>
    <w:rsid w:val="009B3D4A"/>
    <w:rsid w:val="009B3DC9"/>
    <w:rsid w:val="009B3EC6"/>
    <w:rsid w:val="009B3ECA"/>
    <w:rsid w:val="009B3F2A"/>
    <w:rsid w:val="009B4014"/>
    <w:rsid w:val="009B4045"/>
    <w:rsid w:val="009B4046"/>
    <w:rsid w:val="009B4084"/>
    <w:rsid w:val="009B4153"/>
    <w:rsid w:val="009B4158"/>
    <w:rsid w:val="009B4271"/>
    <w:rsid w:val="009B4362"/>
    <w:rsid w:val="009B44B2"/>
    <w:rsid w:val="009B44CA"/>
    <w:rsid w:val="009B4592"/>
    <w:rsid w:val="009B45E5"/>
    <w:rsid w:val="009B45EF"/>
    <w:rsid w:val="009B466E"/>
    <w:rsid w:val="009B4674"/>
    <w:rsid w:val="009B4775"/>
    <w:rsid w:val="009B47C4"/>
    <w:rsid w:val="009B4858"/>
    <w:rsid w:val="009B48B8"/>
    <w:rsid w:val="009B4916"/>
    <w:rsid w:val="009B4960"/>
    <w:rsid w:val="009B4AC4"/>
    <w:rsid w:val="009B4B67"/>
    <w:rsid w:val="009B4E68"/>
    <w:rsid w:val="009B4F13"/>
    <w:rsid w:val="009B4F3C"/>
    <w:rsid w:val="009B4F45"/>
    <w:rsid w:val="009B4F55"/>
    <w:rsid w:val="009B4FA9"/>
    <w:rsid w:val="009B4FC6"/>
    <w:rsid w:val="009B4FD0"/>
    <w:rsid w:val="009B52B9"/>
    <w:rsid w:val="009B53AC"/>
    <w:rsid w:val="009B5430"/>
    <w:rsid w:val="009B5433"/>
    <w:rsid w:val="009B5597"/>
    <w:rsid w:val="009B566A"/>
    <w:rsid w:val="009B5779"/>
    <w:rsid w:val="009B583F"/>
    <w:rsid w:val="009B5859"/>
    <w:rsid w:val="009B5872"/>
    <w:rsid w:val="009B5947"/>
    <w:rsid w:val="009B5A1D"/>
    <w:rsid w:val="009B5A65"/>
    <w:rsid w:val="009B5A8C"/>
    <w:rsid w:val="009B5BC3"/>
    <w:rsid w:val="009B5C6D"/>
    <w:rsid w:val="009B5CAE"/>
    <w:rsid w:val="009B5D08"/>
    <w:rsid w:val="009B5E01"/>
    <w:rsid w:val="009B5E12"/>
    <w:rsid w:val="009B5EDD"/>
    <w:rsid w:val="009B5F94"/>
    <w:rsid w:val="009B5FF5"/>
    <w:rsid w:val="009B617D"/>
    <w:rsid w:val="009B61E7"/>
    <w:rsid w:val="009B6210"/>
    <w:rsid w:val="009B6213"/>
    <w:rsid w:val="009B6234"/>
    <w:rsid w:val="009B6236"/>
    <w:rsid w:val="009B6340"/>
    <w:rsid w:val="009B6399"/>
    <w:rsid w:val="009B6419"/>
    <w:rsid w:val="009B6463"/>
    <w:rsid w:val="009B65DD"/>
    <w:rsid w:val="009B661E"/>
    <w:rsid w:val="009B67D4"/>
    <w:rsid w:val="009B67EF"/>
    <w:rsid w:val="009B6821"/>
    <w:rsid w:val="009B683C"/>
    <w:rsid w:val="009B6905"/>
    <w:rsid w:val="009B6A5C"/>
    <w:rsid w:val="009B6A98"/>
    <w:rsid w:val="009B6B8C"/>
    <w:rsid w:val="009B6C77"/>
    <w:rsid w:val="009B6CEF"/>
    <w:rsid w:val="009B6E50"/>
    <w:rsid w:val="009B6ED6"/>
    <w:rsid w:val="009B6EDE"/>
    <w:rsid w:val="009B6F1B"/>
    <w:rsid w:val="009B6F51"/>
    <w:rsid w:val="009B6F82"/>
    <w:rsid w:val="009B6FD6"/>
    <w:rsid w:val="009B70CB"/>
    <w:rsid w:val="009B7146"/>
    <w:rsid w:val="009B721D"/>
    <w:rsid w:val="009B729B"/>
    <w:rsid w:val="009B72D8"/>
    <w:rsid w:val="009B7315"/>
    <w:rsid w:val="009B7367"/>
    <w:rsid w:val="009B744E"/>
    <w:rsid w:val="009B749B"/>
    <w:rsid w:val="009B764B"/>
    <w:rsid w:val="009B7678"/>
    <w:rsid w:val="009B76B8"/>
    <w:rsid w:val="009B782B"/>
    <w:rsid w:val="009B785F"/>
    <w:rsid w:val="009B78F6"/>
    <w:rsid w:val="009B7B28"/>
    <w:rsid w:val="009B7BFB"/>
    <w:rsid w:val="009B7C91"/>
    <w:rsid w:val="009B7CB0"/>
    <w:rsid w:val="009B7CE5"/>
    <w:rsid w:val="009B7E1F"/>
    <w:rsid w:val="009C00A5"/>
    <w:rsid w:val="009C01BC"/>
    <w:rsid w:val="009C01D3"/>
    <w:rsid w:val="009C01ED"/>
    <w:rsid w:val="009C0264"/>
    <w:rsid w:val="009C0472"/>
    <w:rsid w:val="009C056C"/>
    <w:rsid w:val="009C06EF"/>
    <w:rsid w:val="009C0730"/>
    <w:rsid w:val="009C077F"/>
    <w:rsid w:val="009C08EA"/>
    <w:rsid w:val="009C0944"/>
    <w:rsid w:val="009C0A65"/>
    <w:rsid w:val="009C0AE2"/>
    <w:rsid w:val="009C0B11"/>
    <w:rsid w:val="009C0B68"/>
    <w:rsid w:val="009C0BE7"/>
    <w:rsid w:val="009C0CF7"/>
    <w:rsid w:val="009C0D19"/>
    <w:rsid w:val="009C0E9E"/>
    <w:rsid w:val="009C0FE6"/>
    <w:rsid w:val="009C11D2"/>
    <w:rsid w:val="009C11E3"/>
    <w:rsid w:val="009C12A8"/>
    <w:rsid w:val="009C145E"/>
    <w:rsid w:val="009C1480"/>
    <w:rsid w:val="009C16B5"/>
    <w:rsid w:val="009C1718"/>
    <w:rsid w:val="009C18C8"/>
    <w:rsid w:val="009C18D2"/>
    <w:rsid w:val="009C18EA"/>
    <w:rsid w:val="009C1A5C"/>
    <w:rsid w:val="009C1A63"/>
    <w:rsid w:val="009C1A85"/>
    <w:rsid w:val="009C1AD1"/>
    <w:rsid w:val="009C1ADB"/>
    <w:rsid w:val="009C1AFF"/>
    <w:rsid w:val="009C1B37"/>
    <w:rsid w:val="009C1C3E"/>
    <w:rsid w:val="009C1D6E"/>
    <w:rsid w:val="009C1E88"/>
    <w:rsid w:val="009C1F34"/>
    <w:rsid w:val="009C2027"/>
    <w:rsid w:val="009C2049"/>
    <w:rsid w:val="009C206C"/>
    <w:rsid w:val="009C2117"/>
    <w:rsid w:val="009C2292"/>
    <w:rsid w:val="009C22C1"/>
    <w:rsid w:val="009C22EB"/>
    <w:rsid w:val="009C22F4"/>
    <w:rsid w:val="009C2383"/>
    <w:rsid w:val="009C23D7"/>
    <w:rsid w:val="009C23FA"/>
    <w:rsid w:val="009C2406"/>
    <w:rsid w:val="009C24A1"/>
    <w:rsid w:val="009C24DC"/>
    <w:rsid w:val="009C24E0"/>
    <w:rsid w:val="009C2506"/>
    <w:rsid w:val="009C2582"/>
    <w:rsid w:val="009C25F7"/>
    <w:rsid w:val="009C2688"/>
    <w:rsid w:val="009C2710"/>
    <w:rsid w:val="009C28BF"/>
    <w:rsid w:val="009C28DD"/>
    <w:rsid w:val="009C2920"/>
    <w:rsid w:val="009C296E"/>
    <w:rsid w:val="009C29F5"/>
    <w:rsid w:val="009C2B86"/>
    <w:rsid w:val="009C2C03"/>
    <w:rsid w:val="009C2DD3"/>
    <w:rsid w:val="009C2DD4"/>
    <w:rsid w:val="009C2DF3"/>
    <w:rsid w:val="009C2EE8"/>
    <w:rsid w:val="009C2EE9"/>
    <w:rsid w:val="009C2EEB"/>
    <w:rsid w:val="009C2F52"/>
    <w:rsid w:val="009C3091"/>
    <w:rsid w:val="009C30C1"/>
    <w:rsid w:val="009C3168"/>
    <w:rsid w:val="009C3284"/>
    <w:rsid w:val="009C3305"/>
    <w:rsid w:val="009C33FF"/>
    <w:rsid w:val="009C3433"/>
    <w:rsid w:val="009C351F"/>
    <w:rsid w:val="009C3565"/>
    <w:rsid w:val="009C3587"/>
    <w:rsid w:val="009C3B21"/>
    <w:rsid w:val="009C3ED3"/>
    <w:rsid w:val="009C3EE0"/>
    <w:rsid w:val="009C3FCA"/>
    <w:rsid w:val="009C4103"/>
    <w:rsid w:val="009C4266"/>
    <w:rsid w:val="009C42BE"/>
    <w:rsid w:val="009C4353"/>
    <w:rsid w:val="009C43B1"/>
    <w:rsid w:val="009C4487"/>
    <w:rsid w:val="009C4517"/>
    <w:rsid w:val="009C4648"/>
    <w:rsid w:val="009C46F7"/>
    <w:rsid w:val="009C4750"/>
    <w:rsid w:val="009C4774"/>
    <w:rsid w:val="009C47D3"/>
    <w:rsid w:val="009C49D7"/>
    <w:rsid w:val="009C4A4C"/>
    <w:rsid w:val="009C4A4D"/>
    <w:rsid w:val="009C4A94"/>
    <w:rsid w:val="009C4AB6"/>
    <w:rsid w:val="009C4AEA"/>
    <w:rsid w:val="009C4C45"/>
    <w:rsid w:val="009C4D16"/>
    <w:rsid w:val="009C4D72"/>
    <w:rsid w:val="009C4E21"/>
    <w:rsid w:val="009C4E6F"/>
    <w:rsid w:val="009C4E8C"/>
    <w:rsid w:val="009C4F22"/>
    <w:rsid w:val="009C4F9F"/>
    <w:rsid w:val="009C5009"/>
    <w:rsid w:val="009C5037"/>
    <w:rsid w:val="009C5042"/>
    <w:rsid w:val="009C50EE"/>
    <w:rsid w:val="009C516C"/>
    <w:rsid w:val="009C5178"/>
    <w:rsid w:val="009C5503"/>
    <w:rsid w:val="009C5596"/>
    <w:rsid w:val="009C55C0"/>
    <w:rsid w:val="009C5771"/>
    <w:rsid w:val="009C57B8"/>
    <w:rsid w:val="009C5833"/>
    <w:rsid w:val="009C58D3"/>
    <w:rsid w:val="009C59FF"/>
    <w:rsid w:val="009C5B01"/>
    <w:rsid w:val="009C5C6F"/>
    <w:rsid w:val="009C5D35"/>
    <w:rsid w:val="009C5D6D"/>
    <w:rsid w:val="009C5DB7"/>
    <w:rsid w:val="009C5EA9"/>
    <w:rsid w:val="009C5EB9"/>
    <w:rsid w:val="009C5F7D"/>
    <w:rsid w:val="009C607D"/>
    <w:rsid w:val="009C6081"/>
    <w:rsid w:val="009C6115"/>
    <w:rsid w:val="009C618C"/>
    <w:rsid w:val="009C61AC"/>
    <w:rsid w:val="009C61E5"/>
    <w:rsid w:val="009C6334"/>
    <w:rsid w:val="009C644A"/>
    <w:rsid w:val="009C67F8"/>
    <w:rsid w:val="009C6936"/>
    <w:rsid w:val="009C69B4"/>
    <w:rsid w:val="009C69CF"/>
    <w:rsid w:val="009C6AA6"/>
    <w:rsid w:val="009C6B56"/>
    <w:rsid w:val="009C6C7D"/>
    <w:rsid w:val="009C6D0C"/>
    <w:rsid w:val="009C6D23"/>
    <w:rsid w:val="009C6D35"/>
    <w:rsid w:val="009C6D7B"/>
    <w:rsid w:val="009C6D95"/>
    <w:rsid w:val="009C6E38"/>
    <w:rsid w:val="009C6E5C"/>
    <w:rsid w:val="009C6FED"/>
    <w:rsid w:val="009C729E"/>
    <w:rsid w:val="009C73A5"/>
    <w:rsid w:val="009C73CE"/>
    <w:rsid w:val="009C75A9"/>
    <w:rsid w:val="009C7667"/>
    <w:rsid w:val="009C767C"/>
    <w:rsid w:val="009C77EC"/>
    <w:rsid w:val="009C77F4"/>
    <w:rsid w:val="009C7822"/>
    <w:rsid w:val="009C7894"/>
    <w:rsid w:val="009C794E"/>
    <w:rsid w:val="009C7A75"/>
    <w:rsid w:val="009C7B32"/>
    <w:rsid w:val="009C7BC2"/>
    <w:rsid w:val="009C7C17"/>
    <w:rsid w:val="009C7C5A"/>
    <w:rsid w:val="009C7D00"/>
    <w:rsid w:val="009C7DA3"/>
    <w:rsid w:val="009C7E94"/>
    <w:rsid w:val="009C7FEE"/>
    <w:rsid w:val="009D0045"/>
    <w:rsid w:val="009D00C6"/>
    <w:rsid w:val="009D0295"/>
    <w:rsid w:val="009D0308"/>
    <w:rsid w:val="009D03C9"/>
    <w:rsid w:val="009D041F"/>
    <w:rsid w:val="009D072E"/>
    <w:rsid w:val="009D075A"/>
    <w:rsid w:val="009D08B7"/>
    <w:rsid w:val="009D0989"/>
    <w:rsid w:val="009D09E1"/>
    <w:rsid w:val="009D0AA6"/>
    <w:rsid w:val="009D0BB4"/>
    <w:rsid w:val="009D0C2B"/>
    <w:rsid w:val="009D0CBF"/>
    <w:rsid w:val="009D0D27"/>
    <w:rsid w:val="009D0E33"/>
    <w:rsid w:val="009D0E9B"/>
    <w:rsid w:val="009D0EA1"/>
    <w:rsid w:val="009D0FDD"/>
    <w:rsid w:val="009D1050"/>
    <w:rsid w:val="009D123E"/>
    <w:rsid w:val="009D1245"/>
    <w:rsid w:val="009D12CC"/>
    <w:rsid w:val="009D135C"/>
    <w:rsid w:val="009D13D8"/>
    <w:rsid w:val="009D1471"/>
    <w:rsid w:val="009D160E"/>
    <w:rsid w:val="009D165B"/>
    <w:rsid w:val="009D1668"/>
    <w:rsid w:val="009D1716"/>
    <w:rsid w:val="009D176B"/>
    <w:rsid w:val="009D17DA"/>
    <w:rsid w:val="009D19C8"/>
    <w:rsid w:val="009D1A47"/>
    <w:rsid w:val="009D1B70"/>
    <w:rsid w:val="009D1CC2"/>
    <w:rsid w:val="009D1F2D"/>
    <w:rsid w:val="009D1FC4"/>
    <w:rsid w:val="009D1FD5"/>
    <w:rsid w:val="009D2093"/>
    <w:rsid w:val="009D20BD"/>
    <w:rsid w:val="009D20E6"/>
    <w:rsid w:val="009D21E3"/>
    <w:rsid w:val="009D22D4"/>
    <w:rsid w:val="009D2364"/>
    <w:rsid w:val="009D2395"/>
    <w:rsid w:val="009D254E"/>
    <w:rsid w:val="009D266A"/>
    <w:rsid w:val="009D268C"/>
    <w:rsid w:val="009D2793"/>
    <w:rsid w:val="009D27E2"/>
    <w:rsid w:val="009D283E"/>
    <w:rsid w:val="009D2981"/>
    <w:rsid w:val="009D2A79"/>
    <w:rsid w:val="009D2B06"/>
    <w:rsid w:val="009D2CAE"/>
    <w:rsid w:val="009D2CD4"/>
    <w:rsid w:val="009D2D3C"/>
    <w:rsid w:val="009D2D56"/>
    <w:rsid w:val="009D2DE2"/>
    <w:rsid w:val="009D2E33"/>
    <w:rsid w:val="009D2EA7"/>
    <w:rsid w:val="009D2EF6"/>
    <w:rsid w:val="009D2FB5"/>
    <w:rsid w:val="009D300D"/>
    <w:rsid w:val="009D3029"/>
    <w:rsid w:val="009D30B2"/>
    <w:rsid w:val="009D3106"/>
    <w:rsid w:val="009D314A"/>
    <w:rsid w:val="009D319E"/>
    <w:rsid w:val="009D31D8"/>
    <w:rsid w:val="009D3309"/>
    <w:rsid w:val="009D33A1"/>
    <w:rsid w:val="009D33E3"/>
    <w:rsid w:val="009D33F0"/>
    <w:rsid w:val="009D34D8"/>
    <w:rsid w:val="009D34EA"/>
    <w:rsid w:val="009D3564"/>
    <w:rsid w:val="009D35BD"/>
    <w:rsid w:val="009D366A"/>
    <w:rsid w:val="009D3714"/>
    <w:rsid w:val="009D37C2"/>
    <w:rsid w:val="009D3887"/>
    <w:rsid w:val="009D3895"/>
    <w:rsid w:val="009D38AC"/>
    <w:rsid w:val="009D3A41"/>
    <w:rsid w:val="009D3A59"/>
    <w:rsid w:val="009D3AD2"/>
    <w:rsid w:val="009D3B8A"/>
    <w:rsid w:val="009D3BC0"/>
    <w:rsid w:val="009D3C4F"/>
    <w:rsid w:val="009D3D44"/>
    <w:rsid w:val="009D3EA8"/>
    <w:rsid w:val="009D40E0"/>
    <w:rsid w:val="009D40E4"/>
    <w:rsid w:val="009D40FE"/>
    <w:rsid w:val="009D4324"/>
    <w:rsid w:val="009D432E"/>
    <w:rsid w:val="009D437C"/>
    <w:rsid w:val="009D43D8"/>
    <w:rsid w:val="009D44C8"/>
    <w:rsid w:val="009D4519"/>
    <w:rsid w:val="009D455A"/>
    <w:rsid w:val="009D4575"/>
    <w:rsid w:val="009D46DE"/>
    <w:rsid w:val="009D47BA"/>
    <w:rsid w:val="009D49A3"/>
    <w:rsid w:val="009D4A90"/>
    <w:rsid w:val="009D4B0C"/>
    <w:rsid w:val="009D4B63"/>
    <w:rsid w:val="009D4C78"/>
    <w:rsid w:val="009D4C88"/>
    <w:rsid w:val="009D4CB0"/>
    <w:rsid w:val="009D4F4D"/>
    <w:rsid w:val="009D4F65"/>
    <w:rsid w:val="009D516C"/>
    <w:rsid w:val="009D523A"/>
    <w:rsid w:val="009D5341"/>
    <w:rsid w:val="009D54CB"/>
    <w:rsid w:val="009D54F0"/>
    <w:rsid w:val="009D5735"/>
    <w:rsid w:val="009D5739"/>
    <w:rsid w:val="009D5815"/>
    <w:rsid w:val="009D5946"/>
    <w:rsid w:val="009D5963"/>
    <w:rsid w:val="009D598E"/>
    <w:rsid w:val="009D5998"/>
    <w:rsid w:val="009D5AD2"/>
    <w:rsid w:val="009D5BAC"/>
    <w:rsid w:val="009D5D47"/>
    <w:rsid w:val="009D5EFD"/>
    <w:rsid w:val="009D5F57"/>
    <w:rsid w:val="009D5F64"/>
    <w:rsid w:val="009D5FB7"/>
    <w:rsid w:val="009D6159"/>
    <w:rsid w:val="009D6365"/>
    <w:rsid w:val="009D6395"/>
    <w:rsid w:val="009D63E7"/>
    <w:rsid w:val="009D6417"/>
    <w:rsid w:val="009D641E"/>
    <w:rsid w:val="009D646B"/>
    <w:rsid w:val="009D64EF"/>
    <w:rsid w:val="009D64F6"/>
    <w:rsid w:val="009D6564"/>
    <w:rsid w:val="009D66E3"/>
    <w:rsid w:val="009D6973"/>
    <w:rsid w:val="009D6A09"/>
    <w:rsid w:val="009D6BA5"/>
    <w:rsid w:val="009D6CA6"/>
    <w:rsid w:val="009D6CA9"/>
    <w:rsid w:val="009D6CB1"/>
    <w:rsid w:val="009D6CE7"/>
    <w:rsid w:val="009D6CE8"/>
    <w:rsid w:val="009D6D0E"/>
    <w:rsid w:val="009D6F2D"/>
    <w:rsid w:val="009D6FF1"/>
    <w:rsid w:val="009D7036"/>
    <w:rsid w:val="009D7142"/>
    <w:rsid w:val="009D727C"/>
    <w:rsid w:val="009D7459"/>
    <w:rsid w:val="009D7535"/>
    <w:rsid w:val="009D755A"/>
    <w:rsid w:val="009D7571"/>
    <w:rsid w:val="009D75E6"/>
    <w:rsid w:val="009D76FB"/>
    <w:rsid w:val="009D7899"/>
    <w:rsid w:val="009D7906"/>
    <w:rsid w:val="009D7915"/>
    <w:rsid w:val="009D7A38"/>
    <w:rsid w:val="009D7BD5"/>
    <w:rsid w:val="009D7E5A"/>
    <w:rsid w:val="009D7E9A"/>
    <w:rsid w:val="009D7FE9"/>
    <w:rsid w:val="009E00A4"/>
    <w:rsid w:val="009E00FF"/>
    <w:rsid w:val="009E02AF"/>
    <w:rsid w:val="009E02D7"/>
    <w:rsid w:val="009E03AC"/>
    <w:rsid w:val="009E0413"/>
    <w:rsid w:val="009E059C"/>
    <w:rsid w:val="009E05D2"/>
    <w:rsid w:val="009E0911"/>
    <w:rsid w:val="009E0991"/>
    <w:rsid w:val="009E0997"/>
    <w:rsid w:val="009E09C2"/>
    <w:rsid w:val="009E0AF5"/>
    <w:rsid w:val="009E0B43"/>
    <w:rsid w:val="009E0BD2"/>
    <w:rsid w:val="009E0C1E"/>
    <w:rsid w:val="009E0C64"/>
    <w:rsid w:val="009E0CFF"/>
    <w:rsid w:val="009E0DB7"/>
    <w:rsid w:val="009E0E86"/>
    <w:rsid w:val="009E0F18"/>
    <w:rsid w:val="009E10A0"/>
    <w:rsid w:val="009E10A4"/>
    <w:rsid w:val="009E10DC"/>
    <w:rsid w:val="009E12B0"/>
    <w:rsid w:val="009E12BB"/>
    <w:rsid w:val="009E13E1"/>
    <w:rsid w:val="009E14AC"/>
    <w:rsid w:val="009E14F7"/>
    <w:rsid w:val="009E159A"/>
    <w:rsid w:val="009E15D6"/>
    <w:rsid w:val="009E1601"/>
    <w:rsid w:val="009E1758"/>
    <w:rsid w:val="009E17B6"/>
    <w:rsid w:val="009E17BF"/>
    <w:rsid w:val="009E181D"/>
    <w:rsid w:val="009E187E"/>
    <w:rsid w:val="009E18CB"/>
    <w:rsid w:val="009E18F2"/>
    <w:rsid w:val="009E1948"/>
    <w:rsid w:val="009E1994"/>
    <w:rsid w:val="009E1D6D"/>
    <w:rsid w:val="009E1E1B"/>
    <w:rsid w:val="009E1E6E"/>
    <w:rsid w:val="009E1ED2"/>
    <w:rsid w:val="009E1F2E"/>
    <w:rsid w:val="009E1F3A"/>
    <w:rsid w:val="009E1FC6"/>
    <w:rsid w:val="009E2062"/>
    <w:rsid w:val="009E20A2"/>
    <w:rsid w:val="009E20B6"/>
    <w:rsid w:val="009E210F"/>
    <w:rsid w:val="009E2216"/>
    <w:rsid w:val="009E236B"/>
    <w:rsid w:val="009E244F"/>
    <w:rsid w:val="009E254C"/>
    <w:rsid w:val="009E256B"/>
    <w:rsid w:val="009E25BA"/>
    <w:rsid w:val="009E2701"/>
    <w:rsid w:val="009E2746"/>
    <w:rsid w:val="009E2766"/>
    <w:rsid w:val="009E27C0"/>
    <w:rsid w:val="009E27E2"/>
    <w:rsid w:val="009E2829"/>
    <w:rsid w:val="009E2840"/>
    <w:rsid w:val="009E28FC"/>
    <w:rsid w:val="009E2C7E"/>
    <w:rsid w:val="009E2CB4"/>
    <w:rsid w:val="009E2DE3"/>
    <w:rsid w:val="009E2E32"/>
    <w:rsid w:val="009E2FBB"/>
    <w:rsid w:val="009E2FEE"/>
    <w:rsid w:val="009E3089"/>
    <w:rsid w:val="009E30BC"/>
    <w:rsid w:val="009E3169"/>
    <w:rsid w:val="009E3299"/>
    <w:rsid w:val="009E32D8"/>
    <w:rsid w:val="009E3305"/>
    <w:rsid w:val="009E3358"/>
    <w:rsid w:val="009E3546"/>
    <w:rsid w:val="009E37E2"/>
    <w:rsid w:val="009E397F"/>
    <w:rsid w:val="009E39DB"/>
    <w:rsid w:val="009E3A15"/>
    <w:rsid w:val="009E3A62"/>
    <w:rsid w:val="009E3A85"/>
    <w:rsid w:val="009E3B85"/>
    <w:rsid w:val="009E3B86"/>
    <w:rsid w:val="009E3C0C"/>
    <w:rsid w:val="009E3EF0"/>
    <w:rsid w:val="009E3F02"/>
    <w:rsid w:val="009E3FF9"/>
    <w:rsid w:val="009E403D"/>
    <w:rsid w:val="009E407E"/>
    <w:rsid w:val="009E41B8"/>
    <w:rsid w:val="009E4259"/>
    <w:rsid w:val="009E439D"/>
    <w:rsid w:val="009E4425"/>
    <w:rsid w:val="009E447D"/>
    <w:rsid w:val="009E44A9"/>
    <w:rsid w:val="009E44EA"/>
    <w:rsid w:val="009E460B"/>
    <w:rsid w:val="009E464A"/>
    <w:rsid w:val="009E4671"/>
    <w:rsid w:val="009E484E"/>
    <w:rsid w:val="009E4907"/>
    <w:rsid w:val="009E4938"/>
    <w:rsid w:val="009E49A4"/>
    <w:rsid w:val="009E49B2"/>
    <w:rsid w:val="009E4A00"/>
    <w:rsid w:val="009E4C43"/>
    <w:rsid w:val="009E4CB8"/>
    <w:rsid w:val="009E4D45"/>
    <w:rsid w:val="009E4D4E"/>
    <w:rsid w:val="009E5019"/>
    <w:rsid w:val="009E50BD"/>
    <w:rsid w:val="009E5194"/>
    <w:rsid w:val="009E528C"/>
    <w:rsid w:val="009E5329"/>
    <w:rsid w:val="009E5572"/>
    <w:rsid w:val="009E558B"/>
    <w:rsid w:val="009E56FE"/>
    <w:rsid w:val="009E57DB"/>
    <w:rsid w:val="009E58F6"/>
    <w:rsid w:val="009E593C"/>
    <w:rsid w:val="009E5A0B"/>
    <w:rsid w:val="009E5A29"/>
    <w:rsid w:val="009E5AB9"/>
    <w:rsid w:val="009E5B76"/>
    <w:rsid w:val="009E5DAA"/>
    <w:rsid w:val="009E5E1E"/>
    <w:rsid w:val="009E5F5B"/>
    <w:rsid w:val="009E5F8D"/>
    <w:rsid w:val="009E5FFF"/>
    <w:rsid w:val="009E6006"/>
    <w:rsid w:val="009E602E"/>
    <w:rsid w:val="009E60B0"/>
    <w:rsid w:val="009E6196"/>
    <w:rsid w:val="009E633C"/>
    <w:rsid w:val="009E63C9"/>
    <w:rsid w:val="009E63FB"/>
    <w:rsid w:val="009E650E"/>
    <w:rsid w:val="009E6565"/>
    <w:rsid w:val="009E6B77"/>
    <w:rsid w:val="009E6BD6"/>
    <w:rsid w:val="009E6C38"/>
    <w:rsid w:val="009E6C40"/>
    <w:rsid w:val="009E6CB8"/>
    <w:rsid w:val="009E6CC5"/>
    <w:rsid w:val="009E6E4C"/>
    <w:rsid w:val="009E6FF1"/>
    <w:rsid w:val="009E7132"/>
    <w:rsid w:val="009E71F1"/>
    <w:rsid w:val="009E727B"/>
    <w:rsid w:val="009E72F7"/>
    <w:rsid w:val="009E7536"/>
    <w:rsid w:val="009E774A"/>
    <w:rsid w:val="009E77DE"/>
    <w:rsid w:val="009E789F"/>
    <w:rsid w:val="009E78CD"/>
    <w:rsid w:val="009E7A1B"/>
    <w:rsid w:val="009E7B2E"/>
    <w:rsid w:val="009E7B70"/>
    <w:rsid w:val="009E7BDB"/>
    <w:rsid w:val="009E7C59"/>
    <w:rsid w:val="009E7F39"/>
    <w:rsid w:val="009E7F99"/>
    <w:rsid w:val="009F0013"/>
    <w:rsid w:val="009F0138"/>
    <w:rsid w:val="009F014C"/>
    <w:rsid w:val="009F01ED"/>
    <w:rsid w:val="009F0200"/>
    <w:rsid w:val="009F02DD"/>
    <w:rsid w:val="009F0433"/>
    <w:rsid w:val="009F057B"/>
    <w:rsid w:val="009F07F9"/>
    <w:rsid w:val="009F08AC"/>
    <w:rsid w:val="009F09FA"/>
    <w:rsid w:val="009F0A26"/>
    <w:rsid w:val="009F0BD9"/>
    <w:rsid w:val="009F0C72"/>
    <w:rsid w:val="009F0D83"/>
    <w:rsid w:val="009F0E2E"/>
    <w:rsid w:val="009F0ECE"/>
    <w:rsid w:val="009F0F10"/>
    <w:rsid w:val="009F1033"/>
    <w:rsid w:val="009F15BC"/>
    <w:rsid w:val="009F164E"/>
    <w:rsid w:val="009F169D"/>
    <w:rsid w:val="009F16DA"/>
    <w:rsid w:val="009F1771"/>
    <w:rsid w:val="009F18D2"/>
    <w:rsid w:val="009F18DD"/>
    <w:rsid w:val="009F1A09"/>
    <w:rsid w:val="009F1B90"/>
    <w:rsid w:val="009F1C8F"/>
    <w:rsid w:val="009F1C9E"/>
    <w:rsid w:val="009F1D05"/>
    <w:rsid w:val="009F1E21"/>
    <w:rsid w:val="009F1E71"/>
    <w:rsid w:val="009F1EC3"/>
    <w:rsid w:val="009F1EE6"/>
    <w:rsid w:val="009F1F68"/>
    <w:rsid w:val="009F1FB8"/>
    <w:rsid w:val="009F1FE7"/>
    <w:rsid w:val="009F2015"/>
    <w:rsid w:val="009F2228"/>
    <w:rsid w:val="009F22EA"/>
    <w:rsid w:val="009F23E0"/>
    <w:rsid w:val="009F23E3"/>
    <w:rsid w:val="009F2455"/>
    <w:rsid w:val="009F24E9"/>
    <w:rsid w:val="009F25E4"/>
    <w:rsid w:val="009F2691"/>
    <w:rsid w:val="009F26D0"/>
    <w:rsid w:val="009F26D5"/>
    <w:rsid w:val="009F26F4"/>
    <w:rsid w:val="009F2721"/>
    <w:rsid w:val="009F28A7"/>
    <w:rsid w:val="009F2A05"/>
    <w:rsid w:val="009F2A5B"/>
    <w:rsid w:val="009F2AAA"/>
    <w:rsid w:val="009F2B53"/>
    <w:rsid w:val="009F2BC3"/>
    <w:rsid w:val="009F2F1C"/>
    <w:rsid w:val="009F2FF3"/>
    <w:rsid w:val="009F3061"/>
    <w:rsid w:val="009F3110"/>
    <w:rsid w:val="009F3165"/>
    <w:rsid w:val="009F33E4"/>
    <w:rsid w:val="009F343E"/>
    <w:rsid w:val="009F34EB"/>
    <w:rsid w:val="009F35A8"/>
    <w:rsid w:val="009F366D"/>
    <w:rsid w:val="009F366F"/>
    <w:rsid w:val="009F3862"/>
    <w:rsid w:val="009F395E"/>
    <w:rsid w:val="009F39D3"/>
    <w:rsid w:val="009F3A5E"/>
    <w:rsid w:val="009F3A8D"/>
    <w:rsid w:val="009F3B69"/>
    <w:rsid w:val="009F3BAD"/>
    <w:rsid w:val="009F3CB4"/>
    <w:rsid w:val="009F3CE2"/>
    <w:rsid w:val="009F3D23"/>
    <w:rsid w:val="009F3D9E"/>
    <w:rsid w:val="009F3DCF"/>
    <w:rsid w:val="009F3DE9"/>
    <w:rsid w:val="009F3E9C"/>
    <w:rsid w:val="009F3EA9"/>
    <w:rsid w:val="009F3F31"/>
    <w:rsid w:val="009F3F40"/>
    <w:rsid w:val="009F409C"/>
    <w:rsid w:val="009F40EA"/>
    <w:rsid w:val="009F40EE"/>
    <w:rsid w:val="009F416D"/>
    <w:rsid w:val="009F426D"/>
    <w:rsid w:val="009F428E"/>
    <w:rsid w:val="009F4317"/>
    <w:rsid w:val="009F435A"/>
    <w:rsid w:val="009F436E"/>
    <w:rsid w:val="009F4418"/>
    <w:rsid w:val="009F44BE"/>
    <w:rsid w:val="009F44CB"/>
    <w:rsid w:val="009F4597"/>
    <w:rsid w:val="009F4858"/>
    <w:rsid w:val="009F497F"/>
    <w:rsid w:val="009F4A2D"/>
    <w:rsid w:val="009F4C44"/>
    <w:rsid w:val="009F4D40"/>
    <w:rsid w:val="009F4F76"/>
    <w:rsid w:val="009F5081"/>
    <w:rsid w:val="009F50EE"/>
    <w:rsid w:val="009F516F"/>
    <w:rsid w:val="009F5225"/>
    <w:rsid w:val="009F525D"/>
    <w:rsid w:val="009F534A"/>
    <w:rsid w:val="009F54C3"/>
    <w:rsid w:val="009F585F"/>
    <w:rsid w:val="009F589C"/>
    <w:rsid w:val="009F58C5"/>
    <w:rsid w:val="009F5ACC"/>
    <w:rsid w:val="009F5ADB"/>
    <w:rsid w:val="009F5BBA"/>
    <w:rsid w:val="009F5D94"/>
    <w:rsid w:val="009F5DF2"/>
    <w:rsid w:val="009F6000"/>
    <w:rsid w:val="009F600B"/>
    <w:rsid w:val="009F614E"/>
    <w:rsid w:val="009F618D"/>
    <w:rsid w:val="009F6377"/>
    <w:rsid w:val="009F64E4"/>
    <w:rsid w:val="009F6582"/>
    <w:rsid w:val="009F6693"/>
    <w:rsid w:val="009F67D1"/>
    <w:rsid w:val="009F69C0"/>
    <w:rsid w:val="009F6A7E"/>
    <w:rsid w:val="009F6B71"/>
    <w:rsid w:val="009F6C0F"/>
    <w:rsid w:val="009F6D04"/>
    <w:rsid w:val="009F6D6E"/>
    <w:rsid w:val="009F6E26"/>
    <w:rsid w:val="009F6E61"/>
    <w:rsid w:val="009F6E8B"/>
    <w:rsid w:val="009F70BD"/>
    <w:rsid w:val="009F70D3"/>
    <w:rsid w:val="009F70EC"/>
    <w:rsid w:val="009F7161"/>
    <w:rsid w:val="009F7166"/>
    <w:rsid w:val="009F716D"/>
    <w:rsid w:val="009F71AC"/>
    <w:rsid w:val="009F71C9"/>
    <w:rsid w:val="009F732B"/>
    <w:rsid w:val="009F733D"/>
    <w:rsid w:val="009F741C"/>
    <w:rsid w:val="009F7525"/>
    <w:rsid w:val="009F76BF"/>
    <w:rsid w:val="009F77A1"/>
    <w:rsid w:val="009F78D5"/>
    <w:rsid w:val="009F7922"/>
    <w:rsid w:val="009F7998"/>
    <w:rsid w:val="009F7A09"/>
    <w:rsid w:val="009F7A21"/>
    <w:rsid w:val="009F7B32"/>
    <w:rsid w:val="009F7BBA"/>
    <w:rsid w:val="009F7C84"/>
    <w:rsid w:val="009F7CCB"/>
    <w:rsid w:val="00A00016"/>
    <w:rsid w:val="00A00057"/>
    <w:rsid w:val="00A0006F"/>
    <w:rsid w:val="00A000AD"/>
    <w:rsid w:val="00A000B0"/>
    <w:rsid w:val="00A000E3"/>
    <w:rsid w:val="00A0019F"/>
    <w:rsid w:val="00A001BB"/>
    <w:rsid w:val="00A0025F"/>
    <w:rsid w:val="00A00310"/>
    <w:rsid w:val="00A00338"/>
    <w:rsid w:val="00A003DA"/>
    <w:rsid w:val="00A00548"/>
    <w:rsid w:val="00A00639"/>
    <w:rsid w:val="00A006B7"/>
    <w:rsid w:val="00A006D9"/>
    <w:rsid w:val="00A0092D"/>
    <w:rsid w:val="00A00A55"/>
    <w:rsid w:val="00A00BAA"/>
    <w:rsid w:val="00A00D3E"/>
    <w:rsid w:val="00A00E19"/>
    <w:rsid w:val="00A00E7B"/>
    <w:rsid w:val="00A00EE9"/>
    <w:rsid w:val="00A00F86"/>
    <w:rsid w:val="00A00FF5"/>
    <w:rsid w:val="00A0108D"/>
    <w:rsid w:val="00A010B3"/>
    <w:rsid w:val="00A010F1"/>
    <w:rsid w:val="00A012B5"/>
    <w:rsid w:val="00A01455"/>
    <w:rsid w:val="00A01564"/>
    <w:rsid w:val="00A0156E"/>
    <w:rsid w:val="00A015FE"/>
    <w:rsid w:val="00A0188D"/>
    <w:rsid w:val="00A019DE"/>
    <w:rsid w:val="00A01B3A"/>
    <w:rsid w:val="00A01BA1"/>
    <w:rsid w:val="00A01BA2"/>
    <w:rsid w:val="00A01BCA"/>
    <w:rsid w:val="00A01CDB"/>
    <w:rsid w:val="00A01DC2"/>
    <w:rsid w:val="00A01EA9"/>
    <w:rsid w:val="00A01F24"/>
    <w:rsid w:val="00A01FA9"/>
    <w:rsid w:val="00A0218D"/>
    <w:rsid w:val="00A021B8"/>
    <w:rsid w:val="00A02261"/>
    <w:rsid w:val="00A022B1"/>
    <w:rsid w:val="00A02306"/>
    <w:rsid w:val="00A0234B"/>
    <w:rsid w:val="00A02425"/>
    <w:rsid w:val="00A0247C"/>
    <w:rsid w:val="00A025B9"/>
    <w:rsid w:val="00A02644"/>
    <w:rsid w:val="00A026C0"/>
    <w:rsid w:val="00A026C3"/>
    <w:rsid w:val="00A026E5"/>
    <w:rsid w:val="00A0273F"/>
    <w:rsid w:val="00A02755"/>
    <w:rsid w:val="00A02A18"/>
    <w:rsid w:val="00A02A2F"/>
    <w:rsid w:val="00A02A45"/>
    <w:rsid w:val="00A02A4B"/>
    <w:rsid w:val="00A02BD6"/>
    <w:rsid w:val="00A02C72"/>
    <w:rsid w:val="00A02C8D"/>
    <w:rsid w:val="00A02CB0"/>
    <w:rsid w:val="00A02DB1"/>
    <w:rsid w:val="00A02E6A"/>
    <w:rsid w:val="00A02ED1"/>
    <w:rsid w:val="00A02F5E"/>
    <w:rsid w:val="00A02F89"/>
    <w:rsid w:val="00A02FD7"/>
    <w:rsid w:val="00A02FF1"/>
    <w:rsid w:val="00A030DE"/>
    <w:rsid w:val="00A0310B"/>
    <w:rsid w:val="00A03373"/>
    <w:rsid w:val="00A033BF"/>
    <w:rsid w:val="00A0340A"/>
    <w:rsid w:val="00A03530"/>
    <w:rsid w:val="00A0354A"/>
    <w:rsid w:val="00A036EF"/>
    <w:rsid w:val="00A03746"/>
    <w:rsid w:val="00A03800"/>
    <w:rsid w:val="00A03848"/>
    <w:rsid w:val="00A0384D"/>
    <w:rsid w:val="00A03B85"/>
    <w:rsid w:val="00A03BCD"/>
    <w:rsid w:val="00A03C05"/>
    <w:rsid w:val="00A03E2C"/>
    <w:rsid w:val="00A03E4D"/>
    <w:rsid w:val="00A03E91"/>
    <w:rsid w:val="00A03FB5"/>
    <w:rsid w:val="00A04075"/>
    <w:rsid w:val="00A04090"/>
    <w:rsid w:val="00A040A3"/>
    <w:rsid w:val="00A0410E"/>
    <w:rsid w:val="00A04113"/>
    <w:rsid w:val="00A041AA"/>
    <w:rsid w:val="00A0427D"/>
    <w:rsid w:val="00A043D3"/>
    <w:rsid w:val="00A04510"/>
    <w:rsid w:val="00A0471D"/>
    <w:rsid w:val="00A0485A"/>
    <w:rsid w:val="00A0488D"/>
    <w:rsid w:val="00A049BC"/>
    <w:rsid w:val="00A04AEA"/>
    <w:rsid w:val="00A04AF5"/>
    <w:rsid w:val="00A04D06"/>
    <w:rsid w:val="00A04D2F"/>
    <w:rsid w:val="00A04E55"/>
    <w:rsid w:val="00A04EDD"/>
    <w:rsid w:val="00A04F1E"/>
    <w:rsid w:val="00A05077"/>
    <w:rsid w:val="00A05233"/>
    <w:rsid w:val="00A05239"/>
    <w:rsid w:val="00A0526C"/>
    <w:rsid w:val="00A053B2"/>
    <w:rsid w:val="00A0546F"/>
    <w:rsid w:val="00A055C5"/>
    <w:rsid w:val="00A05667"/>
    <w:rsid w:val="00A057DB"/>
    <w:rsid w:val="00A057E4"/>
    <w:rsid w:val="00A05942"/>
    <w:rsid w:val="00A059BA"/>
    <w:rsid w:val="00A05ABD"/>
    <w:rsid w:val="00A05AE1"/>
    <w:rsid w:val="00A05BEF"/>
    <w:rsid w:val="00A05C28"/>
    <w:rsid w:val="00A05D3B"/>
    <w:rsid w:val="00A05D4C"/>
    <w:rsid w:val="00A05E11"/>
    <w:rsid w:val="00A05E12"/>
    <w:rsid w:val="00A05E50"/>
    <w:rsid w:val="00A05EF4"/>
    <w:rsid w:val="00A05FC1"/>
    <w:rsid w:val="00A06003"/>
    <w:rsid w:val="00A06214"/>
    <w:rsid w:val="00A0625B"/>
    <w:rsid w:val="00A063B5"/>
    <w:rsid w:val="00A0666F"/>
    <w:rsid w:val="00A0670A"/>
    <w:rsid w:val="00A0676C"/>
    <w:rsid w:val="00A067FF"/>
    <w:rsid w:val="00A06AB0"/>
    <w:rsid w:val="00A06BB9"/>
    <w:rsid w:val="00A06C53"/>
    <w:rsid w:val="00A06CAF"/>
    <w:rsid w:val="00A06EDB"/>
    <w:rsid w:val="00A06FFB"/>
    <w:rsid w:val="00A0707A"/>
    <w:rsid w:val="00A0726B"/>
    <w:rsid w:val="00A0735A"/>
    <w:rsid w:val="00A073DE"/>
    <w:rsid w:val="00A073FC"/>
    <w:rsid w:val="00A07521"/>
    <w:rsid w:val="00A07530"/>
    <w:rsid w:val="00A07608"/>
    <w:rsid w:val="00A07631"/>
    <w:rsid w:val="00A076DC"/>
    <w:rsid w:val="00A07822"/>
    <w:rsid w:val="00A07939"/>
    <w:rsid w:val="00A07ABF"/>
    <w:rsid w:val="00A07B06"/>
    <w:rsid w:val="00A07B2B"/>
    <w:rsid w:val="00A07B4B"/>
    <w:rsid w:val="00A07B4E"/>
    <w:rsid w:val="00A07C7F"/>
    <w:rsid w:val="00A07D2D"/>
    <w:rsid w:val="00A07D92"/>
    <w:rsid w:val="00A07DCA"/>
    <w:rsid w:val="00A07DD9"/>
    <w:rsid w:val="00A07E48"/>
    <w:rsid w:val="00A07FB5"/>
    <w:rsid w:val="00A07FC1"/>
    <w:rsid w:val="00A1005E"/>
    <w:rsid w:val="00A1006A"/>
    <w:rsid w:val="00A101D4"/>
    <w:rsid w:val="00A102E4"/>
    <w:rsid w:val="00A102FC"/>
    <w:rsid w:val="00A1030C"/>
    <w:rsid w:val="00A1030D"/>
    <w:rsid w:val="00A1042F"/>
    <w:rsid w:val="00A10579"/>
    <w:rsid w:val="00A106CD"/>
    <w:rsid w:val="00A10702"/>
    <w:rsid w:val="00A107B4"/>
    <w:rsid w:val="00A107D8"/>
    <w:rsid w:val="00A109CB"/>
    <w:rsid w:val="00A10A04"/>
    <w:rsid w:val="00A10D13"/>
    <w:rsid w:val="00A10D54"/>
    <w:rsid w:val="00A10D58"/>
    <w:rsid w:val="00A10EEA"/>
    <w:rsid w:val="00A10F9D"/>
    <w:rsid w:val="00A10FD7"/>
    <w:rsid w:val="00A11072"/>
    <w:rsid w:val="00A11150"/>
    <w:rsid w:val="00A11155"/>
    <w:rsid w:val="00A11193"/>
    <w:rsid w:val="00A1119B"/>
    <w:rsid w:val="00A11380"/>
    <w:rsid w:val="00A113CE"/>
    <w:rsid w:val="00A1145A"/>
    <w:rsid w:val="00A1148A"/>
    <w:rsid w:val="00A114F9"/>
    <w:rsid w:val="00A11543"/>
    <w:rsid w:val="00A1159B"/>
    <w:rsid w:val="00A115CB"/>
    <w:rsid w:val="00A117C5"/>
    <w:rsid w:val="00A118FB"/>
    <w:rsid w:val="00A11BD9"/>
    <w:rsid w:val="00A11C0C"/>
    <w:rsid w:val="00A11C6E"/>
    <w:rsid w:val="00A11E7E"/>
    <w:rsid w:val="00A11F62"/>
    <w:rsid w:val="00A1208F"/>
    <w:rsid w:val="00A12133"/>
    <w:rsid w:val="00A12231"/>
    <w:rsid w:val="00A122CF"/>
    <w:rsid w:val="00A124AA"/>
    <w:rsid w:val="00A125C3"/>
    <w:rsid w:val="00A127FE"/>
    <w:rsid w:val="00A1289E"/>
    <w:rsid w:val="00A128F5"/>
    <w:rsid w:val="00A12ACD"/>
    <w:rsid w:val="00A12AEE"/>
    <w:rsid w:val="00A12B3A"/>
    <w:rsid w:val="00A12BA8"/>
    <w:rsid w:val="00A12BD8"/>
    <w:rsid w:val="00A12C85"/>
    <w:rsid w:val="00A12CF2"/>
    <w:rsid w:val="00A12DD7"/>
    <w:rsid w:val="00A12FF7"/>
    <w:rsid w:val="00A13033"/>
    <w:rsid w:val="00A13066"/>
    <w:rsid w:val="00A13091"/>
    <w:rsid w:val="00A13097"/>
    <w:rsid w:val="00A13266"/>
    <w:rsid w:val="00A1330D"/>
    <w:rsid w:val="00A13458"/>
    <w:rsid w:val="00A13515"/>
    <w:rsid w:val="00A13648"/>
    <w:rsid w:val="00A136AF"/>
    <w:rsid w:val="00A136FC"/>
    <w:rsid w:val="00A13837"/>
    <w:rsid w:val="00A13909"/>
    <w:rsid w:val="00A13922"/>
    <w:rsid w:val="00A13927"/>
    <w:rsid w:val="00A139DD"/>
    <w:rsid w:val="00A13AF2"/>
    <w:rsid w:val="00A13B1E"/>
    <w:rsid w:val="00A13BFD"/>
    <w:rsid w:val="00A13C11"/>
    <w:rsid w:val="00A13C14"/>
    <w:rsid w:val="00A13C21"/>
    <w:rsid w:val="00A13C9D"/>
    <w:rsid w:val="00A13E0D"/>
    <w:rsid w:val="00A13E4C"/>
    <w:rsid w:val="00A13E7F"/>
    <w:rsid w:val="00A13E8E"/>
    <w:rsid w:val="00A13F5C"/>
    <w:rsid w:val="00A13F69"/>
    <w:rsid w:val="00A14006"/>
    <w:rsid w:val="00A140A5"/>
    <w:rsid w:val="00A1415F"/>
    <w:rsid w:val="00A141C0"/>
    <w:rsid w:val="00A14379"/>
    <w:rsid w:val="00A14498"/>
    <w:rsid w:val="00A144A6"/>
    <w:rsid w:val="00A14503"/>
    <w:rsid w:val="00A1453C"/>
    <w:rsid w:val="00A14552"/>
    <w:rsid w:val="00A145F0"/>
    <w:rsid w:val="00A1462A"/>
    <w:rsid w:val="00A1489D"/>
    <w:rsid w:val="00A1491D"/>
    <w:rsid w:val="00A14947"/>
    <w:rsid w:val="00A14B92"/>
    <w:rsid w:val="00A14BB5"/>
    <w:rsid w:val="00A14BEF"/>
    <w:rsid w:val="00A14BF0"/>
    <w:rsid w:val="00A14C6D"/>
    <w:rsid w:val="00A14DFE"/>
    <w:rsid w:val="00A14F31"/>
    <w:rsid w:val="00A150FA"/>
    <w:rsid w:val="00A1513F"/>
    <w:rsid w:val="00A15190"/>
    <w:rsid w:val="00A151A0"/>
    <w:rsid w:val="00A15224"/>
    <w:rsid w:val="00A1529D"/>
    <w:rsid w:val="00A152BB"/>
    <w:rsid w:val="00A152BE"/>
    <w:rsid w:val="00A152CC"/>
    <w:rsid w:val="00A152FB"/>
    <w:rsid w:val="00A1534C"/>
    <w:rsid w:val="00A153EA"/>
    <w:rsid w:val="00A153FD"/>
    <w:rsid w:val="00A15478"/>
    <w:rsid w:val="00A1549C"/>
    <w:rsid w:val="00A154EF"/>
    <w:rsid w:val="00A15570"/>
    <w:rsid w:val="00A15593"/>
    <w:rsid w:val="00A155C1"/>
    <w:rsid w:val="00A1575A"/>
    <w:rsid w:val="00A15783"/>
    <w:rsid w:val="00A157DB"/>
    <w:rsid w:val="00A158C0"/>
    <w:rsid w:val="00A159CC"/>
    <w:rsid w:val="00A15A4D"/>
    <w:rsid w:val="00A15B0B"/>
    <w:rsid w:val="00A15BFC"/>
    <w:rsid w:val="00A15C4C"/>
    <w:rsid w:val="00A15C77"/>
    <w:rsid w:val="00A15CD2"/>
    <w:rsid w:val="00A15D26"/>
    <w:rsid w:val="00A15F90"/>
    <w:rsid w:val="00A15FC1"/>
    <w:rsid w:val="00A16052"/>
    <w:rsid w:val="00A16060"/>
    <w:rsid w:val="00A160A8"/>
    <w:rsid w:val="00A16206"/>
    <w:rsid w:val="00A162E3"/>
    <w:rsid w:val="00A16313"/>
    <w:rsid w:val="00A16333"/>
    <w:rsid w:val="00A16381"/>
    <w:rsid w:val="00A163BA"/>
    <w:rsid w:val="00A1656B"/>
    <w:rsid w:val="00A16626"/>
    <w:rsid w:val="00A1667F"/>
    <w:rsid w:val="00A166F6"/>
    <w:rsid w:val="00A16754"/>
    <w:rsid w:val="00A16766"/>
    <w:rsid w:val="00A167C8"/>
    <w:rsid w:val="00A16939"/>
    <w:rsid w:val="00A16A53"/>
    <w:rsid w:val="00A16BBA"/>
    <w:rsid w:val="00A16C6D"/>
    <w:rsid w:val="00A16CB0"/>
    <w:rsid w:val="00A16CDD"/>
    <w:rsid w:val="00A16DBD"/>
    <w:rsid w:val="00A16DE1"/>
    <w:rsid w:val="00A16FC5"/>
    <w:rsid w:val="00A16FEC"/>
    <w:rsid w:val="00A17058"/>
    <w:rsid w:val="00A170F0"/>
    <w:rsid w:val="00A17130"/>
    <w:rsid w:val="00A171AC"/>
    <w:rsid w:val="00A17233"/>
    <w:rsid w:val="00A17280"/>
    <w:rsid w:val="00A17330"/>
    <w:rsid w:val="00A17383"/>
    <w:rsid w:val="00A17421"/>
    <w:rsid w:val="00A17478"/>
    <w:rsid w:val="00A1750B"/>
    <w:rsid w:val="00A1754C"/>
    <w:rsid w:val="00A17604"/>
    <w:rsid w:val="00A176DD"/>
    <w:rsid w:val="00A176F1"/>
    <w:rsid w:val="00A1774A"/>
    <w:rsid w:val="00A1779E"/>
    <w:rsid w:val="00A17A46"/>
    <w:rsid w:val="00A17A58"/>
    <w:rsid w:val="00A17AC5"/>
    <w:rsid w:val="00A17BAF"/>
    <w:rsid w:val="00A17E4B"/>
    <w:rsid w:val="00A17E72"/>
    <w:rsid w:val="00A17EB0"/>
    <w:rsid w:val="00A17EE9"/>
    <w:rsid w:val="00A17EF7"/>
    <w:rsid w:val="00A17F0E"/>
    <w:rsid w:val="00A17F2E"/>
    <w:rsid w:val="00A201D1"/>
    <w:rsid w:val="00A2048A"/>
    <w:rsid w:val="00A206C1"/>
    <w:rsid w:val="00A207B0"/>
    <w:rsid w:val="00A208E2"/>
    <w:rsid w:val="00A2094D"/>
    <w:rsid w:val="00A20A12"/>
    <w:rsid w:val="00A20B12"/>
    <w:rsid w:val="00A20B32"/>
    <w:rsid w:val="00A20B5C"/>
    <w:rsid w:val="00A20B8F"/>
    <w:rsid w:val="00A20E3F"/>
    <w:rsid w:val="00A20E94"/>
    <w:rsid w:val="00A20F05"/>
    <w:rsid w:val="00A20F83"/>
    <w:rsid w:val="00A21062"/>
    <w:rsid w:val="00A211C2"/>
    <w:rsid w:val="00A211FB"/>
    <w:rsid w:val="00A211FC"/>
    <w:rsid w:val="00A212B6"/>
    <w:rsid w:val="00A212C9"/>
    <w:rsid w:val="00A21401"/>
    <w:rsid w:val="00A2140B"/>
    <w:rsid w:val="00A21524"/>
    <w:rsid w:val="00A2152B"/>
    <w:rsid w:val="00A21870"/>
    <w:rsid w:val="00A2188A"/>
    <w:rsid w:val="00A218EB"/>
    <w:rsid w:val="00A21977"/>
    <w:rsid w:val="00A21A24"/>
    <w:rsid w:val="00A21BB8"/>
    <w:rsid w:val="00A21BED"/>
    <w:rsid w:val="00A21C89"/>
    <w:rsid w:val="00A21E44"/>
    <w:rsid w:val="00A21F4F"/>
    <w:rsid w:val="00A21FC2"/>
    <w:rsid w:val="00A22000"/>
    <w:rsid w:val="00A220BF"/>
    <w:rsid w:val="00A220EE"/>
    <w:rsid w:val="00A221BD"/>
    <w:rsid w:val="00A222A3"/>
    <w:rsid w:val="00A2235C"/>
    <w:rsid w:val="00A22600"/>
    <w:rsid w:val="00A226F6"/>
    <w:rsid w:val="00A226FB"/>
    <w:rsid w:val="00A2278B"/>
    <w:rsid w:val="00A227E3"/>
    <w:rsid w:val="00A227EB"/>
    <w:rsid w:val="00A2296D"/>
    <w:rsid w:val="00A22AA1"/>
    <w:rsid w:val="00A22BD1"/>
    <w:rsid w:val="00A22C76"/>
    <w:rsid w:val="00A22D01"/>
    <w:rsid w:val="00A22E9C"/>
    <w:rsid w:val="00A23019"/>
    <w:rsid w:val="00A2304F"/>
    <w:rsid w:val="00A230D2"/>
    <w:rsid w:val="00A23214"/>
    <w:rsid w:val="00A232A0"/>
    <w:rsid w:val="00A232D3"/>
    <w:rsid w:val="00A23363"/>
    <w:rsid w:val="00A23393"/>
    <w:rsid w:val="00A233E1"/>
    <w:rsid w:val="00A23406"/>
    <w:rsid w:val="00A2345E"/>
    <w:rsid w:val="00A2363F"/>
    <w:rsid w:val="00A23742"/>
    <w:rsid w:val="00A237B1"/>
    <w:rsid w:val="00A23802"/>
    <w:rsid w:val="00A238F9"/>
    <w:rsid w:val="00A23919"/>
    <w:rsid w:val="00A23C04"/>
    <w:rsid w:val="00A23D19"/>
    <w:rsid w:val="00A23D54"/>
    <w:rsid w:val="00A23D8E"/>
    <w:rsid w:val="00A23E79"/>
    <w:rsid w:val="00A23ED2"/>
    <w:rsid w:val="00A23FDD"/>
    <w:rsid w:val="00A23FF1"/>
    <w:rsid w:val="00A24026"/>
    <w:rsid w:val="00A2402E"/>
    <w:rsid w:val="00A240F1"/>
    <w:rsid w:val="00A242BF"/>
    <w:rsid w:val="00A24392"/>
    <w:rsid w:val="00A244DA"/>
    <w:rsid w:val="00A244E1"/>
    <w:rsid w:val="00A24506"/>
    <w:rsid w:val="00A2450D"/>
    <w:rsid w:val="00A245BD"/>
    <w:rsid w:val="00A24830"/>
    <w:rsid w:val="00A248E3"/>
    <w:rsid w:val="00A24A1C"/>
    <w:rsid w:val="00A24A21"/>
    <w:rsid w:val="00A24A34"/>
    <w:rsid w:val="00A24A6D"/>
    <w:rsid w:val="00A24B20"/>
    <w:rsid w:val="00A24C20"/>
    <w:rsid w:val="00A24DA8"/>
    <w:rsid w:val="00A24DFF"/>
    <w:rsid w:val="00A24E64"/>
    <w:rsid w:val="00A24F76"/>
    <w:rsid w:val="00A25152"/>
    <w:rsid w:val="00A2515D"/>
    <w:rsid w:val="00A25167"/>
    <w:rsid w:val="00A2519A"/>
    <w:rsid w:val="00A25301"/>
    <w:rsid w:val="00A253B5"/>
    <w:rsid w:val="00A2544A"/>
    <w:rsid w:val="00A2557D"/>
    <w:rsid w:val="00A255E3"/>
    <w:rsid w:val="00A25682"/>
    <w:rsid w:val="00A25713"/>
    <w:rsid w:val="00A257FB"/>
    <w:rsid w:val="00A25993"/>
    <w:rsid w:val="00A25AC6"/>
    <w:rsid w:val="00A25B6C"/>
    <w:rsid w:val="00A25B9F"/>
    <w:rsid w:val="00A25BA8"/>
    <w:rsid w:val="00A25BED"/>
    <w:rsid w:val="00A25BF8"/>
    <w:rsid w:val="00A25D2A"/>
    <w:rsid w:val="00A25E34"/>
    <w:rsid w:val="00A25EDF"/>
    <w:rsid w:val="00A25EF8"/>
    <w:rsid w:val="00A25F55"/>
    <w:rsid w:val="00A26043"/>
    <w:rsid w:val="00A260DE"/>
    <w:rsid w:val="00A261C8"/>
    <w:rsid w:val="00A26220"/>
    <w:rsid w:val="00A26255"/>
    <w:rsid w:val="00A26293"/>
    <w:rsid w:val="00A262FE"/>
    <w:rsid w:val="00A26314"/>
    <w:rsid w:val="00A26336"/>
    <w:rsid w:val="00A26353"/>
    <w:rsid w:val="00A263DB"/>
    <w:rsid w:val="00A26485"/>
    <w:rsid w:val="00A2658F"/>
    <w:rsid w:val="00A26697"/>
    <w:rsid w:val="00A26725"/>
    <w:rsid w:val="00A2674E"/>
    <w:rsid w:val="00A267C7"/>
    <w:rsid w:val="00A26812"/>
    <w:rsid w:val="00A26919"/>
    <w:rsid w:val="00A26923"/>
    <w:rsid w:val="00A2697F"/>
    <w:rsid w:val="00A26A0A"/>
    <w:rsid w:val="00A26C13"/>
    <w:rsid w:val="00A26CE4"/>
    <w:rsid w:val="00A26D15"/>
    <w:rsid w:val="00A26D32"/>
    <w:rsid w:val="00A26D5A"/>
    <w:rsid w:val="00A26D6D"/>
    <w:rsid w:val="00A26F6B"/>
    <w:rsid w:val="00A26FCC"/>
    <w:rsid w:val="00A26FF5"/>
    <w:rsid w:val="00A27014"/>
    <w:rsid w:val="00A27147"/>
    <w:rsid w:val="00A27208"/>
    <w:rsid w:val="00A27220"/>
    <w:rsid w:val="00A272AF"/>
    <w:rsid w:val="00A2731B"/>
    <w:rsid w:val="00A2736F"/>
    <w:rsid w:val="00A2737F"/>
    <w:rsid w:val="00A27416"/>
    <w:rsid w:val="00A27466"/>
    <w:rsid w:val="00A276B1"/>
    <w:rsid w:val="00A27722"/>
    <w:rsid w:val="00A27796"/>
    <w:rsid w:val="00A277BC"/>
    <w:rsid w:val="00A27872"/>
    <w:rsid w:val="00A278D3"/>
    <w:rsid w:val="00A278FF"/>
    <w:rsid w:val="00A27956"/>
    <w:rsid w:val="00A27A1E"/>
    <w:rsid w:val="00A27A22"/>
    <w:rsid w:val="00A27A46"/>
    <w:rsid w:val="00A27B20"/>
    <w:rsid w:val="00A27B32"/>
    <w:rsid w:val="00A27BD9"/>
    <w:rsid w:val="00A27C06"/>
    <w:rsid w:val="00A27C35"/>
    <w:rsid w:val="00A27C61"/>
    <w:rsid w:val="00A27CC8"/>
    <w:rsid w:val="00A27D01"/>
    <w:rsid w:val="00A27D94"/>
    <w:rsid w:val="00A27E15"/>
    <w:rsid w:val="00A27EBD"/>
    <w:rsid w:val="00A27F8C"/>
    <w:rsid w:val="00A27FDA"/>
    <w:rsid w:val="00A30002"/>
    <w:rsid w:val="00A3002C"/>
    <w:rsid w:val="00A301BC"/>
    <w:rsid w:val="00A301C1"/>
    <w:rsid w:val="00A30389"/>
    <w:rsid w:val="00A30434"/>
    <w:rsid w:val="00A30499"/>
    <w:rsid w:val="00A304C4"/>
    <w:rsid w:val="00A30510"/>
    <w:rsid w:val="00A3052A"/>
    <w:rsid w:val="00A305CA"/>
    <w:rsid w:val="00A30665"/>
    <w:rsid w:val="00A306C5"/>
    <w:rsid w:val="00A3089E"/>
    <w:rsid w:val="00A308F0"/>
    <w:rsid w:val="00A30A7B"/>
    <w:rsid w:val="00A30B70"/>
    <w:rsid w:val="00A30BCA"/>
    <w:rsid w:val="00A30C21"/>
    <w:rsid w:val="00A30CC2"/>
    <w:rsid w:val="00A30D03"/>
    <w:rsid w:val="00A30D18"/>
    <w:rsid w:val="00A30D7F"/>
    <w:rsid w:val="00A30EFF"/>
    <w:rsid w:val="00A30F48"/>
    <w:rsid w:val="00A30F63"/>
    <w:rsid w:val="00A30FF9"/>
    <w:rsid w:val="00A310CF"/>
    <w:rsid w:val="00A31106"/>
    <w:rsid w:val="00A31174"/>
    <w:rsid w:val="00A31197"/>
    <w:rsid w:val="00A312C7"/>
    <w:rsid w:val="00A312CA"/>
    <w:rsid w:val="00A312D8"/>
    <w:rsid w:val="00A312EC"/>
    <w:rsid w:val="00A3132F"/>
    <w:rsid w:val="00A31387"/>
    <w:rsid w:val="00A313C5"/>
    <w:rsid w:val="00A314EE"/>
    <w:rsid w:val="00A31508"/>
    <w:rsid w:val="00A3154A"/>
    <w:rsid w:val="00A315A9"/>
    <w:rsid w:val="00A3168F"/>
    <w:rsid w:val="00A317F8"/>
    <w:rsid w:val="00A31886"/>
    <w:rsid w:val="00A318E5"/>
    <w:rsid w:val="00A319A4"/>
    <w:rsid w:val="00A31A3D"/>
    <w:rsid w:val="00A31BEB"/>
    <w:rsid w:val="00A31C59"/>
    <w:rsid w:val="00A31EA0"/>
    <w:rsid w:val="00A31F58"/>
    <w:rsid w:val="00A31FD2"/>
    <w:rsid w:val="00A32130"/>
    <w:rsid w:val="00A321A3"/>
    <w:rsid w:val="00A321D8"/>
    <w:rsid w:val="00A32229"/>
    <w:rsid w:val="00A32340"/>
    <w:rsid w:val="00A3244E"/>
    <w:rsid w:val="00A32569"/>
    <w:rsid w:val="00A32664"/>
    <w:rsid w:val="00A32715"/>
    <w:rsid w:val="00A328A9"/>
    <w:rsid w:val="00A32909"/>
    <w:rsid w:val="00A32A89"/>
    <w:rsid w:val="00A32B4E"/>
    <w:rsid w:val="00A32CC0"/>
    <w:rsid w:val="00A32D21"/>
    <w:rsid w:val="00A32DC1"/>
    <w:rsid w:val="00A32F36"/>
    <w:rsid w:val="00A32F9E"/>
    <w:rsid w:val="00A32F9F"/>
    <w:rsid w:val="00A33054"/>
    <w:rsid w:val="00A33082"/>
    <w:rsid w:val="00A3309E"/>
    <w:rsid w:val="00A33159"/>
    <w:rsid w:val="00A3324F"/>
    <w:rsid w:val="00A332C9"/>
    <w:rsid w:val="00A333D5"/>
    <w:rsid w:val="00A33401"/>
    <w:rsid w:val="00A33574"/>
    <w:rsid w:val="00A335EA"/>
    <w:rsid w:val="00A33655"/>
    <w:rsid w:val="00A33683"/>
    <w:rsid w:val="00A3369F"/>
    <w:rsid w:val="00A33948"/>
    <w:rsid w:val="00A33B23"/>
    <w:rsid w:val="00A33B54"/>
    <w:rsid w:val="00A33B57"/>
    <w:rsid w:val="00A33C4B"/>
    <w:rsid w:val="00A33C78"/>
    <w:rsid w:val="00A33CC4"/>
    <w:rsid w:val="00A33D02"/>
    <w:rsid w:val="00A33E26"/>
    <w:rsid w:val="00A33E58"/>
    <w:rsid w:val="00A33E5C"/>
    <w:rsid w:val="00A33F56"/>
    <w:rsid w:val="00A33F71"/>
    <w:rsid w:val="00A34023"/>
    <w:rsid w:val="00A34048"/>
    <w:rsid w:val="00A3425D"/>
    <w:rsid w:val="00A34377"/>
    <w:rsid w:val="00A343EB"/>
    <w:rsid w:val="00A34543"/>
    <w:rsid w:val="00A34578"/>
    <w:rsid w:val="00A3458F"/>
    <w:rsid w:val="00A345C5"/>
    <w:rsid w:val="00A346F3"/>
    <w:rsid w:val="00A34842"/>
    <w:rsid w:val="00A34970"/>
    <w:rsid w:val="00A34A93"/>
    <w:rsid w:val="00A34A97"/>
    <w:rsid w:val="00A34B07"/>
    <w:rsid w:val="00A34B18"/>
    <w:rsid w:val="00A34BE0"/>
    <w:rsid w:val="00A34C10"/>
    <w:rsid w:val="00A34CA3"/>
    <w:rsid w:val="00A34CC6"/>
    <w:rsid w:val="00A34D16"/>
    <w:rsid w:val="00A34E16"/>
    <w:rsid w:val="00A34E96"/>
    <w:rsid w:val="00A3500B"/>
    <w:rsid w:val="00A3513B"/>
    <w:rsid w:val="00A352D8"/>
    <w:rsid w:val="00A353C9"/>
    <w:rsid w:val="00A35555"/>
    <w:rsid w:val="00A35640"/>
    <w:rsid w:val="00A35787"/>
    <w:rsid w:val="00A35876"/>
    <w:rsid w:val="00A35AD9"/>
    <w:rsid w:val="00A35B1F"/>
    <w:rsid w:val="00A35B7E"/>
    <w:rsid w:val="00A35C00"/>
    <w:rsid w:val="00A35C8C"/>
    <w:rsid w:val="00A35C99"/>
    <w:rsid w:val="00A35E63"/>
    <w:rsid w:val="00A35F84"/>
    <w:rsid w:val="00A35FDF"/>
    <w:rsid w:val="00A35FF2"/>
    <w:rsid w:val="00A3603A"/>
    <w:rsid w:val="00A361B0"/>
    <w:rsid w:val="00A36234"/>
    <w:rsid w:val="00A362A1"/>
    <w:rsid w:val="00A363A6"/>
    <w:rsid w:val="00A363AE"/>
    <w:rsid w:val="00A363C6"/>
    <w:rsid w:val="00A36557"/>
    <w:rsid w:val="00A3663A"/>
    <w:rsid w:val="00A3664F"/>
    <w:rsid w:val="00A36686"/>
    <w:rsid w:val="00A36689"/>
    <w:rsid w:val="00A366EC"/>
    <w:rsid w:val="00A366F7"/>
    <w:rsid w:val="00A3677F"/>
    <w:rsid w:val="00A36803"/>
    <w:rsid w:val="00A36984"/>
    <w:rsid w:val="00A369A3"/>
    <w:rsid w:val="00A369E8"/>
    <w:rsid w:val="00A369EA"/>
    <w:rsid w:val="00A36A50"/>
    <w:rsid w:val="00A36ACF"/>
    <w:rsid w:val="00A36BAB"/>
    <w:rsid w:val="00A36BB2"/>
    <w:rsid w:val="00A36C5A"/>
    <w:rsid w:val="00A36C70"/>
    <w:rsid w:val="00A36D27"/>
    <w:rsid w:val="00A36EDD"/>
    <w:rsid w:val="00A36F0D"/>
    <w:rsid w:val="00A3706E"/>
    <w:rsid w:val="00A37186"/>
    <w:rsid w:val="00A3719C"/>
    <w:rsid w:val="00A3726A"/>
    <w:rsid w:val="00A37369"/>
    <w:rsid w:val="00A37471"/>
    <w:rsid w:val="00A37520"/>
    <w:rsid w:val="00A375A1"/>
    <w:rsid w:val="00A375DF"/>
    <w:rsid w:val="00A3760B"/>
    <w:rsid w:val="00A37861"/>
    <w:rsid w:val="00A37862"/>
    <w:rsid w:val="00A3786E"/>
    <w:rsid w:val="00A378EE"/>
    <w:rsid w:val="00A379BD"/>
    <w:rsid w:val="00A37AE5"/>
    <w:rsid w:val="00A37B02"/>
    <w:rsid w:val="00A37B10"/>
    <w:rsid w:val="00A37B21"/>
    <w:rsid w:val="00A37B47"/>
    <w:rsid w:val="00A37BA5"/>
    <w:rsid w:val="00A37C49"/>
    <w:rsid w:val="00A37C84"/>
    <w:rsid w:val="00A37D33"/>
    <w:rsid w:val="00A37EBF"/>
    <w:rsid w:val="00A37FC3"/>
    <w:rsid w:val="00A401A2"/>
    <w:rsid w:val="00A40240"/>
    <w:rsid w:val="00A40272"/>
    <w:rsid w:val="00A40310"/>
    <w:rsid w:val="00A40360"/>
    <w:rsid w:val="00A403BE"/>
    <w:rsid w:val="00A404CE"/>
    <w:rsid w:val="00A404E6"/>
    <w:rsid w:val="00A4053A"/>
    <w:rsid w:val="00A40601"/>
    <w:rsid w:val="00A406A2"/>
    <w:rsid w:val="00A406BC"/>
    <w:rsid w:val="00A40778"/>
    <w:rsid w:val="00A40826"/>
    <w:rsid w:val="00A40876"/>
    <w:rsid w:val="00A40915"/>
    <w:rsid w:val="00A40917"/>
    <w:rsid w:val="00A409AD"/>
    <w:rsid w:val="00A40A05"/>
    <w:rsid w:val="00A40A15"/>
    <w:rsid w:val="00A40A96"/>
    <w:rsid w:val="00A40AC0"/>
    <w:rsid w:val="00A40ACE"/>
    <w:rsid w:val="00A40B32"/>
    <w:rsid w:val="00A40BD9"/>
    <w:rsid w:val="00A40CE8"/>
    <w:rsid w:val="00A40D02"/>
    <w:rsid w:val="00A40E15"/>
    <w:rsid w:val="00A40E16"/>
    <w:rsid w:val="00A40EC7"/>
    <w:rsid w:val="00A41019"/>
    <w:rsid w:val="00A4103B"/>
    <w:rsid w:val="00A41061"/>
    <w:rsid w:val="00A411D1"/>
    <w:rsid w:val="00A411D2"/>
    <w:rsid w:val="00A413A2"/>
    <w:rsid w:val="00A413C4"/>
    <w:rsid w:val="00A414DA"/>
    <w:rsid w:val="00A414FE"/>
    <w:rsid w:val="00A415D8"/>
    <w:rsid w:val="00A41742"/>
    <w:rsid w:val="00A417EB"/>
    <w:rsid w:val="00A4187F"/>
    <w:rsid w:val="00A4195F"/>
    <w:rsid w:val="00A41998"/>
    <w:rsid w:val="00A41B14"/>
    <w:rsid w:val="00A41B25"/>
    <w:rsid w:val="00A41BA6"/>
    <w:rsid w:val="00A41BAD"/>
    <w:rsid w:val="00A41BFC"/>
    <w:rsid w:val="00A41CBB"/>
    <w:rsid w:val="00A41EC5"/>
    <w:rsid w:val="00A41ED6"/>
    <w:rsid w:val="00A41F81"/>
    <w:rsid w:val="00A41F94"/>
    <w:rsid w:val="00A42145"/>
    <w:rsid w:val="00A421DB"/>
    <w:rsid w:val="00A4232E"/>
    <w:rsid w:val="00A42344"/>
    <w:rsid w:val="00A42465"/>
    <w:rsid w:val="00A42575"/>
    <w:rsid w:val="00A4259D"/>
    <w:rsid w:val="00A42637"/>
    <w:rsid w:val="00A427BC"/>
    <w:rsid w:val="00A4291E"/>
    <w:rsid w:val="00A42947"/>
    <w:rsid w:val="00A4295F"/>
    <w:rsid w:val="00A42964"/>
    <w:rsid w:val="00A42B09"/>
    <w:rsid w:val="00A42C42"/>
    <w:rsid w:val="00A42DBB"/>
    <w:rsid w:val="00A42E95"/>
    <w:rsid w:val="00A42F10"/>
    <w:rsid w:val="00A430AA"/>
    <w:rsid w:val="00A430C1"/>
    <w:rsid w:val="00A4322A"/>
    <w:rsid w:val="00A432E9"/>
    <w:rsid w:val="00A4332D"/>
    <w:rsid w:val="00A43347"/>
    <w:rsid w:val="00A4338A"/>
    <w:rsid w:val="00A43506"/>
    <w:rsid w:val="00A435A5"/>
    <w:rsid w:val="00A43650"/>
    <w:rsid w:val="00A436DC"/>
    <w:rsid w:val="00A4374E"/>
    <w:rsid w:val="00A437A2"/>
    <w:rsid w:val="00A43A25"/>
    <w:rsid w:val="00A43A64"/>
    <w:rsid w:val="00A43DE5"/>
    <w:rsid w:val="00A43E3B"/>
    <w:rsid w:val="00A43E40"/>
    <w:rsid w:val="00A43F1A"/>
    <w:rsid w:val="00A43F99"/>
    <w:rsid w:val="00A43FA1"/>
    <w:rsid w:val="00A43FC0"/>
    <w:rsid w:val="00A4403B"/>
    <w:rsid w:val="00A4413A"/>
    <w:rsid w:val="00A44214"/>
    <w:rsid w:val="00A44282"/>
    <w:rsid w:val="00A444D8"/>
    <w:rsid w:val="00A444EF"/>
    <w:rsid w:val="00A44582"/>
    <w:rsid w:val="00A445A1"/>
    <w:rsid w:val="00A445F9"/>
    <w:rsid w:val="00A446AB"/>
    <w:rsid w:val="00A446DA"/>
    <w:rsid w:val="00A44717"/>
    <w:rsid w:val="00A44727"/>
    <w:rsid w:val="00A447FD"/>
    <w:rsid w:val="00A448EA"/>
    <w:rsid w:val="00A448ED"/>
    <w:rsid w:val="00A449F0"/>
    <w:rsid w:val="00A449F3"/>
    <w:rsid w:val="00A44A2B"/>
    <w:rsid w:val="00A44A94"/>
    <w:rsid w:val="00A44B70"/>
    <w:rsid w:val="00A44C0A"/>
    <w:rsid w:val="00A44C16"/>
    <w:rsid w:val="00A44CF9"/>
    <w:rsid w:val="00A44D98"/>
    <w:rsid w:val="00A44DFA"/>
    <w:rsid w:val="00A44F10"/>
    <w:rsid w:val="00A44FC8"/>
    <w:rsid w:val="00A44FE8"/>
    <w:rsid w:val="00A450B2"/>
    <w:rsid w:val="00A450FA"/>
    <w:rsid w:val="00A45278"/>
    <w:rsid w:val="00A45339"/>
    <w:rsid w:val="00A45349"/>
    <w:rsid w:val="00A454D7"/>
    <w:rsid w:val="00A4556C"/>
    <w:rsid w:val="00A455C2"/>
    <w:rsid w:val="00A455D7"/>
    <w:rsid w:val="00A45616"/>
    <w:rsid w:val="00A45619"/>
    <w:rsid w:val="00A456AA"/>
    <w:rsid w:val="00A45875"/>
    <w:rsid w:val="00A45957"/>
    <w:rsid w:val="00A4598C"/>
    <w:rsid w:val="00A45A4F"/>
    <w:rsid w:val="00A45B2F"/>
    <w:rsid w:val="00A45C72"/>
    <w:rsid w:val="00A45D13"/>
    <w:rsid w:val="00A45D3B"/>
    <w:rsid w:val="00A45E0F"/>
    <w:rsid w:val="00A45E39"/>
    <w:rsid w:val="00A45E5B"/>
    <w:rsid w:val="00A45E82"/>
    <w:rsid w:val="00A45E88"/>
    <w:rsid w:val="00A45EFD"/>
    <w:rsid w:val="00A45F23"/>
    <w:rsid w:val="00A45FD8"/>
    <w:rsid w:val="00A460C0"/>
    <w:rsid w:val="00A461A2"/>
    <w:rsid w:val="00A462D6"/>
    <w:rsid w:val="00A46324"/>
    <w:rsid w:val="00A46458"/>
    <w:rsid w:val="00A4660D"/>
    <w:rsid w:val="00A46664"/>
    <w:rsid w:val="00A46724"/>
    <w:rsid w:val="00A46758"/>
    <w:rsid w:val="00A4685F"/>
    <w:rsid w:val="00A468C8"/>
    <w:rsid w:val="00A46971"/>
    <w:rsid w:val="00A46B21"/>
    <w:rsid w:val="00A46C32"/>
    <w:rsid w:val="00A46C76"/>
    <w:rsid w:val="00A46CF8"/>
    <w:rsid w:val="00A46D46"/>
    <w:rsid w:val="00A46DA1"/>
    <w:rsid w:val="00A46DB9"/>
    <w:rsid w:val="00A46E36"/>
    <w:rsid w:val="00A46F4A"/>
    <w:rsid w:val="00A470FF"/>
    <w:rsid w:val="00A47254"/>
    <w:rsid w:val="00A47290"/>
    <w:rsid w:val="00A47360"/>
    <w:rsid w:val="00A47485"/>
    <w:rsid w:val="00A47601"/>
    <w:rsid w:val="00A4773E"/>
    <w:rsid w:val="00A4777D"/>
    <w:rsid w:val="00A47793"/>
    <w:rsid w:val="00A477CB"/>
    <w:rsid w:val="00A47930"/>
    <w:rsid w:val="00A47961"/>
    <w:rsid w:val="00A47A2A"/>
    <w:rsid w:val="00A47A2E"/>
    <w:rsid w:val="00A47C73"/>
    <w:rsid w:val="00A47CAC"/>
    <w:rsid w:val="00A47E0F"/>
    <w:rsid w:val="00A47FBA"/>
    <w:rsid w:val="00A500A5"/>
    <w:rsid w:val="00A500E4"/>
    <w:rsid w:val="00A500EE"/>
    <w:rsid w:val="00A5018F"/>
    <w:rsid w:val="00A5020F"/>
    <w:rsid w:val="00A50589"/>
    <w:rsid w:val="00A505DD"/>
    <w:rsid w:val="00A50603"/>
    <w:rsid w:val="00A50727"/>
    <w:rsid w:val="00A50787"/>
    <w:rsid w:val="00A50818"/>
    <w:rsid w:val="00A50819"/>
    <w:rsid w:val="00A50842"/>
    <w:rsid w:val="00A508D9"/>
    <w:rsid w:val="00A50945"/>
    <w:rsid w:val="00A5095F"/>
    <w:rsid w:val="00A509A3"/>
    <w:rsid w:val="00A509D6"/>
    <w:rsid w:val="00A50AC9"/>
    <w:rsid w:val="00A50B35"/>
    <w:rsid w:val="00A50B71"/>
    <w:rsid w:val="00A50DA7"/>
    <w:rsid w:val="00A50DC9"/>
    <w:rsid w:val="00A50DD3"/>
    <w:rsid w:val="00A50DF0"/>
    <w:rsid w:val="00A50E91"/>
    <w:rsid w:val="00A51014"/>
    <w:rsid w:val="00A5113A"/>
    <w:rsid w:val="00A511BE"/>
    <w:rsid w:val="00A511C6"/>
    <w:rsid w:val="00A51267"/>
    <w:rsid w:val="00A5132E"/>
    <w:rsid w:val="00A513AE"/>
    <w:rsid w:val="00A51409"/>
    <w:rsid w:val="00A5148C"/>
    <w:rsid w:val="00A5150C"/>
    <w:rsid w:val="00A51636"/>
    <w:rsid w:val="00A51659"/>
    <w:rsid w:val="00A51685"/>
    <w:rsid w:val="00A517BD"/>
    <w:rsid w:val="00A517C2"/>
    <w:rsid w:val="00A517FC"/>
    <w:rsid w:val="00A518F2"/>
    <w:rsid w:val="00A51A4B"/>
    <w:rsid w:val="00A51BCB"/>
    <w:rsid w:val="00A51BFA"/>
    <w:rsid w:val="00A51C0B"/>
    <w:rsid w:val="00A51C32"/>
    <w:rsid w:val="00A51C5A"/>
    <w:rsid w:val="00A51E77"/>
    <w:rsid w:val="00A51E99"/>
    <w:rsid w:val="00A51F74"/>
    <w:rsid w:val="00A51FE2"/>
    <w:rsid w:val="00A520DF"/>
    <w:rsid w:val="00A5212F"/>
    <w:rsid w:val="00A52184"/>
    <w:rsid w:val="00A524DD"/>
    <w:rsid w:val="00A524F8"/>
    <w:rsid w:val="00A525BA"/>
    <w:rsid w:val="00A52607"/>
    <w:rsid w:val="00A526B4"/>
    <w:rsid w:val="00A52700"/>
    <w:rsid w:val="00A52816"/>
    <w:rsid w:val="00A52924"/>
    <w:rsid w:val="00A52A00"/>
    <w:rsid w:val="00A52A73"/>
    <w:rsid w:val="00A52C1F"/>
    <w:rsid w:val="00A52C28"/>
    <w:rsid w:val="00A52D21"/>
    <w:rsid w:val="00A52D3A"/>
    <w:rsid w:val="00A52D75"/>
    <w:rsid w:val="00A52D81"/>
    <w:rsid w:val="00A52DA8"/>
    <w:rsid w:val="00A52DC0"/>
    <w:rsid w:val="00A52F06"/>
    <w:rsid w:val="00A5313E"/>
    <w:rsid w:val="00A5316E"/>
    <w:rsid w:val="00A53191"/>
    <w:rsid w:val="00A531BF"/>
    <w:rsid w:val="00A53200"/>
    <w:rsid w:val="00A53247"/>
    <w:rsid w:val="00A5334A"/>
    <w:rsid w:val="00A53397"/>
    <w:rsid w:val="00A53465"/>
    <w:rsid w:val="00A53581"/>
    <w:rsid w:val="00A536D3"/>
    <w:rsid w:val="00A5384C"/>
    <w:rsid w:val="00A5385C"/>
    <w:rsid w:val="00A53A47"/>
    <w:rsid w:val="00A53A51"/>
    <w:rsid w:val="00A53A8C"/>
    <w:rsid w:val="00A53B8F"/>
    <w:rsid w:val="00A53BF5"/>
    <w:rsid w:val="00A53C6E"/>
    <w:rsid w:val="00A53C9A"/>
    <w:rsid w:val="00A53CFA"/>
    <w:rsid w:val="00A53DBA"/>
    <w:rsid w:val="00A53E1B"/>
    <w:rsid w:val="00A53E58"/>
    <w:rsid w:val="00A53F37"/>
    <w:rsid w:val="00A53F57"/>
    <w:rsid w:val="00A54025"/>
    <w:rsid w:val="00A5407E"/>
    <w:rsid w:val="00A541C1"/>
    <w:rsid w:val="00A5422F"/>
    <w:rsid w:val="00A542B9"/>
    <w:rsid w:val="00A5440E"/>
    <w:rsid w:val="00A545F6"/>
    <w:rsid w:val="00A5470A"/>
    <w:rsid w:val="00A5473A"/>
    <w:rsid w:val="00A54807"/>
    <w:rsid w:val="00A54A88"/>
    <w:rsid w:val="00A54E31"/>
    <w:rsid w:val="00A54E74"/>
    <w:rsid w:val="00A54EB4"/>
    <w:rsid w:val="00A54F9B"/>
    <w:rsid w:val="00A54FA5"/>
    <w:rsid w:val="00A54FD6"/>
    <w:rsid w:val="00A54FFC"/>
    <w:rsid w:val="00A55078"/>
    <w:rsid w:val="00A55083"/>
    <w:rsid w:val="00A5517D"/>
    <w:rsid w:val="00A551D9"/>
    <w:rsid w:val="00A553C8"/>
    <w:rsid w:val="00A55480"/>
    <w:rsid w:val="00A5559D"/>
    <w:rsid w:val="00A55627"/>
    <w:rsid w:val="00A556AE"/>
    <w:rsid w:val="00A556BC"/>
    <w:rsid w:val="00A557DD"/>
    <w:rsid w:val="00A559C0"/>
    <w:rsid w:val="00A55A09"/>
    <w:rsid w:val="00A55A64"/>
    <w:rsid w:val="00A55B64"/>
    <w:rsid w:val="00A55BFB"/>
    <w:rsid w:val="00A55F09"/>
    <w:rsid w:val="00A5611A"/>
    <w:rsid w:val="00A56151"/>
    <w:rsid w:val="00A5615B"/>
    <w:rsid w:val="00A56167"/>
    <w:rsid w:val="00A5617D"/>
    <w:rsid w:val="00A56229"/>
    <w:rsid w:val="00A56264"/>
    <w:rsid w:val="00A562DC"/>
    <w:rsid w:val="00A56371"/>
    <w:rsid w:val="00A563B6"/>
    <w:rsid w:val="00A56425"/>
    <w:rsid w:val="00A56438"/>
    <w:rsid w:val="00A5655B"/>
    <w:rsid w:val="00A565EC"/>
    <w:rsid w:val="00A565FE"/>
    <w:rsid w:val="00A56647"/>
    <w:rsid w:val="00A5668E"/>
    <w:rsid w:val="00A56816"/>
    <w:rsid w:val="00A56843"/>
    <w:rsid w:val="00A5688B"/>
    <w:rsid w:val="00A568A8"/>
    <w:rsid w:val="00A569A9"/>
    <w:rsid w:val="00A56A83"/>
    <w:rsid w:val="00A56D3D"/>
    <w:rsid w:val="00A56DEF"/>
    <w:rsid w:val="00A56F16"/>
    <w:rsid w:val="00A56F6F"/>
    <w:rsid w:val="00A56F72"/>
    <w:rsid w:val="00A56F8B"/>
    <w:rsid w:val="00A57072"/>
    <w:rsid w:val="00A5707C"/>
    <w:rsid w:val="00A572E6"/>
    <w:rsid w:val="00A57382"/>
    <w:rsid w:val="00A57471"/>
    <w:rsid w:val="00A57492"/>
    <w:rsid w:val="00A574D8"/>
    <w:rsid w:val="00A577BD"/>
    <w:rsid w:val="00A57A0C"/>
    <w:rsid w:val="00A57AC9"/>
    <w:rsid w:val="00A57ACA"/>
    <w:rsid w:val="00A57AD9"/>
    <w:rsid w:val="00A57C58"/>
    <w:rsid w:val="00A57D5A"/>
    <w:rsid w:val="00A57DFB"/>
    <w:rsid w:val="00A57F42"/>
    <w:rsid w:val="00A57F73"/>
    <w:rsid w:val="00A600B5"/>
    <w:rsid w:val="00A600C4"/>
    <w:rsid w:val="00A603A1"/>
    <w:rsid w:val="00A603AB"/>
    <w:rsid w:val="00A603E3"/>
    <w:rsid w:val="00A60565"/>
    <w:rsid w:val="00A6058B"/>
    <w:rsid w:val="00A607B8"/>
    <w:rsid w:val="00A607D2"/>
    <w:rsid w:val="00A60B27"/>
    <w:rsid w:val="00A60B8C"/>
    <w:rsid w:val="00A60BCE"/>
    <w:rsid w:val="00A60BEA"/>
    <w:rsid w:val="00A60CA5"/>
    <w:rsid w:val="00A60D3F"/>
    <w:rsid w:val="00A60DB9"/>
    <w:rsid w:val="00A60E76"/>
    <w:rsid w:val="00A60FF3"/>
    <w:rsid w:val="00A61069"/>
    <w:rsid w:val="00A610C6"/>
    <w:rsid w:val="00A610D1"/>
    <w:rsid w:val="00A6118B"/>
    <w:rsid w:val="00A613E6"/>
    <w:rsid w:val="00A613EE"/>
    <w:rsid w:val="00A61489"/>
    <w:rsid w:val="00A6159C"/>
    <w:rsid w:val="00A6161D"/>
    <w:rsid w:val="00A61697"/>
    <w:rsid w:val="00A616D1"/>
    <w:rsid w:val="00A616DC"/>
    <w:rsid w:val="00A61721"/>
    <w:rsid w:val="00A61732"/>
    <w:rsid w:val="00A617BD"/>
    <w:rsid w:val="00A6197C"/>
    <w:rsid w:val="00A619ED"/>
    <w:rsid w:val="00A61A57"/>
    <w:rsid w:val="00A61B04"/>
    <w:rsid w:val="00A61B18"/>
    <w:rsid w:val="00A61B89"/>
    <w:rsid w:val="00A61C83"/>
    <w:rsid w:val="00A61D62"/>
    <w:rsid w:val="00A61DA3"/>
    <w:rsid w:val="00A61DD0"/>
    <w:rsid w:val="00A61DE6"/>
    <w:rsid w:val="00A61F27"/>
    <w:rsid w:val="00A61F83"/>
    <w:rsid w:val="00A61F96"/>
    <w:rsid w:val="00A61FBA"/>
    <w:rsid w:val="00A620DB"/>
    <w:rsid w:val="00A6219B"/>
    <w:rsid w:val="00A6237B"/>
    <w:rsid w:val="00A6245E"/>
    <w:rsid w:val="00A624F1"/>
    <w:rsid w:val="00A624F7"/>
    <w:rsid w:val="00A6259B"/>
    <w:rsid w:val="00A6268F"/>
    <w:rsid w:val="00A6273E"/>
    <w:rsid w:val="00A6288D"/>
    <w:rsid w:val="00A62893"/>
    <w:rsid w:val="00A6298B"/>
    <w:rsid w:val="00A629A0"/>
    <w:rsid w:val="00A629F5"/>
    <w:rsid w:val="00A62D4A"/>
    <w:rsid w:val="00A62DBE"/>
    <w:rsid w:val="00A62E59"/>
    <w:rsid w:val="00A62FF7"/>
    <w:rsid w:val="00A630CE"/>
    <w:rsid w:val="00A63126"/>
    <w:rsid w:val="00A631F9"/>
    <w:rsid w:val="00A63213"/>
    <w:rsid w:val="00A63319"/>
    <w:rsid w:val="00A63376"/>
    <w:rsid w:val="00A633A8"/>
    <w:rsid w:val="00A634D5"/>
    <w:rsid w:val="00A6365F"/>
    <w:rsid w:val="00A63682"/>
    <w:rsid w:val="00A6373E"/>
    <w:rsid w:val="00A6385F"/>
    <w:rsid w:val="00A6399E"/>
    <w:rsid w:val="00A639CF"/>
    <w:rsid w:val="00A639E2"/>
    <w:rsid w:val="00A639E8"/>
    <w:rsid w:val="00A63A03"/>
    <w:rsid w:val="00A63BBC"/>
    <w:rsid w:val="00A63BE6"/>
    <w:rsid w:val="00A63C4F"/>
    <w:rsid w:val="00A63C5F"/>
    <w:rsid w:val="00A63DB5"/>
    <w:rsid w:val="00A63DCD"/>
    <w:rsid w:val="00A64111"/>
    <w:rsid w:val="00A6427F"/>
    <w:rsid w:val="00A642E7"/>
    <w:rsid w:val="00A643DD"/>
    <w:rsid w:val="00A6441E"/>
    <w:rsid w:val="00A6444C"/>
    <w:rsid w:val="00A644A0"/>
    <w:rsid w:val="00A645AB"/>
    <w:rsid w:val="00A646C9"/>
    <w:rsid w:val="00A64742"/>
    <w:rsid w:val="00A6477B"/>
    <w:rsid w:val="00A64937"/>
    <w:rsid w:val="00A649EC"/>
    <w:rsid w:val="00A64A4E"/>
    <w:rsid w:val="00A64A57"/>
    <w:rsid w:val="00A64B98"/>
    <w:rsid w:val="00A64C9D"/>
    <w:rsid w:val="00A64CFC"/>
    <w:rsid w:val="00A64CFE"/>
    <w:rsid w:val="00A64D19"/>
    <w:rsid w:val="00A64D7B"/>
    <w:rsid w:val="00A64E01"/>
    <w:rsid w:val="00A64E65"/>
    <w:rsid w:val="00A64E7E"/>
    <w:rsid w:val="00A64F27"/>
    <w:rsid w:val="00A64F4A"/>
    <w:rsid w:val="00A64FA5"/>
    <w:rsid w:val="00A64FAA"/>
    <w:rsid w:val="00A65083"/>
    <w:rsid w:val="00A650B6"/>
    <w:rsid w:val="00A65122"/>
    <w:rsid w:val="00A652C3"/>
    <w:rsid w:val="00A65305"/>
    <w:rsid w:val="00A65333"/>
    <w:rsid w:val="00A6535B"/>
    <w:rsid w:val="00A6542B"/>
    <w:rsid w:val="00A65446"/>
    <w:rsid w:val="00A65768"/>
    <w:rsid w:val="00A659CD"/>
    <w:rsid w:val="00A65B4C"/>
    <w:rsid w:val="00A65C77"/>
    <w:rsid w:val="00A65CE1"/>
    <w:rsid w:val="00A65D26"/>
    <w:rsid w:val="00A65D41"/>
    <w:rsid w:val="00A65E34"/>
    <w:rsid w:val="00A65F01"/>
    <w:rsid w:val="00A65FEF"/>
    <w:rsid w:val="00A66056"/>
    <w:rsid w:val="00A6609A"/>
    <w:rsid w:val="00A660EB"/>
    <w:rsid w:val="00A660EF"/>
    <w:rsid w:val="00A66123"/>
    <w:rsid w:val="00A661D3"/>
    <w:rsid w:val="00A661D4"/>
    <w:rsid w:val="00A66262"/>
    <w:rsid w:val="00A662FF"/>
    <w:rsid w:val="00A6637F"/>
    <w:rsid w:val="00A663F7"/>
    <w:rsid w:val="00A66461"/>
    <w:rsid w:val="00A664CE"/>
    <w:rsid w:val="00A664FF"/>
    <w:rsid w:val="00A667C1"/>
    <w:rsid w:val="00A6692A"/>
    <w:rsid w:val="00A66984"/>
    <w:rsid w:val="00A66A9D"/>
    <w:rsid w:val="00A66B5A"/>
    <w:rsid w:val="00A66B73"/>
    <w:rsid w:val="00A66BB9"/>
    <w:rsid w:val="00A66C21"/>
    <w:rsid w:val="00A66C7E"/>
    <w:rsid w:val="00A66CDF"/>
    <w:rsid w:val="00A66D86"/>
    <w:rsid w:val="00A66DB2"/>
    <w:rsid w:val="00A66DF8"/>
    <w:rsid w:val="00A66E80"/>
    <w:rsid w:val="00A6704E"/>
    <w:rsid w:val="00A6726A"/>
    <w:rsid w:val="00A672AE"/>
    <w:rsid w:val="00A672FF"/>
    <w:rsid w:val="00A673AC"/>
    <w:rsid w:val="00A67415"/>
    <w:rsid w:val="00A67551"/>
    <w:rsid w:val="00A67555"/>
    <w:rsid w:val="00A67575"/>
    <w:rsid w:val="00A67638"/>
    <w:rsid w:val="00A676BB"/>
    <w:rsid w:val="00A676E9"/>
    <w:rsid w:val="00A67743"/>
    <w:rsid w:val="00A67899"/>
    <w:rsid w:val="00A678B4"/>
    <w:rsid w:val="00A678D0"/>
    <w:rsid w:val="00A678D9"/>
    <w:rsid w:val="00A67A25"/>
    <w:rsid w:val="00A67A79"/>
    <w:rsid w:val="00A67AD8"/>
    <w:rsid w:val="00A67B41"/>
    <w:rsid w:val="00A67CF9"/>
    <w:rsid w:val="00A67D11"/>
    <w:rsid w:val="00A70065"/>
    <w:rsid w:val="00A701D1"/>
    <w:rsid w:val="00A70222"/>
    <w:rsid w:val="00A70398"/>
    <w:rsid w:val="00A703B4"/>
    <w:rsid w:val="00A703BB"/>
    <w:rsid w:val="00A70429"/>
    <w:rsid w:val="00A70449"/>
    <w:rsid w:val="00A7045F"/>
    <w:rsid w:val="00A70469"/>
    <w:rsid w:val="00A70685"/>
    <w:rsid w:val="00A707DB"/>
    <w:rsid w:val="00A707EB"/>
    <w:rsid w:val="00A708DF"/>
    <w:rsid w:val="00A7094A"/>
    <w:rsid w:val="00A7095B"/>
    <w:rsid w:val="00A709BF"/>
    <w:rsid w:val="00A70A6D"/>
    <w:rsid w:val="00A70ACC"/>
    <w:rsid w:val="00A70AFA"/>
    <w:rsid w:val="00A70B88"/>
    <w:rsid w:val="00A70BAD"/>
    <w:rsid w:val="00A70C4C"/>
    <w:rsid w:val="00A70D6C"/>
    <w:rsid w:val="00A70DB6"/>
    <w:rsid w:val="00A70E02"/>
    <w:rsid w:val="00A711B4"/>
    <w:rsid w:val="00A7121A"/>
    <w:rsid w:val="00A7123B"/>
    <w:rsid w:val="00A71444"/>
    <w:rsid w:val="00A71551"/>
    <w:rsid w:val="00A7161F"/>
    <w:rsid w:val="00A71665"/>
    <w:rsid w:val="00A71919"/>
    <w:rsid w:val="00A71946"/>
    <w:rsid w:val="00A719F7"/>
    <w:rsid w:val="00A71A09"/>
    <w:rsid w:val="00A71A9E"/>
    <w:rsid w:val="00A71C20"/>
    <w:rsid w:val="00A71C93"/>
    <w:rsid w:val="00A71D4A"/>
    <w:rsid w:val="00A71E5E"/>
    <w:rsid w:val="00A71EF7"/>
    <w:rsid w:val="00A71F02"/>
    <w:rsid w:val="00A71FE1"/>
    <w:rsid w:val="00A7210D"/>
    <w:rsid w:val="00A72141"/>
    <w:rsid w:val="00A7231A"/>
    <w:rsid w:val="00A7242F"/>
    <w:rsid w:val="00A72454"/>
    <w:rsid w:val="00A7245D"/>
    <w:rsid w:val="00A72664"/>
    <w:rsid w:val="00A72766"/>
    <w:rsid w:val="00A72866"/>
    <w:rsid w:val="00A7288B"/>
    <w:rsid w:val="00A72948"/>
    <w:rsid w:val="00A729D5"/>
    <w:rsid w:val="00A72A22"/>
    <w:rsid w:val="00A72AF5"/>
    <w:rsid w:val="00A72B68"/>
    <w:rsid w:val="00A72D05"/>
    <w:rsid w:val="00A72D1D"/>
    <w:rsid w:val="00A72D2C"/>
    <w:rsid w:val="00A72D55"/>
    <w:rsid w:val="00A72DD4"/>
    <w:rsid w:val="00A72EA2"/>
    <w:rsid w:val="00A72F3C"/>
    <w:rsid w:val="00A73095"/>
    <w:rsid w:val="00A73271"/>
    <w:rsid w:val="00A732B9"/>
    <w:rsid w:val="00A733AF"/>
    <w:rsid w:val="00A733C9"/>
    <w:rsid w:val="00A73432"/>
    <w:rsid w:val="00A73457"/>
    <w:rsid w:val="00A734FA"/>
    <w:rsid w:val="00A7367A"/>
    <w:rsid w:val="00A7370E"/>
    <w:rsid w:val="00A73796"/>
    <w:rsid w:val="00A737AA"/>
    <w:rsid w:val="00A73805"/>
    <w:rsid w:val="00A73806"/>
    <w:rsid w:val="00A73A07"/>
    <w:rsid w:val="00A73A66"/>
    <w:rsid w:val="00A73AE2"/>
    <w:rsid w:val="00A73B56"/>
    <w:rsid w:val="00A73D58"/>
    <w:rsid w:val="00A73D8B"/>
    <w:rsid w:val="00A73E26"/>
    <w:rsid w:val="00A74130"/>
    <w:rsid w:val="00A7413F"/>
    <w:rsid w:val="00A741D2"/>
    <w:rsid w:val="00A741E2"/>
    <w:rsid w:val="00A7424E"/>
    <w:rsid w:val="00A7427C"/>
    <w:rsid w:val="00A7438A"/>
    <w:rsid w:val="00A744B8"/>
    <w:rsid w:val="00A74682"/>
    <w:rsid w:val="00A746AA"/>
    <w:rsid w:val="00A746F4"/>
    <w:rsid w:val="00A74733"/>
    <w:rsid w:val="00A7473A"/>
    <w:rsid w:val="00A7487F"/>
    <w:rsid w:val="00A74B00"/>
    <w:rsid w:val="00A74B0A"/>
    <w:rsid w:val="00A74B28"/>
    <w:rsid w:val="00A74C7D"/>
    <w:rsid w:val="00A74C91"/>
    <w:rsid w:val="00A74C94"/>
    <w:rsid w:val="00A74D1B"/>
    <w:rsid w:val="00A74DF9"/>
    <w:rsid w:val="00A74EB6"/>
    <w:rsid w:val="00A74F0E"/>
    <w:rsid w:val="00A750E3"/>
    <w:rsid w:val="00A750FC"/>
    <w:rsid w:val="00A7515D"/>
    <w:rsid w:val="00A751C4"/>
    <w:rsid w:val="00A751F5"/>
    <w:rsid w:val="00A75355"/>
    <w:rsid w:val="00A75393"/>
    <w:rsid w:val="00A754A7"/>
    <w:rsid w:val="00A755CD"/>
    <w:rsid w:val="00A755FB"/>
    <w:rsid w:val="00A756FE"/>
    <w:rsid w:val="00A75862"/>
    <w:rsid w:val="00A75935"/>
    <w:rsid w:val="00A75DC5"/>
    <w:rsid w:val="00A75FB3"/>
    <w:rsid w:val="00A76007"/>
    <w:rsid w:val="00A760CB"/>
    <w:rsid w:val="00A7614C"/>
    <w:rsid w:val="00A761AB"/>
    <w:rsid w:val="00A76212"/>
    <w:rsid w:val="00A762E8"/>
    <w:rsid w:val="00A76373"/>
    <w:rsid w:val="00A763B7"/>
    <w:rsid w:val="00A76624"/>
    <w:rsid w:val="00A76775"/>
    <w:rsid w:val="00A7686E"/>
    <w:rsid w:val="00A768B5"/>
    <w:rsid w:val="00A768D0"/>
    <w:rsid w:val="00A76907"/>
    <w:rsid w:val="00A76992"/>
    <w:rsid w:val="00A769A3"/>
    <w:rsid w:val="00A769C4"/>
    <w:rsid w:val="00A76C2B"/>
    <w:rsid w:val="00A76C70"/>
    <w:rsid w:val="00A76CA1"/>
    <w:rsid w:val="00A76CFE"/>
    <w:rsid w:val="00A76D56"/>
    <w:rsid w:val="00A76DD8"/>
    <w:rsid w:val="00A76DDD"/>
    <w:rsid w:val="00A76E8B"/>
    <w:rsid w:val="00A76F0F"/>
    <w:rsid w:val="00A7710A"/>
    <w:rsid w:val="00A77225"/>
    <w:rsid w:val="00A7724F"/>
    <w:rsid w:val="00A77336"/>
    <w:rsid w:val="00A77438"/>
    <w:rsid w:val="00A774A8"/>
    <w:rsid w:val="00A777A5"/>
    <w:rsid w:val="00A777A9"/>
    <w:rsid w:val="00A777C5"/>
    <w:rsid w:val="00A77991"/>
    <w:rsid w:val="00A779CA"/>
    <w:rsid w:val="00A779D8"/>
    <w:rsid w:val="00A77A8A"/>
    <w:rsid w:val="00A77B43"/>
    <w:rsid w:val="00A77BC1"/>
    <w:rsid w:val="00A77BD6"/>
    <w:rsid w:val="00A77CD9"/>
    <w:rsid w:val="00A77CFA"/>
    <w:rsid w:val="00A77F58"/>
    <w:rsid w:val="00A800D3"/>
    <w:rsid w:val="00A800FD"/>
    <w:rsid w:val="00A8010E"/>
    <w:rsid w:val="00A80207"/>
    <w:rsid w:val="00A8024B"/>
    <w:rsid w:val="00A80291"/>
    <w:rsid w:val="00A802DD"/>
    <w:rsid w:val="00A80477"/>
    <w:rsid w:val="00A804B8"/>
    <w:rsid w:val="00A80508"/>
    <w:rsid w:val="00A80651"/>
    <w:rsid w:val="00A80704"/>
    <w:rsid w:val="00A80748"/>
    <w:rsid w:val="00A807E4"/>
    <w:rsid w:val="00A8083D"/>
    <w:rsid w:val="00A8092B"/>
    <w:rsid w:val="00A80BCC"/>
    <w:rsid w:val="00A80C37"/>
    <w:rsid w:val="00A80C53"/>
    <w:rsid w:val="00A80C76"/>
    <w:rsid w:val="00A80CB1"/>
    <w:rsid w:val="00A80EED"/>
    <w:rsid w:val="00A80F5A"/>
    <w:rsid w:val="00A8106E"/>
    <w:rsid w:val="00A81140"/>
    <w:rsid w:val="00A811D2"/>
    <w:rsid w:val="00A81458"/>
    <w:rsid w:val="00A816CE"/>
    <w:rsid w:val="00A817B9"/>
    <w:rsid w:val="00A81835"/>
    <w:rsid w:val="00A81840"/>
    <w:rsid w:val="00A81864"/>
    <w:rsid w:val="00A818FD"/>
    <w:rsid w:val="00A81934"/>
    <w:rsid w:val="00A81B0D"/>
    <w:rsid w:val="00A81B94"/>
    <w:rsid w:val="00A81C42"/>
    <w:rsid w:val="00A81E03"/>
    <w:rsid w:val="00A81F3F"/>
    <w:rsid w:val="00A81FCA"/>
    <w:rsid w:val="00A81FF6"/>
    <w:rsid w:val="00A82117"/>
    <w:rsid w:val="00A821D5"/>
    <w:rsid w:val="00A82263"/>
    <w:rsid w:val="00A823B0"/>
    <w:rsid w:val="00A8245A"/>
    <w:rsid w:val="00A82709"/>
    <w:rsid w:val="00A82711"/>
    <w:rsid w:val="00A827E0"/>
    <w:rsid w:val="00A828C6"/>
    <w:rsid w:val="00A82B0B"/>
    <w:rsid w:val="00A82BAC"/>
    <w:rsid w:val="00A82D1B"/>
    <w:rsid w:val="00A82DB2"/>
    <w:rsid w:val="00A82E2F"/>
    <w:rsid w:val="00A82E8F"/>
    <w:rsid w:val="00A82EC1"/>
    <w:rsid w:val="00A82ED0"/>
    <w:rsid w:val="00A82FA1"/>
    <w:rsid w:val="00A8300A"/>
    <w:rsid w:val="00A83046"/>
    <w:rsid w:val="00A8307F"/>
    <w:rsid w:val="00A83155"/>
    <w:rsid w:val="00A8319A"/>
    <w:rsid w:val="00A834A9"/>
    <w:rsid w:val="00A83634"/>
    <w:rsid w:val="00A83640"/>
    <w:rsid w:val="00A83745"/>
    <w:rsid w:val="00A83789"/>
    <w:rsid w:val="00A837F7"/>
    <w:rsid w:val="00A8381C"/>
    <w:rsid w:val="00A8384E"/>
    <w:rsid w:val="00A83858"/>
    <w:rsid w:val="00A838A5"/>
    <w:rsid w:val="00A8396A"/>
    <w:rsid w:val="00A83971"/>
    <w:rsid w:val="00A83AF2"/>
    <w:rsid w:val="00A83B97"/>
    <w:rsid w:val="00A83CAA"/>
    <w:rsid w:val="00A83CFC"/>
    <w:rsid w:val="00A83D1C"/>
    <w:rsid w:val="00A83D9B"/>
    <w:rsid w:val="00A83ECC"/>
    <w:rsid w:val="00A83F01"/>
    <w:rsid w:val="00A83F8E"/>
    <w:rsid w:val="00A84056"/>
    <w:rsid w:val="00A84214"/>
    <w:rsid w:val="00A84459"/>
    <w:rsid w:val="00A84625"/>
    <w:rsid w:val="00A84666"/>
    <w:rsid w:val="00A84818"/>
    <w:rsid w:val="00A848F9"/>
    <w:rsid w:val="00A84CAB"/>
    <w:rsid w:val="00A84D38"/>
    <w:rsid w:val="00A84D58"/>
    <w:rsid w:val="00A84E08"/>
    <w:rsid w:val="00A84E8A"/>
    <w:rsid w:val="00A84EF1"/>
    <w:rsid w:val="00A85050"/>
    <w:rsid w:val="00A85059"/>
    <w:rsid w:val="00A85085"/>
    <w:rsid w:val="00A850DF"/>
    <w:rsid w:val="00A8515B"/>
    <w:rsid w:val="00A8519C"/>
    <w:rsid w:val="00A85209"/>
    <w:rsid w:val="00A85377"/>
    <w:rsid w:val="00A853BD"/>
    <w:rsid w:val="00A853F5"/>
    <w:rsid w:val="00A853FD"/>
    <w:rsid w:val="00A856CE"/>
    <w:rsid w:val="00A857F0"/>
    <w:rsid w:val="00A85821"/>
    <w:rsid w:val="00A85844"/>
    <w:rsid w:val="00A858C3"/>
    <w:rsid w:val="00A8593E"/>
    <w:rsid w:val="00A85953"/>
    <w:rsid w:val="00A85A74"/>
    <w:rsid w:val="00A85AC6"/>
    <w:rsid w:val="00A85B83"/>
    <w:rsid w:val="00A85BC8"/>
    <w:rsid w:val="00A85C07"/>
    <w:rsid w:val="00A85CCC"/>
    <w:rsid w:val="00A85EE6"/>
    <w:rsid w:val="00A8603A"/>
    <w:rsid w:val="00A8608A"/>
    <w:rsid w:val="00A860E0"/>
    <w:rsid w:val="00A860E2"/>
    <w:rsid w:val="00A8611D"/>
    <w:rsid w:val="00A861BC"/>
    <w:rsid w:val="00A86219"/>
    <w:rsid w:val="00A863CC"/>
    <w:rsid w:val="00A863EF"/>
    <w:rsid w:val="00A86416"/>
    <w:rsid w:val="00A8669E"/>
    <w:rsid w:val="00A86863"/>
    <w:rsid w:val="00A868A5"/>
    <w:rsid w:val="00A86987"/>
    <w:rsid w:val="00A86A75"/>
    <w:rsid w:val="00A86BA7"/>
    <w:rsid w:val="00A86BAE"/>
    <w:rsid w:val="00A86C57"/>
    <w:rsid w:val="00A86C58"/>
    <w:rsid w:val="00A86CDA"/>
    <w:rsid w:val="00A86E92"/>
    <w:rsid w:val="00A86F4F"/>
    <w:rsid w:val="00A86FC3"/>
    <w:rsid w:val="00A87003"/>
    <w:rsid w:val="00A87065"/>
    <w:rsid w:val="00A87134"/>
    <w:rsid w:val="00A872BD"/>
    <w:rsid w:val="00A873AF"/>
    <w:rsid w:val="00A87402"/>
    <w:rsid w:val="00A87516"/>
    <w:rsid w:val="00A87668"/>
    <w:rsid w:val="00A876DD"/>
    <w:rsid w:val="00A87845"/>
    <w:rsid w:val="00A87926"/>
    <w:rsid w:val="00A879FE"/>
    <w:rsid w:val="00A87A4E"/>
    <w:rsid w:val="00A87A9C"/>
    <w:rsid w:val="00A87ABF"/>
    <w:rsid w:val="00A87C47"/>
    <w:rsid w:val="00A87C85"/>
    <w:rsid w:val="00A87CF2"/>
    <w:rsid w:val="00A87DBE"/>
    <w:rsid w:val="00A87DCB"/>
    <w:rsid w:val="00A87E26"/>
    <w:rsid w:val="00A87F86"/>
    <w:rsid w:val="00A90015"/>
    <w:rsid w:val="00A90336"/>
    <w:rsid w:val="00A9063F"/>
    <w:rsid w:val="00A9071C"/>
    <w:rsid w:val="00A9082E"/>
    <w:rsid w:val="00A90845"/>
    <w:rsid w:val="00A90913"/>
    <w:rsid w:val="00A9096E"/>
    <w:rsid w:val="00A90A11"/>
    <w:rsid w:val="00A90AD3"/>
    <w:rsid w:val="00A90C3B"/>
    <w:rsid w:val="00A90E32"/>
    <w:rsid w:val="00A90ED4"/>
    <w:rsid w:val="00A91022"/>
    <w:rsid w:val="00A91133"/>
    <w:rsid w:val="00A91282"/>
    <w:rsid w:val="00A9129B"/>
    <w:rsid w:val="00A9139B"/>
    <w:rsid w:val="00A91586"/>
    <w:rsid w:val="00A91602"/>
    <w:rsid w:val="00A91659"/>
    <w:rsid w:val="00A9167B"/>
    <w:rsid w:val="00A916ED"/>
    <w:rsid w:val="00A91707"/>
    <w:rsid w:val="00A917F4"/>
    <w:rsid w:val="00A918A5"/>
    <w:rsid w:val="00A91944"/>
    <w:rsid w:val="00A9195F"/>
    <w:rsid w:val="00A919F0"/>
    <w:rsid w:val="00A91A19"/>
    <w:rsid w:val="00A91BD2"/>
    <w:rsid w:val="00A91D76"/>
    <w:rsid w:val="00A91D83"/>
    <w:rsid w:val="00A91F8C"/>
    <w:rsid w:val="00A920A1"/>
    <w:rsid w:val="00A9213A"/>
    <w:rsid w:val="00A92142"/>
    <w:rsid w:val="00A921A9"/>
    <w:rsid w:val="00A9235D"/>
    <w:rsid w:val="00A9238C"/>
    <w:rsid w:val="00A923DF"/>
    <w:rsid w:val="00A926C3"/>
    <w:rsid w:val="00A927A8"/>
    <w:rsid w:val="00A92812"/>
    <w:rsid w:val="00A92857"/>
    <w:rsid w:val="00A928AD"/>
    <w:rsid w:val="00A928DC"/>
    <w:rsid w:val="00A92944"/>
    <w:rsid w:val="00A9295B"/>
    <w:rsid w:val="00A92A39"/>
    <w:rsid w:val="00A92B14"/>
    <w:rsid w:val="00A92B82"/>
    <w:rsid w:val="00A92BD5"/>
    <w:rsid w:val="00A92C08"/>
    <w:rsid w:val="00A92C5C"/>
    <w:rsid w:val="00A92CE8"/>
    <w:rsid w:val="00A92D21"/>
    <w:rsid w:val="00A92D22"/>
    <w:rsid w:val="00A92E0E"/>
    <w:rsid w:val="00A92E5D"/>
    <w:rsid w:val="00A92FC1"/>
    <w:rsid w:val="00A9308A"/>
    <w:rsid w:val="00A9318D"/>
    <w:rsid w:val="00A931A7"/>
    <w:rsid w:val="00A931BF"/>
    <w:rsid w:val="00A931CA"/>
    <w:rsid w:val="00A933DA"/>
    <w:rsid w:val="00A933DE"/>
    <w:rsid w:val="00A933E1"/>
    <w:rsid w:val="00A933F9"/>
    <w:rsid w:val="00A9343F"/>
    <w:rsid w:val="00A93496"/>
    <w:rsid w:val="00A935DE"/>
    <w:rsid w:val="00A936EF"/>
    <w:rsid w:val="00A93825"/>
    <w:rsid w:val="00A9387B"/>
    <w:rsid w:val="00A938BB"/>
    <w:rsid w:val="00A938D3"/>
    <w:rsid w:val="00A938D6"/>
    <w:rsid w:val="00A9393B"/>
    <w:rsid w:val="00A93A4D"/>
    <w:rsid w:val="00A93A56"/>
    <w:rsid w:val="00A93A95"/>
    <w:rsid w:val="00A93C50"/>
    <w:rsid w:val="00A93CAF"/>
    <w:rsid w:val="00A93F2B"/>
    <w:rsid w:val="00A93F6F"/>
    <w:rsid w:val="00A94043"/>
    <w:rsid w:val="00A9413B"/>
    <w:rsid w:val="00A9431A"/>
    <w:rsid w:val="00A9438D"/>
    <w:rsid w:val="00A943E0"/>
    <w:rsid w:val="00A94687"/>
    <w:rsid w:val="00A9468E"/>
    <w:rsid w:val="00A94704"/>
    <w:rsid w:val="00A9479A"/>
    <w:rsid w:val="00A947E2"/>
    <w:rsid w:val="00A94885"/>
    <w:rsid w:val="00A9493C"/>
    <w:rsid w:val="00A94B06"/>
    <w:rsid w:val="00A94B76"/>
    <w:rsid w:val="00A94BAB"/>
    <w:rsid w:val="00A94C28"/>
    <w:rsid w:val="00A94C53"/>
    <w:rsid w:val="00A94CBD"/>
    <w:rsid w:val="00A94DE2"/>
    <w:rsid w:val="00A94F6A"/>
    <w:rsid w:val="00A94FA3"/>
    <w:rsid w:val="00A94FBE"/>
    <w:rsid w:val="00A95034"/>
    <w:rsid w:val="00A951AE"/>
    <w:rsid w:val="00A9526A"/>
    <w:rsid w:val="00A952E1"/>
    <w:rsid w:val="00A953DA"/>
    <w:rsid w:val="00A95441"/>
    <w:rsid w:val="00A95553"/>
    <w:rsid w:val="00A955EA"/>
    <w:rsid w:val="00A95621"/>
    <w:rsid w:val="00A957C3"/>
    <w:rsid w:val="00A957D0"/>
    <w:rsid w:val="00A9589C"/>
    <w:rsid w:val="00A9592D"/>
    <w:rsid w:val="00A959E5"/>
    <w:rsid w:val="00A95AC3"/>
    <w:rsid w:val="00A95C6D"/>
    <w:rsid w:val="00A95CFC"/>
    <w:rsid w:val="00A95D17"/>
    <w:rsid w:val="00A95D92"/>
    <w:rsid w:val="00A95DC9"/>
    <w:rsid w:val="00A95F77"/>
    <w:rsid w:val="00A96172"/>
    <w:rsid w:val="00A96292"/>
    <w:rsid w:val="00A96317"/>
    <w:rsid w:val="00A96450"/>
    <w:rsid w:val="00A9647A"/>
    <w:rsid w:val="00A965F1"/>
    <w:rsid w:val="00A9666C"/>
    <w:rsid w:val="00A966B5"/>
    <w:rsid w:val="00A96707"/>
    <w:rsid w:val="00A96836"/>
    <w:rsid w:val="00A96840"/>
    <w:rsid w:val="00A96858"/>
    <w:rsid w:val="00A96972"/>
    <w:rsid w:val="00A969F3"/>
    <w:rsid w:val="00A96A6F"/>
    <w:rsid w:val="00A96C56"/>
    <w:rsid w:val="00A96C9A"/>
    <w:rsid w:val="00A96CCF"/>
    <w:rsid w:val="00A96FDC"/>
    <w:rsid w:val="00A97064"/>
    <w:rsid w:val="00A97070"/>
    <w:rsid w:val="00A97120"/>
    <w:rsid w:val="00A97203"/>
    <w:rsid w:val="00A9720D"/>
    <w:rsid w:val="00A972E8"/>
    <w:rsid w:val="00A973A0"/>
    <w:rsid w:val="00A97492"/>
    <w:rsid w:val="00A97524"/>
    <w:rsid w:val="00A97681"/>
    <w:rsid w:val="00A97688"/>
    <w:rsid w:val="00A976B0"/>
    <w:rsid w:val="00A97769"/>
    <w:rsid w:val="00A97827"/>
    <w:rsid w:val="00A979E5"/>
    <w:rsid w:val="00A97AD6"/>
    <w:rsid w:val="00A97B68"/>
    <w:rsid w:val="00A97D3F"/>
    <w:rsid w:val="00A97D81"/>
    <w:rsid w:val="00A97E5C"/>
    <w:rsid w:val="00A97E92"/>
    <w:rsid w:val="00A97FA6"/>
    <w:rsid w:val="00AA000B"/>
    <w:rsid w:val="00AA00A4"/>
    <w:rsid w:val="00AA0151"/>
    <w:rsid w:val="00AA0391"/>
    <w:rsid w:val="00AA05A1"/>
    <w:rsid w:val="00AA0658"/>
    <w:rsid w:val="00AA07AB"/>
    <w:rsid w:val="00AA086D"/>
    <w:rsid w:val="00AA09A0"/>
    <w:rsid w:val="00AA0AB3"/>
    <w:rsid w:val="00AA0B81"/>
    <w:rsid w:val="00AA0CDC"/>
    <w:rsid w:val="00AA0D5D"/>
    <w:rsid w:val="00AA0E6C"/>
    <w:rsid w:val="00AA0FC3"/>
    <w:rsid w:val="00AA10DA"/>
    <w:rsid w:val="00AA1129"/>
    <w:rsid w:val="00AA126C"/>
    <w:rsid w:val="00AA1316"/>
    <w:rsid w:val="00AA13E6"/>
    <w:rsid w:val="00AA1478"/>
    <w:rsid w:val="00AA147D"/>
    <w:rsid w:val="00AA14A3"/>
    <w:rsid w:val="00AA14B1"/>
    <w:rsid w:val="00AA1594"/>
    <w:rsid w:val="00AA164F"/>
    <w:rsid w:val="00AA168D"/>
    <w:rsid w:val="00AA16D0"/>
    <w:rsid w:val="00AA173B"/>
    <w:rsid w:val="00AA17A1"/>
    <w:rsid w:val="00AA1819"/>
    <w:rsid w:val="00AA181C"/>
    <w:rsid w:val="00AA192C"/>
    <w:rsid w:val="00AA19C5"/>
    <w:rsid w:val="00AA1A33"/>
    <w:rsid w:val="00AA1A9F"/>
    <w:rsid w:val="00AA1AD5"/>
    <w:rsid w:val="00AA1CBB"/>
    <w:rsid w:val="00AA1CD4"/>
    <w:rsid w:val="00AA1D9A"/>
    <w:rsid w:val="00AA1E14"/>
    <w:rsid w:val="00AA1E2F"/>
    <w:rsid w:val="00AA21F2"/>
    <w:rsid w:val="00AA2322"/>
    <w:rsid w:val="00AA24DA"/>
    <w:rsid w:val="00AA250D"/>
    <w:rsid w:val="00AA25F1"/>
    <w:rsid w:val="00AA261B"/>
    <w:rsid w:val="00AA2873"/>
    <w:rsid w:val="00AA28D3"/>
    <w:rsid w:val="00AA28E3"/>
    <w:rsid w:val="00AA2B6B"/>
    <w:rsid w:val="00AA2B96"/>
    <w:rsid w:val="00AA2BE1"/>
    <w:rsid w:val="00AA2CC2"/>
    <w:rsid w:val="00AA2DA6"/>
    <w:rsid w:val="00AA2DD8"/>
    <w:rsid w:val="00AA2E13"/>
    <w:rsid w:val="00AA2EE2"/>
    <w:rsid w:val="00AA2F97"/>
    <w:rsid w:val="00AA3002"/>
    <w:rsid w:val="00AA3121"/>
    <w:rsid w:val="00AA3137"/>
    <w:rsid w:val="00AA3229"/>
    <w:rsid w:val="00AA325F"/>
    <w:rsid w:val="00AA331E"/>
    <w:rsid w:val="00AA3405"/>
    <w:rsid w:val="00AA36D9"/>
    <w:rsid w:val="00AA3702"/>
    <w:rsid w:val="00AA3734"/>
    <w:rsid w:val="00AA3739"/>
    <w:rsid w:val="00AA377E"/>
    <w:rsid w:val="00AA39BF"/>
    <w:rsid w:val="00AA3A59"/>
    <w:rsid w:val="00AA3A61"/>
    <w:rsid w:val="00AA3B08"/>
    <w:rsid w:val="00AA3C58"/>
    <w:rsid w:val="00AA3C5D"/>
    <w:rsid w:val="00AA3C8E"/>
    <w:rsid w:val="00AA3CBD"/>
    <w:rsid w:val="00AA3D51"/>
    <w:rsid w:val="00AA3E33"/>
    <w:rsid w:val="00AA3FC2"/>
    <w:rsid w:val="00AA41C1"/>
    <w:rsid w:val="00AA421C"/>
    <w:rsid w:val="00AA43CA"/>
    <w:rsid w:val="00AA44FD"/>
    <w:rsid w:val="00AA466C"/>
    <w:rsid w:val="00AA47C7"/>
    <w:rsid w:val="00AA4879"/>
    <w:rsid w:val="00AA4926"/>
    <w:rsid w:val="00AA495B"/>
    <w:rsid w:val="00AA4B08"/>
    <w:rsid w:val="00AA4C1B"/>
    <w:rsid w:val="00AA4C8F"/>
    <w:rsid w:val="00AA4CFF"/>
    <w:rsid w:val="00AA4D78"/>
    <w:rsid w:val="00AA4E4D"/>
    <w:rsid w:val="00AA5014"/>
    <w:rsid w:val="00AA517E"/>
    <w:rsid w:val="00AA5193"/>
    <w:rsid w:val="00AA524F"/>
    <w:rsid w:val="00AA54AC"/>
    <w:rsid w:val="00AA554A"/>
    <w:rsid w:val="00AA5609"/>
    <w:rsid w:val="00AA57F9"/>
    <w:rsid w:val="00AA5924"/>
    <w:rsid w:val="00AA59A7"/>
    <w:rsid w:val="00AA5A2E"/>
    <w:rsid w:val="00AA5AB6"/>
    <w:rsid w:val="00AA5AF2"/>
    <w:rsid w:val="00AA5B98"/>
    <w:rsid w:val="00AA5BA7"/>
    <w:rsid w:val="00AA5BE0"/>
    <w:rsid w:val="00AA5C0A"/>
    <w:rsid w:val="00AA5C4F"/>
    <w:rsid w:val="00AA5C72"/>
    <w:rsid w:val="00AA5D60"/>
    <w:rsid w:val="00AA5EF5"/>
    <w:rsid w:val="00AA5FFF"/>
    <w:rsid w:val="00AA60B4"/>
    <w:rsid w:val="00AA6279"/>
    <w:rsid w:val="00AA6286"/>
    <w:rsid w:val="00AA63A4"/>
    <w:rsid w:val="00AA646F"/>
    <w:rsid w:val="00AA64A5"/>
    <w:rsid w:val="00AA64CC"/>
    <w:rsid w:val="00AA6524"/>
    <w:rsid w:val="00AA6553"/>
    <w:rsid w:val="00AA6863"/>
    <w:rsid w:val="00AA68AF"/>
    <w:rsid w:val="00AA6968"/>
    <w:rsid w:val="00AA6B9C"/>
    <w:rsid w:val="00AA6BBA"/>
    <w:rsid w:val="00AA6D17"/>
    <w:rsid w:val="00AA6D66"/>
    <w:rsid w:val="00AA6ED2"/>
    <w:rsid w:val="00AA6F50"/>
    <w:rsid w:val="00AA7305"/>
    <w:rsid w:val="00AA7306"/>
    <w:rsid w:val="00AA730A"/>
    <w:rsid w:val="00AA745F"/>
    <w:rsid w:val="00AA7475"/>
    <w:rsid w:val="00AA75D3"/>
    <w:rsid w:val="00AA761C"/>
    <w:rsid w:val="00AA7676"/>
    <w:rsid w:val="00AA76C0"/>
    <w:rsid w:val="00AA78EE"/>
    <w:rsid w:val="00AA7CD1"/>
    <w:rsid w:val="00AA7D73"/>
    <w:rsid w:val="00AA7EDA"/>
    <w:rsid w:val="00AB000F"/>
    <w:rsid w:val="00AB00C4"/>
    <w:rsid w:val="00AB02AB"/>
    <w:rsid w:val="00AB0313"/>
    <w:rsid w:val="00AB0408"/>
    <w:rsid w:val="00AB04C6"/>
    <w:rsid w:val="00AB05FA"/>
    <w:rsid w:val="00AB069B"/>
    <w:rsid w:val="00AB070F"/>
    <w:rsid w:val="00AB07BA"/>
    <w:rsid w:val="00AB07EC"/>
    <w:rsid w:val="00AB0831"/>
    <w:rsid w:val="00AB08C4"/>
    <w:rsid w:val="00AB08D6"/>
    <w:rsid w:val="00AB08FE"/>
    <w:rsid w:val="00AB0940"/>
    <w:rsid w:val="00AB0A00"/>
    <w:rsid w:val="00AB0A27"/>
    <w:rsid w:val="00AB0A90"/>
    <w:rsid w:val="00AB0B7F"/>
    <w:rsid w:val="00AB0C4A"/>
    <w:rsid w:val="00AB0C5F"/>
    <w:rsid w:val="00AB0C73"/>
    <w:rsid w:val="00AB0CA8"/>
    <w:rsid w:val="00AB0DC3"/>
    <w:rsid w:val="00AB0E83"/>
    <w:rsid w:val="00AB1181"/>
    <w:rsid w:val="00AB1303"/>
    <w:rsid w:val="00AB136D"/>
    <w:rsid w:val="00AB13D4"/>
    <w:rsid w:val="00AB1467"/>
    <w:rsid w:val="00AB162D"/>
    <w:rsid w:val="00AB169B"/>
    <w:rsid w:val="00AB16EB"/>
    <w:rsid w:val="00AB1973"/>
    <w:rsid w:val="00AB1A2D"/>
    <w:rsid w:val="00AB1B8B"/>
    <w:rsid w:val="00AB1C79"/>
    <w:rsid w:val="00AB1CFF"/>
    <w:rsid w:val="00AB1E22"/>
    <w:rsid w:val="00AB1E4A"/>
    <w:rsid w:val="00AB1EC0"/>
    <w:rsid w:val="00AB1FC7"/>
    <w:rsid w:val="00AB2110"/>
    <w:rsid w:val="00AB2185"/>
    <w:rsid w:val="00AB21F1"/>
    <w:rsid w:val="00AB238C"/>
    <w:rsid w:val="00AB238D"/>
    <w:rsid w:val="00AB238E"/>
    <w:rsid w:val="00AB2398"/>
    <w:rsid w:val="00AB23EE"/>
    <w:rsid w:val="00AB2464"/>
    <w:rsid w:val="00AB256D"/>
    <w:rsid w:val="00AB25B9"/>
    <w:rsid w:val="00AB269F"/>
    <w:rsid w:val="00AB26E1"/>
    <w:rsid w:val="00AB27C4"/>
    <w:rsid w:val="00AB2989"/>
    <w:rsid w:val="00AB2AD4"/>
    <w:rsid w:val="00AB2ADD"/>
    <w:rsid w:val="00AB2B83"/>
    <w:rsid w:val="00AB2BA5"/>
    <w:rsid w:val="00AB2BAB"/>
    <w:rsid w:val="00AB2BB2"/>
    <w:rsid w:val="00AB2D1C"/>
    <w:rsid w:val="00AB2DD9"/>
    <w:rsid w:val="00AB2E71"/>
    <w:rsid w:val="00AB2FA6"/>
    <w:rsid w:val="00AB31EE"/>
    <w:rsid w:val="00AB32CB"/>
    <w:rsid w:val="00AB3329"/>
    <w:rsid w:val="00AB35A0"/>
    <w:rsid w:val="00AB35C2"/>
    <w:rsid w:val="00AB381E"/>
    <w:rsid w:val="00AB38A6"/>
    <w:rsid w:val="00AB39F5"/>
    <w:rsid w:val="00AB3AD8"/>
    <w:rsid w:val="00AB3AE9"/>
    <w:rsid w:val="00AB3B32"/>
    <w:rsid w:val="00AB3B44"/>
    <w:rsid w:val="00AB3BE3"/>
    <w:rsid w:val="00AB3CCC"/>
    <w:rsid w:val="00AB40A4"/>
    <w:rsid w:val="00AB41A9"/>
    <w:rsid w:val="00AB42D1"/>
    <w:rsid w:val="00AB449C"/>
    <w:rsid w:val="00AB4567"/>
    <w:rsid w:val="00AB4686"/>
    <w:rsid w:val="00AB4988"/>
    <w:rsid w:val="00AB49BA"/>
    <w:rsid w:val="00AB4A10"/>
    <w:rsid w:val="00AB4B89"/>
    <w:rsid w:val="00AB4C93"/>
    <w:rsid w:val="00AB4DAA"/>
    <w:rsid w:val="00AB4E08"/>
    <w:rsid w:val="00AB4F1D"/>
    <w:rsid w:val="00AB4FF3"/>
    <w:rsid w:val="00AB51B4"/>
    <w:rsid w:val="00AB51D1"/>
    <w:rsid w:val="00AB51F4"/>
    <w:rsid w:val="00AB52A8"/>
    <w:rsid w:val="00AB52CA"/>
    <w:rsid w:val="00AB5348"/>
    <w:rsid w:val="00AB5368"/>
    <w:rsid w:val="00AB53BD"/>
    <w:rsid w:val="00AB5535"/>
    <w:rsid w:val="00AB5546"/>
    <w:rsid w:val="00AB5592"/>
    <w:rsid w:val="00AB55C4"/>
    <w:rsid w:val="00AB56A5"/>
    <w:rsid w:val="00AB56CB"/>
    <w:rsid w:val="00AB5715"/>
    <w:rsid w:val="00AB576B"/>
    <w:rsid w:val="00AB57CF"/>
    <w:rsid w:val="00AB5851"/>
    <w:rsid w:val="00AB5892"/>
    <w:rsid w:val="00AB594D"/>
    <w:rsid w:val="00AB594F"/>
    <w:rsid w:val="00AB5A8B"/>
    <w:rsid w:val="00AB5B26"/>
    <w:rsid w:val="00AB5B77"/>
    <w:rsid w:val="00AB5B99"/>
    <w:rsid w:val="00AB5C6C"/>
    <w:rsid w:val="00AB5D23"/>
    <w:rsid w:val="00AB5D6F"/>
    <w:rsid w:val="00AB5E45"/>
    <w:rsid w:val="00AB5EA0"/>
    <w:rsid w:val="00AB5EF1"/>
    <w:rsid w:val="00AB6069"/>
    <w:rsid w:val="00AB6390"/>
    <w:rsid w:val="00AB64E8"/>
    <w:rsid w:val="00AB6629"/>
    <w:rsid w:val="00AB6643"/>
    <w:rsid w:val="00AB675D"/>
    <w:rsid w:val="00AB67C1"/>
    <w:rsid w:val="00AB689D"/>
    <w:rsid w:val="00AB6930"/>
    <w:rsid w:val="00AB69CA"/>
    <w:rsid w:val="00AB69F5"/>
    <w:rsid w:val="00AB6A12"/>
    <w:rsid w:val="00AB6A30"/>
    <w:rsid w:val="00AB6B2C"/>
    <w:rsid w:val="00AB6BEA"/>
    <w:rsid w:val="00AB6C48"/>
    <w:rsid w:val="00AB6C72"/>
    <w:rsid w:val="00AB6C7C"/>
    <w:rsid w:val="00AB6CD7"/>
    <w:rsid w:val="00AB6CEC"/>
    <w:rsid w:val="00AB6CF4"/>
    <w:rsid w:val="00AB6D09"/>
    <w:rsid w:val="00AB6DD9"/>
    <w:rsid w:val="00AB6E28"/>
    <w:rsid w:val="00AB6E83"/>
    <w:rsid w:val="00AB6FE8"/>
    <w:rsid w:val="00AB7002"/>
    <w:rsid w:val="00AB7014"/>
    <w:rsid w:val="00AB7035"/>
    <w:rsid w:val="00AB7071"/>
    <w:rsid w:val="00AB70C0"/>
    <w:rsid w:val="00AB72DD"/>
    <w:rsid w:val="00AB7330"/>
    <w:rsid w:val="00AB746A"/>
    <w:rsid w:val="00AB7494"/>
    <w:rsid w:val="00AB74B8"/>
    <w:rsid w:val="00AB74B9"/>
    <w:rsid w:val="00AB74D1"/>
    <w:rsid w:val="00AB7622"/>
    <w:rsid w:val="00AB7696"/>
    <w:rsid w:val="00AB77B4"/>
    <w:rsid w:val="00AB78BD"/>
    <w:rsid w:val="00AB7B44"/>
    <w:rsid w:val="00AB7B8C"/>
    <w:rsid w:val="00AB7CF4"/>
    <w:rsid w:val="00AB7D5D"/>
    <w:rsid w:val="00AB7E79"/>
    <w:rsid w:val="00AB7EEE"/>
    <w:rsid w:val="00AB7F72"/>
    <w:rsid w:val="00AB7F7A"/>
    <w:rsid w:val="00AC0049"/>
    <w:rsid w:val="00AC0066"/>
    <w:rsid w:val="00AC0106"/>
    <w:rsid w:val="00AC010D"/>
    <w:rsid w:val="00AC01A6"/>
    <w:rsid w:val="00AC0205"/>
    <w:rsid w:val="00AC0347"/>
    <w:rsid w:val="00AC03D6"/>
    <w:rsid w:val="00AC0587"/>
    <w:rsid w:val="00AC058B"/>
    <w:rsid w:val="00AC058D"/>
    <w:rsid w:val="00AC06FF"/>
    <w:rsid w:val="00AC084C"/>
    <w:rsid w:val="00AC0857"/>
    <w:rsid w:val="00AC0878"/>
    <w:rsid w:val="00AC0A29"/>
    <w:rsid w:val="00AC0D45"/>
    <w:rsid w:val="00AC0DBD"/>
    <w:rsid w:val="00AC1076"/>
    <w:rsid w:val="00AC1161"/>
    <w:rsid w:val="00AC118B"/>
    <w:rsid w:val="00AC1258"/>
    <w:rsid w:val="00AC1379"/>
    <w:rsid w:val="00AC142A"/>
    <w:rsid w:val="00AC17A1"/>
    <w:rsid w:val="00AC19B2"/>
    <w:rsid w:val="00AC19CC"/>
    <w:rsid w:val="00AC19E0"/>
    <w:rsid w:val="00AC1B4D"/>
    <w:rsid w:val="00AC1B69"/>
    <w:rsid w:val="00AC1E22"/>
    <w:rsid w:val="00AC1F03"/>
    <w:rsid w:val="00AC1FB1"/>
    <w:rsid w:val="00AC20A4"/>
    <w:rsid w:val="00AC2152"/>
    <w:rsid w:val="00AC2237"/>
    <w:rsid w:val="00AC22FC"/>
    <w:rsid w:val="00AC2441"/>
    <w:rsid w:val="00AC24E2"/>
    <w:rsid w:val="00AC2620"/>
    <w:rsid w:val="00AC2A98"/>
    <w:rsid w:val="00AC2B8B"/>
    <w:rsid w:val="00AC2CD1"/>
    <w:rsid w:val="00AC2CF3"/>
    <w:rsid w:val="00AC2D02"/>
    <w:rsid w:val="00AC2E46"/>
    <w:rsid w:val="00AC2E71"/>
    <w:rsid w:val="00AC2FAD"/>
    <w:rsid w:val="00AC2FD0"/>
    <w:rsid w:val="00AC2FF2"/>
    <w:rsid w:val="00AC3228"/>
    <w:rsid w:val="00AC324A"/>
    <w:rsid w:val="00AC329A"/>
    <w:rsid w:val="00AC32CC"/>
    <w:rsid w:val="00AC3435"/>
    <w:rsid w:val="00AC34C9"/>
    <w:rsid w:val="00AC3546"/>
    <w:rsid w:val="00AC3690"/>
    <w:rsid w:val="00AC3757"/>
    <w:rsid w:val="00AC38E3"/>
    <w:rsid w:val="00AC3929"/>
    <w:rsid w:val="00AC3943"/>
    <w:rsid w:val="00AC39B1"/>
    <w:rsid w:val="00AC3A00"/>
    <w:rsid w:val="00AC3AC4"/>
    <w:rsid w:val="00AC3B0B"/>
    <w:rsid w:val="00AC3B58"/>
    <w:rsid w:val="00AC3D89"/>
    <w:rsid w:val="00AC3EE7"/>
    <w:rsid w:val="00AC3F76"/>
    <w:rsid w:val="00AC402E"/>
    <w:rsid w:val="00AC4039"/>
    <w:rsid w:val="00AC40B7"/>
    <w:rsid w:val="00AC4323"/>
    <w:rsid w:val="00AC43C0"/>
    <w:rsid w:val="00AC43FA"/>
    <w:rsid w:val="00AC4471"/>
    <w:rsid w:val="00AC4475"/>
    <w:rsid w:val="00AC44F6"/>
    <w:rsid w:val="00AC456B"/>
    <w:rsid w:val="00AC45EA"/>
    <w:rsid w:val="00AC4763"/>
    <w:rsid w:val="00AC4A4B"/>
    <w:rsid w:val="00AC4B6D"/>
    <w:rsid w:val="00AC4D41"/>
    <w:rsid w:val="00AC4E7C"/>
    <w:rsid w:val="00AC4EBA"/>
    <w:rsid w:val="00AC4F00"/>
    <w:rsid w:val="00AC50A0"/>
    <w:rsid w:val="00AC51E4"/>
    <w:rsid w:val="00AC527B"/>
    <w:rsid w:val="00AC532C"/>
    <w:rsid w:val="00AC54B3"/>
    <w:rsid w:val="00AC5563"/>
    <w:rsid w:val="00AC56B4"/>
    <w:rsid w:val="00AC570C"/>
    <w:rsid w:val="00AC5732"/>
    <w:rsid w:val="00AC5898"/>
    <w:rsid w:val="00AC5A08"/>
    <w:rsid w:val="00AC5A25"/>
    <w:rsid w:val="00AC5A8E"/>
    <w:rsid w:val="00AC5AD2"/>
    <w:rsid w:val="00AC5C28"/>
    <w:rsid w:val="00AC5C2E"/>
    <w:rsid w:val="00AC5C8C"/>
    <w:rsid w:val="00AC5DD1"/>
    <w:rsid w:val="00AC5EA2"/>
    <w:rsid w:val="00AC607D"/>
    <w:rsid w:val="00AC619B"/>
    <w:rsid w:val="00AC61DF"/>
    <w:rsid w:val="00AC622F"/>
    <w:rsid w:val="00AC6447"/>
    <w:rsid w:val="00AC650D"/>
    <w:rsid w:val="00AC6529"/>
    <w:rsid w:val="00AC6547"/>
    <w:rsid w:val="00AC6559"/>
    <w:rsid w:val="00AC65AE"/>
    <w:rsid w:val="00AC65EA"/>
    <w:rsid w:val="00AC6655"/>
    <w:rsid w:val="00AC675B"/>
    <w:rsid w:val="00AC684A"/>
    <w:rsid w:val="00AC6868"/>
    <w:rsid w:val="00AC6A8E"/>
    <w:rsid w:val="00AC6B48"/>
    <w:rsid w:val="00AC6B7F"/>
    <w:rsid w:val="00AC6BC7"/>
    <w:rsid w:val="00AC6DC5"/>
    <w:rsid w:val="00AC6FD2"/>
    <w:rsid w:val="00AC70DF"/>
    <w:rsid w:val="00AC71C5"/>
    <w:rsid w:val="00AC7253"/>
    <w:rsid w:val="00AC725F"/>
    <w:rsid w:val="00AC72AF"/>
    <w:rsid w:val="00AC7496"/>
    <w:rsid w:val="00AC7514"/>
    <w:rsid w:val="00AC7700"/>
    <w:rsid w:val="00AC77B7"/>
    <w:rsid w:val="00AC77FC"/>
    <w:rsid w:val="00AC7908"/>
    <w:rsid w:val="00AC7A32"/>
    <w:rsid w:val="00AC7A5E"/>
    <w:rsid w:val="00AC7ACF"/>
    <w:rsid w:val="00AC7B0E"/>
    <w:rsid w:val="00AC7B84"/>
    <w:rsid w:val="00AC7BA6"/>
    <w:rsid w:val="00AC7BEA"/>
    <w:rsid w:val="00AC7C6D"/>
    <w:rsid w:val="00AC7CB7"/>
    <w:rsid w:val="00AC7D0A"/>
    <w:rsid w:val="00AC7D18"/>
    <w:rsid w:val="00AC7E45"/>
    <w:rsid w:val="00AC7F1F"/>
    <w:rsid w:val="00AC7F43"/>
    <w:rsid w:val="00AD0022"/>
    <w:rsid w:val="00AD01BE"/>
    <w:rsid w:val="00AD0271"/>
    <w:rsid w:val="00AD06B2"/>
    <w:rsid w:val="00AD0731"/>
    <w:rsid w:val="00AD08F8"/>
    <w:rsid w:val="00AD0936"/>
    <w:rsid w:val="00AD0C4F"/>
    <w:rsid w:val="00AD0C6B"/>
    <w:rsid w:val="00AD0D4C"/>
    <w:rsid w:val="00AD0DF8"/>
    <w:rsid w:val="00AD0E1B"/>
    <w:rsid w:val="00AD0E4B"/>
    <w:rsid w:val="00AD0EFD"/>
    <w:rsid w:val="00AD0F83"/>
    <w:rsid w:val="00AD11F0"/>
    <w:rsid w:val="00AD144B"/>
    <w:rsid w:val="00AD15A5"/>
    <w:rsid w:val="00AD15B2"/>
    <w:rsid w:val="00AD162A"/>
    <w:rsid w:val="00AD1682"/>
    <w:rsid w:val="00AD16D1"/>
    <w:rsid w:val="00AD17FF"/>
    <w:rsid w:val="00AD192B"/>
    <w:rsid w:val="00AD197A"/>
    <w:rsid w:val="00AD1A06"/>
    <w:rsid w:val="00AD1A1C"/>
    <w:rsid w:val="00AD1A52"/>
    <w:rsid w:val="00AD1D25"/>
    <w:rsid w:val="00AD1D44"/>
    <w:rsid w:val="00AD1D57"/>
    <w:rsid w:val="00AD1DB3"/>
    <w:rsid w:val="00AD1DDC"/>
    <w:rsid w:val="00AD1E4E"/>
    <w:rsid w:val="00AD1F0C"/>
    <w:rsid w:val="00AD2091"/>
    <w:rsid w:val="00AD2098"/>
    <w:rsid w:val="00AD22E8"/>
    <w:rsid w:val="00AD242E"/>
    <w:rsid w:val="00AD25CD"/>
    <w:rsid w:val="00AD2717"/>
    <w:rsid w:val="00AD27D1"/>
    <w:rsid w:val="00AD280D"/>
    <w:rsid w:val="00AD2969"/>
    <w:rsid w:val="00AD29CB"/>
    <w:rsid w:val="00AD29D3"/>
    <w:rsid w:val="00AD2A85"/>
    <w:rsid w:val="00AD2B23"/>
    <w:rsid w:val="00AD2B66"/>
    <w:rsid w:val="00AD2C7B"/>
    <w:rsid w:val="00AD2CD7"/>
    <w:rsid w:val="00AD2D1C"/>
    <w:rsid w:val="00AD2D24"/>
    <w:rsid w:val="00AD2D2F"/>
    <w:rsid w:val="00AD2E14"/>
    <w:rsid w:val="00AD2E29"/>
    <w:rsid w:val="00AD2E55"/>
    <w:rsid w:val="00AD2E62"/>
    <w:rsid w:val="00AD2E8C"/>
    <w:rsid w:val="00AD30CE"/>
    <w:rsid w:val="00AD30F9"/>
    <w:rsid w:val="00AD3200"/>
    <w:rsid w:val="00AD328F"/>
    <w:rsid w:val="00AD3471"/>
    <w:rsid w:val="00AD3583"/>
    <w:rsid w:val="00AD35C3"/>
    <w:rsid w:val="00AD3604"/>
    <w:rsid w:val="00AD3655"/>
    <w:rsid w:val="00AD36F2"/>
    <w:rsid w:val="00AD3989"/>
    <w:rsid w:val="00AD39E9"/>
    <w:rsid w:val="00AD3BD0"/>
    <w:rsid w:val="00AD3BDF"/>
    <w:rsid w:val="00AD3D73"/>
    <w:rsid w:val="00AD3D80"/>
    <w:rsid w:val="00AD3E54"/>
    <w:rsid w:val="00AD3E7E"/>
    <w:rsid w:val="00AD4036"/>
    <w:rsid w:val="00AD407C"/>
    <w:rsid w:val="00AD40D8"/>
    <w:rsid w:val="00AD4127"/>
    <w:rsid w:val="00AD41C6"/>
    <w:rsid w:val="00AD4295"/>
    <w:rsid w:val="00AD4356"/>
    <w:rsid w:val="00AD4367"/>
    <w:rsid w:val="00AD43FE"/>
    <w:rsid w:val="00AD488B"/>
    <w:rsid w:val="00AD493A"/>
    <w:rsid w:val="00AD49D0"/>
    <w:rsid w:val="00AD4C01"/>
    <w:rsid w:val="00AD4CDE"/>
    <w:rsid w:val="00AD4E6E"/>
    <w:rsid w:val="00AD4F68"/>
    <w:rsid w:val="00AD4FDF"/>
    <w:rsid w:val="00AD5068"/>
    <w:rsid w:val="00AD50B6"/>
    <w:rsid w:val="00AD516E"/>
    <w:rsid w:val="00AD53BA"/>
    <w:rsid w:val="00AD53C4"/>
    <w:rsid w:val="00AD53CF"/>
    <w:rsid w:val="00AD54AA"/>
    <w:rsid w:val="00AD57C3"/>
    <w:rsid w:val="00AD57F8"/>
    <w:rsid w:val="00AD5A51"/>
    <w:rsid w:val="00AD5A53"/>
    <w:rsid w:val="00AD5B20"/>
    <w:rsid w:val="00AD5DA1"/>
    <w:rsid w:val="00AD5E04"/>
    <w:rsid w:val="00AD5E64"/>
    <w:rsid w:val="00AD5FC7"/>
    <w:rsid w:val="00AD60FC"/>
    <w:rsid w:val="00AD61BC"/>
    <w:rsid w:val="00AD624D"/>
    <w:rsid w:val="00AD632C"/>
    <w:rsid w:val="00AD63DA"/>
    <w:rsid w:val="00AD641D"/>
    <w:rsid w:val="00AD644F"/>
    <w:rsid w:val="00AD67B1"/>
    <w:rsid w:val="00AD6818"/>
    <w:rsid w:val="00AD6870"/>
    <w:rsid w:val="00AD6898"/>
    <w:rsid w:val="00AD6A3D"/>
    <w:rsid w:val="00AD6B33"/>
    <w:rsid w:val="00AD6D06"/>
    <w:rsid w:val="00AD6E20"/>
    <w:rsid w:val="00AD6E4D"/>
    <w:rsid w:val="00AD70E6"/>
    <w:rsid w:val="00AD710F"/>
    <w:rsid w:val="00AD71F4"/>
    <w:rsid w:val="00AD7213"/>
    <w:rsid w:val="00AD73DA"/>
    <w:rsid w:val="00AD75E3"/>
    <w:rsid w:val="00AD75F5"/>
    <w:rsid w:val="00AD761C"/>
    <w:rsid w:val="00AD77B3"/>
    <w:rsid w:val="00AD78CE"/>
    <w:rsid w:val="00AD7963"/>
    <w:rsid w:val="00AD79A0"/>
    <w:rsid w:val="00AD79FA"/>
    <w:rsid w:val="00AD7ABD"/>
    <w:rsid w:val="00AD7B1D"/>
    <w:rsid w:val="00AD7B4B"/>
    <w:rsid w:val="00AD7BA9"/>
    <w:rsid w:val="00AD7C99"/>
    <w:rsid w:val="00AD7DD6"/>
    <w:rsid w:val="00AD7F86"/>
    <w:rsid w:val="00AE0089"/>
    <w:rsid w:val="00AE0091"/>
    <w:rsid w:val="00AE009B"/>
    <w:rsid w:val="00AE00AA"/>
    <w:rsid w:val="00AE02DE"/>
    <w:rsid w:val="00AE0330"/>
    <w:rsid w:val="00AE03F4"/>
    <w:rsid w:val="00AE03FA"/>
    <w:rsid w:val="00AE04F6"/>
    <w:rsid w:val="00AE050B"/>
    <w:rsid w:val="00AE05EC"/>
    <w:rsid w:val="00AE078B"/>
    <w:rsid w:val="00AE079E"/>
    <w:rsid w:val="00AE08A6"/>
    <w:rsid w:val="00AE08BD"/>
    <w:rsid w:val="00AE08CF"/>
    <w:rsid w:val="00AE09BA"/>
    <w:rsid w:val="00AE0A1A"/>
    <w:rsid w:val="00AE0AC9"/>
    <w:rsid w:val="00AE0BED"/>
    <w:rsid w:val="00AE0C12"/>
    <w:rsid w:val="00AE0C8F"/>
    <w:rsid w:val="00AE0DB9"/>
    <w:rsid w:val="00AE0EDD"/>
    <w:rsid w:val="00AE0FAD"/>
    <w:rsid w:val="00AE1011"/>
    <w:rsid w:val="00AE102B"/>
    <w:rsid w:val="00AE10E4"/>
    <w:rsid w:val="00AE11D9"/>
    <w:rsid w:val="00AE12B0"/>
    <w:rsid w:val="00AE12E3"/>
    <w:rsid w:val="00AE12E9"/>
    <w:rsid w:val="00AE1449"/>
    <w:rsid w:val="00AE1518"/>
    <w:rsid w:val="00AE159F"/>
    <w:rsid w:val="00AE15D3"/>
    <w:rsid w:val="00AE1624"/>
    <w:rsid w:val="00AE162E"/>
    <w:rsid w:val="00AE16C1"/>
    <w:rsid w:val="00AE1707"/>
    <w:rsid w:val="00AE170A"/>
    <w:rsid w:val="00AE1713"/>
    <w:rsid w:val="00AE1853"/>
    <w:rsid w:val="00AE189C"/>
    <w:rsid w:val="00AE192E"/>
    <w:rsid w:val="00AE1B5C"/>
    <w:rsid w:val="00AE1B6A"/>
    <w:rsid w:val="00AE1BB1"/>
    <w:rsid w:val="00AE1C56"/>
    <w:rsid w:val="00AE1C9A"/>
    <w:rsid w:val="00AE1D03"/>
    <w:rsid w:val="00AE1D6D"/>
    <w:rsid w:val="00AE1E35"/>
    <w:rsid w:val="00AE1E4A"/>
    <w:rsid w:val="00AE228C"/>
    <w:rsid w:val="00AE2290"/>
    <w:rsid w:val="00AE2424"/>
    <w:rsid w:val="00AE2429"/>
    <w:rsid w:val="00AE254B"/>
    <w:rsid w:val="00AE2569"/>
    <w:rsid w:val="00AE258E"/>
    <w:rsid w:val="00AE259C"/>
    <w:rsid w:val="00AE263E"/>
    <w:rsid w:val="00AE267A"/>
    <w:rsid w:val="00AE26CD"/>
    <w:rsid w:val="00AE2725"/>
    <w:rsid w:val="00AE274F"/>
    <w:rsid w:val="00AE27CB"/>
    <w:rsid w:val="00AE2A5C"/>
    <w:rsid w:val="00AE2C4D"/>
    <w:rsid w:val="00AE2D58"/>
    <w:rsid w:val="00AE2DDF"/>
    <w:rsid w:val="00AE2E3E"/>
    <w:rsid w:val="00AE2F44"/>
    <w:rsid w:val="00AE2FBB"/>
    <w:rsid w:val="00AE303A"/>
    <w:rsid w:val="00AE30C6"/>
    <w:rsid w:val="00AE311F"/>
    <w:rsid w:val="00AE31A0"/>
    <w:rsid w:val="00AE32D9"/>
    <w:rsid w:val="00AE33DB"/>
    <w:rsid w:val="00AE3417"/>
    <w:rsid w:val="00AE3421"/>
    <w:rsid w:val="00AE3428"/>
    <w:rsid w:val="00AE34B5"/>
    <w:rsid w:val="00AE3501"/>
    <w:rsid w:val="00AE3661"/>
    <w:rsid w:val="00AE37A0"/>
    <w:rsid w:val="00AE37AC"/>
    <w:rsid w:val="00AE382D"/>
    <w:rsid w:val="00AE386C"/>
    <w:rsid w:val="00AE38A3"/>
    <w:rsid w:val="00AE3988"/>
    <w:rsid w:val="00AE3A53"/>
    <w:rsid w:val="00AE3A54"/>
    <w:rsid w:val="00AE3B8B"/>
    <w:rsid w:val="00AE3C3A"/>
    <w:rsid w:val="00AE3CAC"/>
    <w:rsid w:val="00AE3D1D"/>
    <w:rsid w:val="00AE3ED2"/>
    <w:rsid w:val="00AE4066"/>
    <w:rsid w:val="00AE4072"/>
    <w:rsid w:val="00AE407E"/>
    <w:rsid w:val="00AE4121"/>
    <w:rsid w:val="00AE4163"/>
    <w:rsid w:val="00AE4177"/>
    <w:rsid w:val="00AE4283"/>
    <w:rsid w:val="00AE4300"/>
    <w:rsid w:val="00AE4582"/>
    <w:rsid w:val="00AE45E9"/>
    <w:rsid w:val="00AE464C"/>
    <w:rsid w:val="00AE466E"/>
    <w:rsid w:val="00AE489F"/>
    <w:rsid w:val="00AE4B37"/>
    <w:rsid w:val="00AE4CC9"/>
    <w:rsid w:val="00AE4D98"/>
    <w:rsid w:val="00AE4FDC"/>
    <w:rsid w:val="00AE50BF"/>
    <w:rsid w:val="00AE50EF"/>
    <w:rsid w:val="00AE50F1"/>
    <w:rsid w:val="00AE5140"/>
    <w:rsid w:val="00AE5179"/>
    <w:rsid w:val="00AE5187"/>
    <w:rsid w:val="00AE519F"/>
    <w:rsid w:val="00AE521D"/>
    <w:rsid w:val="00AE524A"/>
    <w:rsid w:val="00AE529A"/>
    <w:rsid w:val="00AE52EF"/>
    <w:rsid w:val="00AE5307"/>
    <w:rsid w:val="00AE534D"/>
    <w:rsid w:val="00AE537C"/>
    <w:rsid w:val="00AE5385"/>
    <w:rsid w:val="00AE54DE"/>
    <w:rsid w:val="00AE54E1"/>
    <w:rsid w:val="00AE5582"/>
    <w:rsid w:val="00AE55B5"/>
    <w:rsid w:val="00AE568C"/>
    <w:rsid w:val="00AE56B7"/>
    <w:rsid w:val="00AE585A"/>
    <w:rsid w:val="00AE58D6"/>
    <w:rsid w:val="00AE5B13"/>
    <w:rsid w:val="00AE5C8B"/>
    <w:rsid w:val="00AE5CB2"/>
    <w:rsid w:val="00AE5DE4"/>
    <w:rsid w:val="00AE6051"/>
    <w:rsid w:val="00AE6112"/>
    <w:rsid w:val="00AE6357"/>
    <w:rsid w:val="00AE6385"/>
    <w:rsid w:val="00AE6459"/>
    <w:rsid w:val="00AE6546"/>
    <w:rsid w:val="00AE65A2"/>
    <w:rsid w:val="00AE664C"/>
    <w:rsid w:val="00AE66B5"/>
    <w:rsid w:val="00AE688F"/>
    <w:rsid w:val="00AE6A81"/>
    <w:rsid w:val="00AE6ABF"/>
    <w:rsid w:val="00AE6AD9"/>
    <w:rsid w:val="00AE6BE9"/>
    <w:rsid w:val="00AE6C19"/>
    <w:rsid w:val="00AE6C36"/>
    <w:rsid w:val="00AE6EB8"/>
    <w:rsid w:val="00AE6F12"/>
    <w:rsid w:val="00AE6FD5"/>
    <w:rsid w:val="00AE706E"/>
    <w:rsid w:val="00AE70E1"/>
    <w:rsid w:val="00AE7114"/>
    <w:rsid w:val="00AE71BF"/>
    <w:rsid w:val="00AE721E"/>
    <w:rsid w:val="00AE73FC"/>
    <w:rsid w:val="00AE7421"/>
    <w:rsid w:val="00AE7457"/>
    <w:rsid w:val="00AE7548"/>
    <w:rsid w:val="00AE75A4"/>
    <w:rsid w:val="00AE7613"/>
    <w:rsid w:val="00AE7781"/>
    <w:rsid w:val="00AE786F"/>
    <w:rsid w:val="00AE78EC"/>
    <w:rsid w:val="00AE7997"/>
    <w:rsid w:val="00AE7A7A"/>
    <w:rsid w:val="00AE7F6C"/>
    <w:rsid w:val="00AE7FB0"/>
    <w:rsid w:val="00AE7FE8"/>
    <w:rsid w:val="00AE7FF0"/>
    <w:rsid w:val="00AF0103"/>
    <w:rsid w:val="00AF0158"/>
    <w:rsid w:val="00AF0596"/>
    <w:rsid w:val="00AF0789"/>
    <w:rsid w:val="00AF078B"/>
    <w:rsid w:val="00AF079B"/>
    <w:rsid w:val="00AF084F"/>
    <w:rsid w:val="00AF0A1A"/>
    <w:rsid w:val="00AF0A32"/>
    <w:rsid w:val="00AF0AF1"/>
    <w:rsid w:val="00AF0C0C"/>
    <w:rsid w:val="00AF0D2A"/>
    <w:rsid w:val="00AF0DB8"/>
    <w:rsid w:val="00AF0E4A"/>
    <w:rsid w:val="00AF0E59"/>
    <w:rsid w:val="00AF0F73"/>
    <w:rsid w:val="00AF0FA1"/>
    <w:rsid w:val="00AF1272"/>
    <w:rsid w:val="00AF136C"/>
    <w:rsid w:val="00AF1626"/>
    <w:rsid w:val="00AF1628"/>
    <w:rsid w:val="00AF167E"/>
    <w:rsid w:val="00AF17F8"/>
    <w:rsid w:val="00AF1930"/>
    <w:rsid w:val="00AF1A3D"/>
    <w:rsid w:val="00AF1A51"/>
    <w:rsid w:val="00AF1AF2"/>
    <w:rsid w:val="00AF1D36"/>
    <w:rsid w:val="00AF1D7E"/>
    <w:rsid w:val="00AF1DC2"/>
    <w:rsid w:val="00AF1E9E"/>
    <w:rsid w:val="00AF1EE6"/>
    <w:rsid w:val="00AF1F2A"/>
    <w:rsid w:val="00AF1FE3"/>
    <w:rsid w:val="00AF200D"/>
    <w:rsid w:val="00AF201C"/>
    <w:rsid w:val="00AF209B"/>
    <w:rsid w:val="00AF212D"/>
    <w:rsid w:val="00AF2151"/>
    <w:rsid w:val="00AF216D"/>
    <w:rsid w:val="00AF2178"/>
    <w:rsid w:val="00AF2182"/>
    <w:rsid w:val="00AF21A9"/>
    <w:rsid w:val="00AF22AE"/>
    <w:rsid w:val="00AF2303"/>
    <w:rsid w:val="00AF2420"/>
    <w:rsid w:val="00AF2488"/>
    <w:rsid w:val="00AF252B"/>
    <w:rsid w:val="00AF25BF"/>
    <w:rsid w:val="00AF26CD"/>
    <w:rsid w:val="00AF26DC"/>
    <w:rsid w:val="00AF27AE"/>
    <w:rsid w:val="00AF2931"/>
    <w:rsid w:val="00AF2A86"/>
    <w:rsid w:val="00AF2B1C"/>
    <w:rsid w:val="00AF2BC8"/>
    <w:rsid w:val="00AF2C71"/>
    <w:rsid w:val="00AF2CFF"/>
    <w:rsid w:val="00AF2D19"/>
    <w:rsid w:val="00AF2E08"/>
    <w:rsid w:val="00AF2E6E"/>
    <w:rsid w:val="00AF2FFA"/>
    <w:rsid w:val="00AF3040"/>
    <w:rsid w:val="00AF3145"/>
    <w:rsid w:val="00AF323B"/>
    <w:rsid w:val="00AF3365"/>
    <w:rsid w:val="00AF340A"/>
    <w:rsid w:val="00AF342E"/>
    <w:rsid w:val="00AF3483"/>
    <w:rsid w:val="00AF34F3"/>
    <w:rsid w:val="00AF368B"/>
    <w:rsid w:val="00AF375F"/>
    <w:rsid w:val="00AF378B"/>
    <w:rsid w:val="00AF3855"/>
    <w:rsid w:val="00AF38D9"/>
    <w:rsid w:val="00AF39E3"/>
    <w:rsid w:val="00AF3A72"/>
    <w:rsid w:val="00AF3AEA"/>
    <w:rsid w:val="00AF3BC7"/>
    <w:rsid w:val="00AF3C94"/>
    <w:rsid w:val="00AF3CBF"/>
    <w:rsid w:val="00AF3CDC"/>
    <w:rsid w:val="00AF3D33"/>
    <w:rsid w:val="00AF3DC4"/>
    <w:rsid w:val="00AF3E57"/>
    <w:rsid w:val="00AF3EDE"/>
    <w:rsid w:val="00AF3F2A"/>
    <w:rsid w:val="00AF40AA"/>
    <w:rsid w:val="00AF412E"/>
    <w:rsid w:val="00AF4174"/>
    <w:rsid w:val="00AF41B8"/>
    <w:rsid w:val="00AF422B"/>
    <w:rsid w:val="00AF4516"/>
    <w:rsid w:val="00AF452E"/>
    <w:rsid w:val="00AF46E0"/>
    <w:rsid w:val="00AF4856"/>
    <w:rsid w:val="00AF4A9F"/>
    <w:rsid w:val="00AF4AA2"/>
    <w:rsid w:val="00AF4AEA"/>
    <w:rsid w:val="00AF4B62"/>
    <w:rsid w:val="00AF4B73"/>
    <w:rsid w:val="00AF4BF7"/>
    <w:rsid w:val="00AF4C35"/>
    <w:rsid w:val="00AF4CB8"/>
    <w:rsid w:val="00AF4DD7"/>
    <w:rsid w:val="00AF4FC7"/>
    <w:rsid w:val="00AF504B"/>
    <w:rsid w:val="00AF5119"/>
    <w:rsid w:val="00AF514B"/>
    <w:rsid w:val="00AF52C1"/>
    <w:rsid w:val="00AF536D"/>
    <w:rsid w:val="00AF5606"/>
    <w:rsid w:val="00AF5634"/>
    <w:rsid w:val="00AF5645"/>
    <w:rsid w:val="00AF5804"/>
    <w:rsid w:val="00AF5913"/>
    <w:rsid w:val="00AF5AA0"/>
    <w:rsid w:val="00AF5AB1"/>
    <w:rsid w:val="00AF5AC5"/>
    <w:rsid w:val="00AF5B52"/>
    <w:rsid w:val="00AF5BC4"/>
    <w:rsid w:val="00AF5BE0"/>
    <w:rsid w:val="00AF5DA7"/>
    <w:rsid w:val="00AF5EA9"/>
    <w:rsid w:val="00AF5EC2"/>
    <w:rsid w:val="00AF5F57"/>
    <w:rsid w:val="00AF5FD7"/>
    <w:rsid w:val="00AF5FDA"/>
    <w:rsid w:val="00AF61E3"/>
    <w:rsid w:val="00AF6220"/>
    <w:rsid w:val="00AF62C9"/>
    <w:rsid w:val="00AF63AC"/>
    <w:rsid w:val="00AF6412"/>
    <w:rsid w:val="00AF64A3"/>
    <w:rsid w:val="00AF6691"/>
    <w:rsid w:val="00AF673B"/>
    <w:rsid w:val="00AF67F0"/>
    <w:rsid w:val="00AF6B0F"/>
    <w:rsid w:val="00AF6BFD"/>
    <w:rsid w:val="00AF6E41"/>
    <w:rsid w:val="00AF6EEA"/>
    <w:rsid w:val="00AF723A"/>
    <w:rsid w:val="00AF72AB"/>
    <w:rsid w:val="00AF72F6"/>
    <w:rsid w:val="00AF7523"/>
    <w:rsid w:val="00AF7560"/>
    <w:rsid w:val="00AF7562"/>
    <w:rsid w:val="00AF75A7"/>
    <w:rsid w:val="00AF772A"/>
    <w:rsid w:val="00AF77BA"/>
    <w:rsid w:val="00AF77E7"/>
    <w:rsid w:val="00AF77EE"/>
    <w:rsid w:val="00AF77F7"/>
    <w:rsid w:val="00AF7AD9"/>
    <w:rsid w:val="00AF7B06"/>
    <w:rsid w:val="00AF7C08"/>
    <w:rsid w:val="00AF7C81"/>
    <w:rsid w:val="00AF7CD8"/>
    <w:rsid w:val="00AF7D48"/>
    <w:rsid w:val="00AF7D9C"/>
    <w:rsid w:val="00AF7ED4"/>
    <w:rsid w:val="00AF7FD3"/>
    <w:rsid w:val="00B00059"/>
    <w:rsid w:val="00B0006D"/>
    <w:rsid w:val="00B000C0"/>
    <w:rsid w:val="00B00186"/>
    <w:rsid w:val="00B001C2"/>
    <w:rsid w:val="00B002A3"/>
    <w:rsid w:val="00B002BF"/>
    <w:rsid w:val="00B002DD"/>
    <w:rsid w:val="00B0048F"/>
    <w:rsid w:val="00B006BB"/>
    <w:rsid w:val="00B006CC"/>
    <w:rsid w:val="00B00701"/>
    <w:rsid w:val="00B00766"/>
    <w:rsid w:val="00B00838"/>
    <w:rsid w:val="00B008CC"/>
    <w:rsid w:val="00B0093B"/>
    <w:rsid w:val="00B00AA1"/>
    <w:rsid w:val="00B00AE4"/>
    <w:rsid w:val="00B00B8F"/>
    <w:rsid w:val="00B00C5D"/>
    <w:rsid w:val="00B00D46"/>
    <w:rsid w:val="00B00D64"/>
    <w:rsid w:val="00B00DC7"/>
    <w:rsid w:val="00B00E61"/>
    <w:rsid w:val="00B00E73"/>
    <w:rsid w:val="00B010D2"/>
    <w:rsid w:val="00B010FB"/>
    <w:rsid w:val="00B010FC"/>
    <w:rsid w:val="00B01114"/>
    <w:rsid w:val="00B0116A"/>
    <w:rsid w:val="00B0121E"/>
    <w:rsid w:val="00B013FA"/>
    <w:rsid w:val="00B01442"/>
    <w:rsid w:val="00B015A8"/>
    <w:rsid w:val="00B017D4"/>
    <w:rsid w:val="00B0183B"/>
    <w:rsid w:val="00B01968"/>
    <w:rsid w:val="00B01A08"/>
    <w:rsid w:val="00B01B1C"/>
    <w:rsid w:val="00B01BA8"/>
    <w:rsid w:val="00B01BE1"/>
    <w:rsid w:val="00B01C6F"/>
    <w:rsid w:val="00B01CD6"/>
    <w:rsid w:val="00B0207C"/>
    <w:rsid w:val="00B02355"/>
    <w:rsid w:val="00B0235D"/>
    <w:rsid w:val="00B02386"/>
    <w:rsid w:val="00B023D5"/>
    <w:rsid w:val="00B023E4"/>
    <w:rsid w:val="00B02495"/>
    <w:rsid w:val="00B024A1"/>
    <w:rsid w:val="00B02558"/>
    <w:rsid w:val="00B02568"/>
    <w:rsid w:val="00B025BD"/>
    <w:rsid w:val="00B0263E"/>
    <w:rsid w:val="00B027ED"/>
    <w:rsid w:val="00B02812"/>
    <w:rsid w:val="00B0294F"/>
    <w:rsid w:val="00B02973"/>
    <w:rsid w:val="00B02A4D"/>
    <w:rsid w:val="00B02B95"/>
    <w:rsid w:val="00B02C1B"/>
    <w:rsid w:val="00B02DB4"/>
    <w:rsid w:val="00B02F2B"/>
    <w:rsid w:val="00B02F6F"/>
    <w:rsid w:val="00B02F9F"/>
    <w:rsid w:val="00B03038"/>
    <w:rsid w:val="00B0307D"/>
    <w:rsid w:val="00B0315B"/>
    <w:rsid w:val="00B031BB"/>
    <w:rsid w:val="00B032CD"/>
    <w:rsid w:val="00B03394"/>
    <w:rsid w:val="00B0350F"/>
    <w:rsid w:val="00B03681"/>
    <w:rsid w:val="00B03725"/>
    <w:rsid w:val="00B03773"/>
    <w:rsid w:val="00B037B0"/>
    <w:rsid w:val="00B037F5"/>
    <w:rsid w:val="00B037F7"/>
    <w:rsid w:val="00B03864"/>
    <w:rsid w:val="00B0393A"/>
    <w:rsid w:val="00B03A03"/>
    <w:rsid w:val="00B03A2A"/>
    <w:rsid w:val="00B03AEF"/>
    <w:rsid w:val="00B03B1E"/>
    <w:rsid w:val="00B03B9D"/>
    <w:rsid w:val="00B03BE9"/>
    <w:rsid w:val="00B03D2F"/>
    <w:rsid w:val="00B03E6B"/>
    <w:rsid w:val="00B04180"/>
    <w:rsid w:val="00B041CF"/>
    <w:rsid w:val="00B041E8"/>
    <w:rsid w:val="00B0425E"/>
    <w:rsid w:val="00B04262"/>
    <w:rsid w:val="00B04286"/>
    <w:rsid w:val="00B04576"/>
    <w:rsid w:val="00B04648"/>
    <w:rsid w:val="00B0469C"/>
    <w:rsid w:val="00B0478B"/>
    <w:rsid w:val="00B04856"/>
    <w:rsid w:val="00B04857"/>
    <w:rsid w:val="00B048AF"/>
    <w:rsid w:val="00B04970"/>
    <w:rsid w:val="00B04A2B"/>
    <w:rsid w:val="00B04A34"/>
    <w:rsid w:val="00B04B46"/>
    <w:rsid w:val="00B04BE0"/>
    <w:rsid w:val="00B04C62"/>
    <w:rsid w:val="00B04D7A"/>
    <w:rsid w:val="00B050E1"/>
    <w:rsid w:val="00B05139"/>
    <w:rsid w:val="00B0513F"/>
    <w:rsid w:val="00B05303"/>
    <w:rsid w:val="00B05338"/>
    <w:rsid w:val="00B05423"/>
    <w:rsid w:val="00B056BD"/>
    <w:rsid w:val="00B057AB"/>
    <w:rsid w:val="00B057C6"/>
    <w:rsid w:val="00B05815"/>
    <w:rsid w:val="00B05847"/>
    <w:rsid w:val="00B0593C"/>
    <w:rsid w:val="00B059A4"/>
    <w:rsid w:val="00B05A31"/>
    <w:rsid w:val="00B05BBC"/>
    <w:rsid w:val="00B05BCA"/>
    <w:rsid w:val="00B05C36"/>
    <w:rsid w:val="00B05DF9"/>
    <w:rsid w:val="00B0605A"/>
    <w:rsid w:val="00B06119"/>
    <w:rsid w:val="00B06227"/>
    <w:rsid w:val="00B06294"/>
    <w:rsid w:val="00B062D7"/>
    <w:rsid w:val="00B063DF"/>
    <w:rsid w:val="00B063E9"/>
    <w:rsid w:val="00B0649C"/>
    <w:rsid w:val="00B06598"/>
    <w:rsid w:val="00B06673"/>
    <w:rsid w:val="00B0668F"/>
    <w:rsid w:val="00B06728"/>
    <w:rsid w:val="00B06785"/>
    <w:rsid w:val="00B069E8"/>
    <w:rsid w:val="00B06A10"/>
    <w:rsid w:val="00B06A81"/>
    <w:rsid w:val="00B06AFB"/>
    <w:rsid w:val="00B06E81"/>
    <w:rsid w:val="00B06F62"/>
    <w:rsid w:val="00B06F70"/>
    <w:rsid w:val="00B0703E"/>
    <w:rsid w:val="00B07115"/>
    <w:rsid w:val="00B0721A"/>
    <w:rsid w:val="00B072B2"/>
    <w:rsid w:val="00B07382"/>
    <w:rsid w:val="00B073A7"/>
    <w:rsid w:val="00B07654"/>
    <w:rsid w:val="00B076D6"/>
    <w:rsid w:val="00B07755"/>
    <w:rsid w:val="00B077AC"/>
    <w:rsid w:val="00B077E0"/>
    <w:rsid w:val="00B07844"/>
    <w:rsid w:val="00B0787D"/>
    <w:rsid w:val="00B078B6"/>
    <w:rsid w:val="00B0792B"/>
    <w:rsid w:val="00B07A37"/>
    <w:rsid w:val="00B07AEF"/>
    <w:rsid w:val="00B07B61"/>
    <w:rsid w:val="00B07B7C"/>
    <w:rsid w:val="00B07C06"/>
    <w:rsid w:val="00B07C1A"/>
    <w:rsid w:val="00B07C23"/>
    <w:rsid w:val="00B07E1D"/>
    <w:rsid w:val="00B07E4D"/>
    <w:rsid w:val="00B07EF6"/>
    <w:rsid w:val="00B1018E"/>
    <w:rsid w:val="00B10225"/>
    <w:rsid w:val="00B10244"/>
    <w:rsid w:val="00B102F6"/>
    <w:rsid w:val="00B1032B"/>
    <w:rsid w:val="00B10445"/>
    <w:rsid w:val="00B104CB"/>
    <w:rsid w:val="00B105F2"/>
    <w:rsid w:val="00B10638"/>
    <w:rsid w:val="00B106C9"/>
    <w:rsid w:val="00B106CF"/>
    <w:rsid w:val="00B10730"/>
    <w:rsid w:val="00B1089B"/>
    <w:rsid w:val="00B1092E"/>
    <w:rsid w:val="00B10A8D"/>
    <w:rsid w:val="00B10A97"/>
    <w:rsid w:val="00B10B7D"/>
    <w:rsid w:val="00B10C75"/>
    <w:rsid w:val="00B10CB7"/>
    <w:rsid w:val="00B10CC6"/>
    <w:rsid w:val="00B10D5C"/>
    <w:rsid w:val="00B10DCB"/>
    <w:rsid w:val="00B10E4D"/>
    <w:rsid w:val="00B10F13"/>
    <w:rsid w:val="00B1121E"/>
    <w:rsid w:val="00B11283"/>
    <w:rsid w:val="00B112BE"/>
    <w:rsid w:val="00B1131F"/>
    <w:rsid w:val="00B11390"/>
    <w:rsid w:val="00B1140A"/>
    <w:rsid w:val="00B11701"/>
    <w:rsid w:val="00B117CB"/>
    <w:rsid w:val="00B11869"/>
    <w:rsid w:val="00B119BE"/>
    <w:rsid w:val="00B11B18"/>
    <w:rsid w:val="00B11B99"/>
    <w:rsid w:val="00B11C25"/>
    <w:rsid w:val="00B11C43"/>
    <w:rsid w:val="00B11D66"/>
    <w:rsid w:val="00B12218"/>
    <w:rsid w:val="00B122BC"/>
    <w:rsid w:val="00B12366"/>
    <w:rsid w:val="00B125C9"/>
    <w:rsid w:val="00B1266D"/>
    <w:rsid w:val="00B1272C"/>
    <w:rsid w:val="00B12914"/>
    <w:rsid w:val="00B1298D"/>
    <w:rsid w:val="00B129B2"/>
    <w:rsid w:val="00B12B43"/>
    <w:rsid w:val="00B12C79"/>
    <w:rsid w:val="00B12CD5"/>
    <w:rsid w:val="00B12DEB"/>
    <w:rsid w:val="00B12E94"/>
    <w:rsid w:val="00B12F35"/>
    <w:rsid w:val="00B12F91"/>
    <w:rsid w:val="00B13035"/>
    <w:rsid w:val="00B131E8"/>
    <w:rsid w:val="00B13239"/>
    <w:rsid w:val="00B132B9"/>
    <w:rsid w:val="00B13377"/>
    <w:rsid w:val="00B13396"/>
    <w:rsid w:val="00B133E8"/>
    <w:rsid w:val="00B133ED"/>
    <w:rsid w:val="00B13580"/>
    <w:rsid w:val="00B13602"/>
    <w:rsid w:val="00B13674"/>
    <w:rsid w:val="00B136FE"/>
    <w:rsid w:val="00B137BC"/>
    <w:rsid w:val="00B1382C"/>
    <w:rsid w:val="00B13924"/>
    <w:rsid w:val="00B13954"/>
    <w:rsid w:val="00B13A6C"/>
    <w:rsid w:val="00B13B1E"/>
    <w:rsid w:val="00B13B2D"/>
    <w:rsid w:val="00B13BF9"/>
    <w:rsid w:val="00B13C8F"/>
    <w:rsid w:val="00B13ECA"/>
    <w:rsid w:val="00B140A6"/>
    <w:rsid w:val="00B140EC"/>
    <w:rsid w:val="00B141DF"/>
    <w:rsid w:val="00B142B4"/>
    <w:rsid w:val="00B14424"/>
    <w:rsid w:val="00B1445B"/>
    <w:rsid w:val="00B14516"/>
    <w:rsid w:val="00B1451F"/>
    <w:rsid w:val="00B1452E"/>
    <w:rsid w:val="00B14537"/>
    <w:rsid w:val="00B1457B"/>
    <w:rsid w:val="00B14723"/>
    <w:rsid w:val="00B14727"/>
    <w:rsid w:val="00B1483C"/>
    <w:rsid w:val="00B1495E"/>
    <w:rsid w:val="00B14A06"/>
    <w:rsid w:val="00B14AC1"/>
    <w:rsid w:val="00B14CDB"/>
    <w:rsid w:val="00B14CFD"/>
    <w:rsid w:val="00B14D04"/>
    <w:rsid w:val="00B14D54"/>
    <w:rsid w:val="00B14D6E"/>
    <w:rsid w:val="00B14D8C"/>
    <w:rsid w:val="00B14DCC"/>
    <w:rsid w:val="00B14E11"/>
    <w:rsid w:val="00B14E14"/>
    <w:rsid w:val="00B1505F"/>
    <w:rsid w:val="00B150E4"/>
    <w:rsid w:val="00B150FB"/>
    <w:rsid w:val="00B1515D"/>
    <w:rsid w:val="00B153FB"/>
    <w:rsid w:val="00B154A9"/>
    <w:rsid w:val="00B1553F"/>
    <w:rsid w:val="00B155DE"/>
    <w:rsid w:val="00B15660"/>
    <w:rsid w:val="00B156BA"/>
    <w:rsid w:val="00B15717"/>
    <w:rsid w:val="00B1582D"/>
    <w:rsid w:val="00B159B0"/>
    <w:rsid w:val="00B15A72"/>
    <w:rsid w:val="00B15AE5"/>
    <w:rsid w:val="00B15AF1"/>
    <w:rsid w:val="00B15B4D"/>
    <w:rsid w:val="00B15C53"/>
    <w:rsid w:val="00B15CAC"/>
    <w:rsid w:val="00B15CDC"/>
    <w:rsid w:val="00B15D65"/>
    <w:rsid w:val="00B15D83"/>
    <w:rsid w:val="00B15DC3"/>
    <w:rsid w:val="00B15E3B"/>
    <w:rsid w:val="00B15EC9"/>
    <w:rsid w:val="00B15FC0"/>
    <w:rsid w:val="00B15FDC"/>
    <w:rsid w:val="00B16097"/>
    <w:rsid w:val="00B160CC"/>
    <w:rsid w:val="00B16118"/>
    <w:rsid w:val="00B161EB"/>
    <w:rsid w:val="00B1634A"/>
    <w:rsid w:val="00B164F7"/>
    <w:rsid w:val="00B16565"/>
    <w:rsid w:val="00B16629"/>
    <w:rsid w:val="00B1678E"/>
    <w:rsid w:val="00B16AB6"/>
    <w:rsid w:val="00B16D1E"/>
    <w:rsid w:val="00B16DD7"/>
    <w:rsid w:val="00B16EEE"/>
    <w:rsid w:val="00B16F14"/>
    <w:rsid w:val="00B16F76"/>
    <w:rsid w:val="00B16FD3"/>
    <w:rsid w:val="00B16FEB"/>
    <w:rsid w:val="00B172BA"/>
    <w:rsid w:val="00B17360"/>
    <w:rsid w:val="00B173F7"/>
    <w:rsid w:val="00B176E3"/>
    <w:rsid w:val="00B17731"/>
    <w:rsid w:val="00B17784"/>
    <w:rsid w:val="00B177FC"/>
    <w:rsid w:val="00B17868"/>
    <w:rsid w:val="00B17870"/>
    <w:rsid w:val="00B17B6F"/>
    <w:rsid w:val="00B17B8C"/>
    <w:rsid w:val="00B17CBD"/>
    <w:rsid w:val="00B17CFF"/>
    <w:rsid w:val="00B17EA7"/>
    <w:rsid w:val="00B17F8F"/>
    <w:rsid w:val="00B2001C"/>
    <w:rsid w:val="00B2009A"/>
    <w:rsid w:val="00B200A6"/>
    <w:rsid w:val="00B200F7"/>
    <w:rsid w:val="00B20193"/>
    <w:rsid w:val="00B201FF"/>
    <w:rsid w:val="00B2032A"/>
    <w:rsid w:val="00B203E6"/>
    <w:rsid w:val="00B2043F"/>
    <w:rsid w:val="00B205DB"/>
    <w:rsid w:val="00B20719"/>
    <w:rsid w:val="00B20721"/>
    <w:rsid w:val="00B20733"/>
    <w:rsid w:val="00B20851"/>
    <w:rsid w:val="00B208CE"/>
    <w:rsid w:val="00B20A02"/>
    <w:rsid w:val="00B20AB1"/>
    <w:rsid w:val="00B20AD9"/>
    <w:rsid w:val="00B20BD1"/>
    <w:rsid w:val="00B20C7A"/>
    <w:rsid w:val="00B20D52"/>
    <w:rsid w:val="00B20DD0"/>
    <w:rsid w:val="00B20F54"/>
    <w:rsid w:val="00B20F6C"/>
    <w:rsid w:val="00B2112D"/>
    <w:rsid w:val="00B2135C"/>
    <w:rsid w:val="00B213C4"/>
    <w:rsid w:val="00B2142D"/>
    <w:rsid w:val="00B21485"/>
    <w:rsid w:val="00B214A9"/>
    <w:rsid w:val="00B2156D"/>
    <w:rsid w:val="00B215D1"/>
    <w:rsid w:val="00B216A0"/>
    <w:rsid w:val="00B2171F"/>
    <w:rsid w:val="00B2176E"/>
    <w:rsid w:val="00B21831"/>
    <w:rsid w:val="00B21876"/>
    <w:rsid w:val="00B2197E"/>
    <w:rsid w:val="00B219C1"/>
    <w:rsid w:val="00B21A55"/>
    <w:rsid w:val="00B21AE6"/>
    <w:rsid w:val="00B21B08"/>
    <w:rsid w:val="00B21B30"/>
    <w:rsid w:val="00B21C95"/>
    <w:rsid w:val="00B21CAA"/>
    <w:rsid w:val="00B21E09"/>
    <w:rsid w:val="00B21EA8"/>
    <w:rsid w:val="00B21F26"/>
    <w:rsid w:val="00B21FE8"/>
    <w:rsid w:val="00B22010"/>
    <w:rsid w:val="00B2222B"/>
    <w:rsid w:val="00B2233A"/>
    <w:rsid w:val="00B22377"/>
    <w:rsid w:val="00B22457"/>
    <w:rsid w:val="00B224E2"/>
    <w:rsid w:val="00B22715"/>
    <w:rsid w:val="00B229C3"/>
    <w:rsid w:val="00B22A4C"/>
    <w:rsid w:val="00B22A55"/>
    <w:rsid w:val="00B22B72"/>
    <w:rsid w:val="00B22BC1"/>
    <w:rsid w:val="00B22CA4"/>
    <w:rsid w:val="00B22DE7"/>
    <w:rsid w:val="00B22EC7"/>
    <w:rsid w:val="00B22ED5"/>
    <w:rsid w:val="00B22F58"/>
    <w:rsid w:val="00B22F65"/>
    <w:rsid w:val="00B22FA0"/>
    <w:rsid w:val="00B23259"/>
    <w:rsid w:val="00B23378"/>
    <w:rsid w:val="00B2339A"/>
    <w:rsid w:val="00B233C4"/>
    <w:rsid w:val="00B23512"/>
    <w:rsid w:val="00B2351E"/>
    <w:rsid w:val="00B2352F"/>
    <w:rsid w:val="00B235AE"/>
    <w:rsid w:val="00B235F5"/>
    <w:rsid w:val="00B23619"/>
    <w:rsid w:val="00B23699"/>
    <w:rsid w:val="00B236BB"/>
    <w:rsid w:val="00B236E8"/>
    <w:rsid w:val="00B236EA"/>
    <w:rsid w:val="00B2373D"/>
    <w:rsid w:val="00B23777"/>
    <w:rsid w:val="00B238FF"/>
    <w:rsid w:val="00B23944"/>
    <w:rsid w:val="00B23B42"/>
    <w:rsid w:val="00B23B7C"/>
    <w:rsid w:val="00B23BCB"/>
    <w:rsid w:val="00B23C45"/>
    <w:rsid w:val="00B23C65"/>
    <w:rsid w:val="00B23DB9"/>
    <w:rsid w:val="00B23DE7"/>
    <w:rsid w:val="00B23E21"/>
    <w:rsid w:val="00B23E53"/>
    <w:rsid w:val="00B23E6F"/>
    <w:rsid w:val="00B23FB5"/>
    <w:rsid w:val="00B2405B"/>
    <w:rsid w:val="00B240A5"/>
    <w:rsid w:val="00B24133"/>
    <w:rsid w:val="00B24158"/>
    <w:rsid w:val="00B241CE"/>
    <w:rsid w:val="00B2421D"/>
    <w:rsid w:val="00B242EB"/>
    <w:rsid w:val="00B2437A"/>
    <w:rsid w:val="00B24431"/>
    <w:rsid w:val="00B24456"/>
    <w:rsid w:val="00B24644"/>
    <w:rsid w:val="00B246A9"/>
    <w:rsid w:val="00B24954"/>
    <w:rsid w:val="00B24AD9"/>
    <w:rsid w:val="00B24BD4"/>
    <w:rsid w:val="00B24C38"/>
    <w:rsid w:val="00B24C46"/>
    <w:rsid w:val="00B24CB8"/>
    <w:rsid w:val="00B24F7A"/>
    <w:rsid w:val="00B25006"/>
    <w:rsid w:val="00B250A2"/>
    <w:rsid w:val="00B25269"/>
    <w:rsid w:val="00B252DF"/>
    <w:rsid w:val="00B254BE"/>
    <w:rsid w:val="00B254C0"/>
    <w:rsid w:val="00B25643"/>
    <w:rsid w:val="00B25675"/>
    <w:rsid w:val="00B25842"/>
    <w:rsid w:val="00B258FF"/>
    <w:rsid w:val="00B2597C"/>
    <w:rsid w:val="00B25A84"/>
    <w:rsid w:val="00B25C13"/>
    <w:rsid w:val="00B25C43"/>
    <w:rsid w:val="00B25CC7"/>
    <w:rsid w:val="00B25CF5"/>
    <w:rsid w:val="00B25D0E"/>
    <w:rsid w:val="00B25D50"/>
    <w:rsid w:val="00B25FCF"/>
    <w:rsid w:val="00B2600A"/>
    <w:rsid w:val="00B26036"/>
    <w:rsid w:val="00B2613E"/>
    <w:rsid w:val="00B2616A"/>
    <w:rsid w:val="00B262BD"/>
    <w:rsid w:val="00B2632B"/>
    <w:rsid w:val="00B2647B"/>
    <w:rsid w:val="00B2649A"/>
    <w:rsid w:val="00B2653B"/>
    <w:rsid w:val="00B26585"/>
    <w:rsid w:val="00B2665C"/>
    <w:rsid w:val="00B2686C"/>
    <w:rsid w:val="00B2688A"/>
    <w:rsid w:val="00B268D7"/>
    <w:rsid w:val="00B26997"/>
    <w:rsid w:val="00B269B6"/>
    <w:rsid w:val="00B269B7"/>
    <w:rsid w:val="00B269C8"/>
    <w:rsid w:val="00B26A0A"/>
    <w:rsid w:val="00B26A18"/>
    <w:rsid w:val="00B26AC0"/>
    <w:rsid w:val="00B26BBE"/>
    <w:rsid w:val="00B26BD5"/>
    <w:rsid w:val="00B26C11"/>
    <w:rsid w:val="00B26C5B"/>
    <w:rsid w:val="00B26C62"/>
    <w:rsid w:val="00B26D1A"/>
    <w:rsid w:val="00B26E95"/>
    <w:rsid w:val="00B26F62"/>
    <w:rsid w:val="00B26F7C"/>
    <w:rsid w:val="00B26FA1"/>
    <w:rsid w:val="00B26FD5"/>
    <w:rsid w:val="00B26FFB"/>
    <w:rsid w:val="00B271D1"/>
    <w:rsid w:val="00B27341"/>
    <w:rsid w:val="00B2737C"/>
    <w:rsid w:val="00B27387"/>
    <w:rsid w:val="00B27479"/>
    <w:rsid w:val="00B274C0"/>
    <w:rsid w:val="00B2759C"/>
    <w:rsid w:val="00B2763A"/>
    <w:rsid w:val="00B27687"/>
    <w:rsid w:val="00B276BB"/>
    <w:rsid w:val="00B277EC"/>
    <w:rsid w:val="00B278D9"/>
    <w:rsid w:val="00B279C8"/>
    <w:rsid w:val="00B27B71"/>
    <w:rsid w:val="00B27C33"/>
    <w:rsid w:val="00B27D58"/>
    <w:rsid w:val="00B27D9A"/>
    <w:rsid w:val="00B27FDA"/>
    <w:rsid w:val="00B300AA"/>
    <w:rsid w:val="00B3016A"/>
    <w:rsid w:val="00B30188"/>
    <w:rsid w:val="00B301D4"/>
    <w:rsid w:val="00B30230"/>
    <w:rsid w:val="00B3026B"/>
    <w:rsid w:val="00B3027B"/>
    <w:rsid w:val="00B303DE"/>
    <w:rsid w:val="00B30464"/>
    <w:rsid w:val="00B304C7"/>
    <w:rsid w:val="00B304D1"/>
    <w:rsid w:val="00B3059D"/>
    <w:rsid w:val="00B305E0"/>
    <w:rsid w:val="00B30601"/>
    <w:rsid w:val="00B3077C"/>
    <w:rsid w:val="00B30815"/>
    <w:rsid w:val="00B30816"/>
    <w:rsid w:val="00B3090B"/>
    <w:rsid w:val="00B3090E"/>
    <w:rsid w:val="00B3092E"/>
    <w:rsid w:val="00B30932"/>
    <w:rsid w:val="00B30952"/>
    <w:rsid w:val="00B30A83"/>
    <w:rsid w:val="00B30AD7"/>
    <w:rsid w:val="00B30B09"/>
    <w:rsid w:val="00B30B79"/>
    <w:rsid w:val="00B30C0C"/>
    <w:rsid w:val="00B30C61"/>
    <w:rsid w:val="00B30D72"/>
    <w:rsid w:val="00B30F18"/>
    <w:rsid w:val="00B30F31"/>
    <w:rsid w:val="00B30FDB"/>
    <w:rsid w:val="00B310A7"/>
    <w:rsid w:val="00B310A8"/>
    <w:rsid w:val="00B311DE"/>
    <w:rsid w:val="00B31245"/>
    <w:rsid w:val="00B312BE"/>
    <w:rsid w:val="00B3130F"/>
    <w:rsid w:val="00B31344"/>
    <w:rsid w:val="00B31420"/>
    <w:rsid w:val="00B314FD"/>
    <w:rsid w:val="00B31722"/>
    <w:rsid w:val="00B3172A"/>
    <w:rsid w:val="00B31A42"/>
    <w:rsid w:val="00B31B36"/>
    <w:rsid w:val="00B31B70"/>
    <w:rsid w:val="00B31BC3"/>
    <w:rsid w:val="00B31C33"/>
    <w:rsid w:val="00B31C7D"/>
    <w:rsid w:val="00B31D25"/>
    <w:rsid w:val="00B31DEA"/>
    <w:rsid w:val="00B31EB3"/>
    <w:rsid w:val="00B31F06"/>
    <w:rsid w:val="00B31F8B"/>
    <w:rsid w:val="00B3200D"/>
    <w:rsid w:val="00B32612"/>
    <w:rsid w:val="00B32628"/>
    <w:rsid w:val="00B3267C"/>
    <w:rsid w:val="00B32714"/>
    <w:rsid w:val="00B3278B"/>
    <w:rsid w:val="00B327A8"/>
    <w:rsid w:val="00B327C4"/>
    <w:rsid w:val="00B328D2"/>
    <w:rsid w:val="00B32993"/>
    <w:rsid w:val="00B329DB"/>
    <w:rsid w:val="00B32B3C"/>
    <w:rsid w:val="00B32B49"/>
    <w:rsid w:val="00B32CB0"/>
    <w:rsid w:val="00B32D0C"/>
    <w:rsid w:val="00B32DCB"/>
    <w:rsid w:val="00B32E3E"/>
    <w:rsid w:val="00B32EB6"/>
    <w:rsid w:val="00B32FEA"/>
    <w:rsid w:val="00B32FFE"/>
    <w:rsid w:val="00B33123"/>
    <w:rsid w:val="00B33233"/>
    <w:rsid w:val="00B3323C"/>
    <w:rsid w:val="00B33288"/>
    <w:rsid w:val="00B3328F"/>
    <w:rsid w:val="00B3329B"/>
    <w:rsid w:val="00B332EE"/>
    <w:rsid w:val="00B333B2"/>
    <w:rsid w:val="00B33448"/>
    <w:rsid w:val="00B334F5"/>
    <w:rsid w:val="00B3357E"/>
    <w:rsid w:val="00B335CE"/>
    <w:rsid w:val="00B335DE"/>
    <w:rsid w:val="00B337A8"/>
    <w:rsid w:val="00B338FF"/>
    <w:rsid w:val="00B33920"/>
    <w:rsid w:val="00B3396A"/>
    <w:rsid w:val="00B33977"/>
    <w:rsid w:val="00B3397E"/>
    <w:rsid w:val="00B33A39"/>
    <w:rsid w:val="00B33C26"/>
    <w:rsid w:val="00B33C43"/>
    <w:rsid w:val="00B33CE1"/>
    <w:rsid w:val="00B33D00"/>
    <w:rsid w:val="00B33E9A"/>
    <w:rsid w:val="00B33F4A"/>
    <w:rsid w:val="00B3402C"/>
    <w:rsid w:val="00B34164"/>
    <w:rsid w:val="00B342D0"/>
    <w:rsid w:val="00B342F6"/>
    <w:rsid w:val="00B34325"/>
    <w:rsid w:val="00B344AB"/>
    <w:rsid w:val="00B344C2"/>
    <w:rsid w:val="00B3467B"/>
    <w:rsid w:val="00B346D8"/>
    <w:rsid w:val="00B34796"/>
    <w:rsid w:val="00B34973"/>
    <w:rsid w:val="00B34A4B"/>
    <w:rsid w:val="00B34A56"/>
    <w:rsid w:val="00B34B01"/>
    <w:rsid w:val="00B34B60"/>
    <w:rsid w:val="00B34B80"/>
    <w:rsid w:val="00B34D22"/>
    <w:rsid w:val="00B34E9A"/>
    <w:rsid w:val="00B34F35"/>
    <w:rsid w:val="00B34F53"/>
    <w:rsid w:val="00B34F57"/>
    <w:rsid w:val="00B34FA8"/>
    <w:rsid w:val="00B35110"/>
    <w:rsid w:val="00B35114"/>
    <w:rsid w:val="00B35241"/>
    <w:rsid w:val="00B3545C"/>
    <w:rsid w:val="00B35637"/>
    <w:rsid w:val="00B35651"/>
    <w:rsid w:val="00B35690"/>
    <w:rsid w:val="00B35962"/>
    <w:rsid w:val="00B35A43"/>
    <w:rsid w:val="00B35A62"/>
    <w:rsid w:val="00B35A8F"/>
    <w:rsid w:val="00B35B4C"/>
    <w:rsid w:val="00B35B80"/>
    <w:rsid w:val="00B35D8D"/>
    <w:rsid w:val="00B35DCE"/>
    <w:rsid w:val="00B35E11"/>
    <w:rsid w:val="00B35E39"/>
    <w:rsid w:val="00B35E74"/>
    <w:rsid w:val="00B36013"/>
    <w:rsid w:val="00B36042"/>
    <w:rsid w:val="00B36146"/>
    <w:rsid w:val="00B36156"/>
    <w:rsid w:val="00B361A7"/>
    <w:rsid w:val="00B3623F"/>
    <w:rsid w:val="00B362C1"/>
    <w:rsid w:val="00B364DB"/>
    <w:rsid w:val="00B365CD"/>
    <w:rsid w:val="00B36686"/>
    <w:rsid w:val="00B367B5"/>
    <w:rsid w:val="00B368F1"/>
    <w:rsid w:val="00B36944"/>
    <w:rsid w:val="00B3696A"/>
    <w:rsid w:val="00B36A1E"/>
    <w:rsid w:val="00B36ADF"/>
    <w:rsid w:val="00B36B2A"/>
    <w:rsid w:val="00B36B63"/>
    <w:rsid w:val="00B36BE6"/>
    <w:rsid w:val="00B36DDC"/>
    <w:rsid w:val="00B3700D"/>
    <w:rsid w:val="00B37073"/>
    <w:rsid w:val="00B370AE"/>
    <w:rsid w:val="00B3722D"/>
    <w:rsid w:val="00B372CB"/>
    <w:rsid w:val="00B372CE"/>
    <w:rsid w:val="00B374F6"/>
    <w:rsid w:val="00B37571"/>
    <w:rsid w:val="00B375A3"/>
    <w:rsid w:val="00B375BC"/>
    <w:rsid w:val="00B379C2"/>
    <w:rsid w:val="00B379EC"/>
    <w:rsid w:val="00B37A15"/>
    <w:rsid w:val="00B37B31"/>
    <w:rsid w:val="00B37C06"/>
    <w:rsid w:val="00B37DFE"/>
    <w:rsid w:val="00B37E0E"/>
    <w:rsid w:val="00B37E12"/>
    <w:rsid w:val="00B37FD7"/>
    <w:rsid w:val="00B40004"/>
    <w:rsid w:val="00B4008D"/>
    <w:rsid w:val="00B40091"/>
    <w:rsid w:val="00B4045A"/>
    <w:rsid w:val="00B40691"/>
    <w:rsid w:val="00B406DE"/>
    <w:rsid w:val="00B407DB"/>
    <w:rsid w:val="00B408C4"/>
    <w:rsid w:val="00B4097B"/>
    <w:rsid w:val="00B40A63"/>
    <w:rsid w:val="00B40B17"/>
    <w:rsid w:val="00B40BBE"/>
    <w:rsid w:val="00B40BEB"/>
    <w:rsid w:val="00B40D46"/>
    <w:rsid w:val="00B40DC1"/>
    <w:rsid w:val="00B40EAF"/>
    <w:rsid w:val="00B40F05"/>
    <w:rsid w:val="00B40F08"/>
    <w:rsid w:val="00B40FE4"/>
    <w:rsid w:val="00B41008"/>
    <w:rsid w:val="00B4119C"/>
    <w:rsid w:val="00B41297"/>
    <w:rsid w:val="00B41330"/>
    <w:rsid w:val="00B413C8"/>
    <w:rsid w:val="00B41428"/>
    <w:rsid w:val="00B414A6"/>
    <w:rsid w:val="00B4174E"/>
    <w:rsid w:val="00B41812"/>
    <w:rsid w:val="00B4181A"/>
    <w:rsid w:val="00B41870"/>
    <w:rsid w:val="00B418D6"/>
    <w:rsid w:val="00B41946"/>
    <w:rsid w:val="00B41A4A"/>
    <w:rsid w:val="00B41ADF"/>
    <w:rsid w:val="00B41BF3"/>
    <w:rsid w:val="00B41C15"/>
    <w:rsid w:val="00B41CB1"/>
    <w:rsid w:val="00B41CF5"/>
    <w:rsid w:val="00B41D6C"/>
    <w:rsid w:val="00B41DC2"/>
    <w:rsid w:val="00B41E7F"/>
    <w:rsid w:val="00B41E85"/>
    <w:rsid w:val="00B41FBF"/>
    <w:rsid w:val="00B42003"/>
    <w:rsid w:val="00B420FD"/>
    <w:rsid w:val="00B4213E"/>
    <w:rsid w:val="00B424A5"/>
    <w:rsid w:val="00B424A6"/>
    <w:rsid w:val="00B424B4"/>
    <w:rsid w:val="00B424E9"/>
    <w:rsid w:val="00B4252D"/>
    <w:rsid w:val="00B42589"/>
    <w:rsid w:val="00B425AF"/>
    <w:rsid w:val="00B425E1"/>
    <w:rsid w:val="00B4261E"/>
    <w:rsid w:val="00B4272B"/>
    <w:rsid w:val="00B42769"/>
    <w:rsid w:val="00B427E4"/>
    <w:rsid w:val="00B428AE"/>
    <w:rsid w:val="00B42A50"/>
    <w:rsid w:val="00B42A76"/>
    <w:rsid w:val="00B42B22"/>
    <w:rsid w:val="00B42B3B"/>
    <w:rsid w:val="00B42C69"/>
    <w:rsid w:val="00B42C9B"/>
    <w:rsid w:val="00B42E0C"/>
    <w:rsid w:val="00B42E1A"/>
    <w:rsid w:val="00B42E2C"/>
    <w:rsid w:val="00B42E86"/>
    <w:rsid w:val="00B42F33"/>
    <w:rsid w:val="00B43006"/>
    <w:rsid w:val="00B4301B"/>
    <w:rsid w:val="00B4320A"/>
    <w:rsid w:val="00B43265"/>
    <w:rsid w:val="00B43273"/>
    <w:rsid w:val="00B433C1"/>
    <w:rsid w:val="00B433C5"/>
    <w:rsid w:val="00B4352F"/>
    <w:rsid w:val="00B4359D"/>
    <w:rsid w:val="00B435F3"/>
    <w:rsid w:val="00B435F6"/>
    <w:rsid w:val="00B4363C"/>
    <w:rsid w:val="00B43795"/>
    <w:rsid w:val="00B4380C"/>
    <w:rsid w:val="00B43B73"/>
    <w:rsid w:val="00B43BB2"/>
    <w:rsid w:val="00B43C16"/>
    <w:rsid w:val="00B43EAA"/>
    <w:rsid w:val="00B44000"/>
    <w:rsid w:val="00B44037"/>
    <w:rsid w:val="00B440FE"/>
    <w:rsid w:val="00B44120"/>
    <w:rsid w:val="00B441F4"/>
    <w:rsid w:val="00B442A3"/>
    <w:rsid w:val="00B44381"/>
    <w:rsid w:val="00B44601"/>
    <w:rsid w:val="00B446F1"/>
    <w:rsid w:val="00B44736"/>
    <w:rsid w:val="00B447A6"/>
    <w:rsid w:val="00B447DC"/>
    <w:rsid w:val="00B44965"/>
    <w:rsid w:val="00B44BB0"/>
    <w:rsid w:val="00B44BFB"/>
    <w:rsid w:val="00B44CD5"/>
    <w:rsid w:val="00B44CEE"/>
    <w:rsid w:val="00B44D6E"/>
    <w:rsid w:val="00B44E99"/>
    <w:rsid w:val="00B44F0C"/>
    <w:rsid w:val="00B45024"/>
    <w:rsid w:val="00B450A6"/>
    <w:rsid w:val="00B451C0"/>
    <w:rsid w:val="00B451D2"/>
    <w:rsid w:val="00B452D6"/>
    <w:rsid w:val="00B453A3"/>
    <w:rsid w:val="00B453A9"/>
    <w:rsid w:val="00B453D4"/>
    <w:rsid w:val="00B45407"/>
    <w:rsid w:val="00B4548C"/>
    <w:rsid w:val="00B454C2"/>
    <w:rsid w:val="00B4559F"/>
    <w:rsid w:val="00B456DF"/>
    <w:rsid w:val="00B4570D"/>
    <w:rsid w:val="00B458F2"/>
    <w:rsid w:val="00B45B68"/>
    <w:rsid w:val="00B45B95"/>
    <w:rsid w:val="00B45B9F"/>
    <w:rsid w:val="00B45F69"/>
    <w:rsid w:val="00B46051"/>
    <w:rsid w:val="00B4619A"/>
    <w:rsid w:val="00B464D7"/>
    <w:rsid w:val="00B467DE"/>
    <w:rsid w:val="00B46A63"/>
    <w:rsid w:val="00B46CB0"/>
    <w:rsid w:val="00B46DC4"/>
    <w:rsid w:val="00B46DE6"/>
    <w:rsid w:val="00B46DF2"/>
    <w:rsid w:val="00B46EE0"/>
    <w:rsid w:val="00B46F6A"/>
    <w:rsid w:val="00B4700B"/>
    <w:rsid w:val="00B470AA"/>
    <w:rsid w:val="00B4714F"/>
    <w:rsid w:val="00B471F6"/>
    <w:rsid w:val="00B474DD"/>
    <w:rsid w:val="00B4752F"/>
    <w:rsid w:val="00B47696"/>
    <w:rsid w:val="00B47715"/>
    <w:rsid w:val="00B47718"/>
    <w:rsid w:val="00B4772D"/>
    <w:rsid w:val="00B47868"/>
    <w:rsid w:val="00B479C3"/>
    <w:rsid w:val="00B47AED"/>
    <w:rsid w:val="00B47CBA"/>
    <w:rsid w:val="00B47D33"/>
    <w:rsid w:val="00B47DBB"/>
    <w:rsid w:val="00B47FCD"/>
    <w:rsid w:val="00B500BA"/>
    <w:rsid w:val="00B5018A"/>
    <w:rsid w:val="00B50228"/>
    <w:rsid w:val="00B50326"/>
    <w:rsid w:val="00B50362"/>
    <w:rsid w:val="00B503C2"/>
    <w:rsid w:val="00B50701"/>
    <w:rsid w:val="00B50854"/>
    <w:rsid w:val="00B508E8"/>
    <w:rsid w:val="00B50931"/>
    <w:rsid w:val="00B5099F"/>
    <w:rsid w:val="00B50A50"/>
    <w:rsid w:val="00B50BBA"/>
    <w:rsid w:val="00B50BDC"/>
    <w:rsid w:val="00B50BE3"/>
    <w:rsid w:val="00B50C44"/>
    <w:rsid w:val="00B50E6F"/>
    <w:rsid w:val="00B50FE2"/>
    <w:rsid w:val="00B51016"/>
    <w:rsid w:val="00B51122"/>
    <w:rsid w:val="00B51279"/>
    <w:rsid w:val="00B512DC"/>
    <w:rsid w:val="00B51384"/>
    <w:rsid w:val="00B51393"/>
    <w:rsid w:val="00B51491"/>
    <w:rsid w:val="00B514A6"/>
    <w:rsid w:val="00B517D9"/>
    <w:rsid w:val="00B517FC"/>
    <w:rsid w:val="00B51836"/>
    <w:rsid w:val="00B5199F"/>
    <w:rsid w:val="00B519FC"/>
    <w:rsid w:val="00B51B27"/>
    <w:rsid w:val="00B51B32"/>
    <w:rsid w:val="00B51CEB"/>
    <w:rsid w:val="00B51DDD"/>
    <w:rsid w:val="00B51E88"/>
    <w:rsid w:val="00B51F69"/>
    <w:rsid w:val="00B5204A"/>
    <w:rsid w:val="00B52066"/>
    <w:rsid w:val="00B520F4"/>
    <w:rsid w:val="00B52150"/>
    <w:rsid w:val="00B52161"/>
    <w:rsid w:val="00B52252"/>
    <w:rsid w:val="00B524CE"/>
    <w:rsid w:val="00B5266A"/>
    <w:rsid w:val="00B5269F"/>
    <w:rsid w:val="00B52765"/>
    <w:rsid w:val="00B5276A"/>
    <w:rsid w:val="00B527BA"/>
    <w:rsid w:val="00B5281D"/>
    <w:rsid w:val="00B52991"/>
    <w:rsid w:val="00B52AAD"/>
    <w:rsid w:val="00B52B06"/>
    <w:rsid w:val="00B52B1B"/>
    <w:rsid w:val="00B52B32"/>
    <w:rsid w:val="00B52BCF"/>
    <w:rsid w:val="00B52C0C"/>
    <w:rsid w:val="00B52DEB"/>
    <w:rsid w:val="00B52E30"/>
    <w:rsid w:val="00B52E6C"/>
    <w:rsid w:val="00B52EC3"/>
    <w:rsid w:val="00B52EE7"/>
    <w:rsid w:val="00B52F8F"/>
    <w:rsid w:val="00B52F93"/>
    <w:rsid w:val="00B52FB9"/>
    <w:rsid w:val="00B530BD"/>
    <w:rsid w:val="00B53111"/>
    <w:rsid w:val="00B531CF"/>
    <w:rsid w:val="00B533CB"/>
    <w:rsid w:val="00B533F8"/>
    <w:rsid w:val="00B5342C"/>
    <w:rsid w:val="00B534E3"/>
    <w:rsid w:val="00B53618"/>
    <w:rsid w:val="00B53634"/>
    <w:rsid w:val="00B5395C"/>
    <w:rsid w:val="00B539BE"/>
    <w:rsid w:val="00B539E8"/>
    <w:rsid w:val="00B53A8E"/>
    <w:rsid w:val="00B53A8F"/>
    <w:rsid w:val="00B53AE7"/>
    <w:rsid w:val="00B53C00"/>
    <w:rsid w:val="00B53D44"/>
    <w:rsid w:val="00B53D72"/>
    <w:rsid w:val="00B53E57"/>
    <w:rsid w:val="00B53F69"/>
    <w:rsid w:val="00B540FD"/>
    <w:rsid w:val="00B5414B"/>
    <w:rsid w:val="00B542B1"/>
    <w:rsid w:val="00B542B7"/>
    <w:rsid w:val="00B54385"/>
    <w:rsid w:val="00B544B7"/>
    <w:rsid w:val="00B54520"/>
    <w:rsid w:val="00B545B9"/>
    <w:rsid w:val="00B5464E"/>
    <w:rsid w:val="00B547B5"/>
    <w:rsid w:val="00B548D6"/>
    <w:rsid w:val="00B54959"/>
    <w:rsid w:val="00B54A9A"/>
    <w:rsid w:val="00B54AA6"/>
    <w:rsid w:val="00B54D5F"/>
    <w:rsid w:val="00B54D91"/>
    <w:rsid w:val="00B54F9A"/>
    <w:rsid w:val="00B54FCE"/>
    <w:rsid w:val="00B54FEC"/>
    <w:rsid w:val="00B5506F"/>
    <w:rsid w:val="00B5515F"/>
    <w:rsid w:val="00B552AB"/>
    <w:rsid w:val="00B552F6"/>
    <w:rsid w:val="00B5538E"/>
    <w:rsid w:val="00B553F8"/>
    <w:rsid w:val="00B5542C"/>
    <w:rsid w:val="00B554B8"/>
    <w:rsid w:val="00B554F6"/>
    <w:rsid w:val="00B5552B"/>
    <w:rsid w:val="00B55634"/>
    <w:rsid w:val="00B556E6"/>
    <w:rsid w:val="00B55717"/>
    <w:rsid w:val="00B5585E"/>
    <w:rsid w:val="00B558A6"/>
    <w:rsid w:val="00B5590A"/>
    <w:rsid w:val="00B55D29"/>
    <w:rsid w:val="00B55DD4"/>
    <w:rsid w:val="00B55E57"/>
    <w:rsid w:val="00B55F09"/>
    <w:rsid w:val="00B55F67"/>
    <w:rsid w:val="00B5609F"/>
    <w:rsid w:val="00B562C8"/>
    <w:rsid w:val="00B562FF"/>
    <w:rsid w:val="00B564C5"/>
    <w:rsid w:val="00B56538"/>
    <w:rsid w:val="00B56554"/>
    <w:rsid w:val="00B5657F"/>
    <w:rsid w:val="00B56650"/>
    <w:rsid w:val="00B56692"/>
    <w:rsid w:val="00B567B9"/>
    <w:rsid w:val="00B567EC"/>
    <w:rsid w:val="00B5699E"/>
    <w:rsid w:val="00B569F9"/>
    <w:rsid w:val="00B56A13"/>
    <w:rsid w:val="00B56A75"/>
    <w:rsid w:val="00B56E4F"/>
    <w:rsid w:val="00B56ED3"/>
    <w:rsid w:val="00B56FAA"/>
    <w:rsid w:val="00B56FFE"/>
    <w:rsid w:val="00B57039"/>
    <w:rsid w:val="00B5705B"/>
    <w:rsid w:val="00B5713D"/>
    <w:rsid w:val="00B571BF"/>
    <w:rsid w:val="00B57361"/>
    <w:rsid w:val="00B57447"/>
    <w:rsid w:val="00B575BE"/>
    <w:rsid w:val="00B57705"/>
    <w:rsid w:val="00B57774"/>
    <w:rsid w:val="00B577BE"/>
    <w:rsid w:val="00B577ED"/>
    <w:rsid w:val="00B578AF"/>
    <w:rsid w:val="00B5797D"/>
    <w:rsid w:val="00B579A7"/>
    <w:rsid w:val="00B57A6E"/>
    <w:rsid w:val="00B57A85"/>
    <w:rsid w:val="00B57AFE"/>
    <w:rsid w:val="00B57B03"/>
    <w:rsid w:val="00B57C3B"/>
    <w:rsid w:val="00B57C52"/>
    <w:rsid w:val="00B57C72"/>
    <w:rsid w:val="00B57D4A"/>
    <w:rsid w:val="00B57E75"/>
    <w:rsid w:val="00B57F63"/>
    <w:rsid w:val="00B57F7F"/>
    <w:rsid w:val="00B57FCA"/>
    <w:rsid w:val="00B60044"/>
    <w:rsid w:val="00B60089"/>
    <w:rsid w:val="00B60157"/>
    <w:rsid w:val="00B601A3"/>
    <w:rsid w:val="00B6024C"/>
    <w:rsid w:val="00B60423"/>
    <w:rsid w:val="00B6053B"/>
    <w:rsid w:val="00B6056B"/>
    <w:rsid w:val="00B6058E"/>
    <w:rsid w:val="00B60852"/>
    <w:rsid w:val="00B60868"/>
    <w:rsid w:val="00B60959"/>
    <w:rsid w:val="00B609A7"/>
    <w:rsid w:val="00B609DE"/>
    <w:rsid w:val="00B60AB0"/>
    <w:rsid w:val="00B60B64"/>
    <w:rsid w:val="00B60BD0"/>
    <w:rsid w:val="00B60C45"/>
    <w:rsid w:val="00B60CF4"/>
    <w:rsid w:val="00B60DDA"/>
    <w:rsid w:val="00B60E11"/>
    <w:rsid w:val="00B60F05"/>
    <w:rsid w:val="00B60F64"/>
    <w:rsid w:val="00B60FDE"/>
    <w:rsid w:val="00B6103D"/>
    <w:rsid w:val="00B610F0"/>
    <w:rsid w:val="00B61255"/>
    <w:rsid w:val="00B613BB"/>
    <w:rsid w:val="00B613C2"/>
    <w:rsid w:val="00B61471"/>
    <w:rsid w:val="00B615EB"/>
    <w:rsid w:val="00B61648"/>
    <w:rsid w:val="00B6166C"/>
    <w:rsid w:val="00B616C4"/>
    <w:rsid w:val="00B6173A"/>
    <w:rsid w:val="00B6177F"/>
    <w:rsid w:val="00B617E8"/>
    <w:rsid w:val="00B6190B"/>
    <w:rsid w:val="00B619FE"/>
    <w:rsid w:val="00B61AB5"/>
    <w:rsid w:val="00B61B2C"/>
    <w:rsid w:val="00B61B34"/>
    <w:rsid w:val="00B61B35"/>
    <w:rsid w:val="00B61B59"/>
    <w:rsid w:val="00B61BB7"/>
    <w:rsid w:val="00B61C9D"/>
    <w:rsid w:val="00B61DB7"/>
    <w:rsid w:val="00B61F3C"/>
    <w:rsid w:val="00B6214B"/>
    <w:rsid w:val="00B62167"/>
    <w:rsid w:val="00B62198"/>
    <w:rsid w:val="00B62502"/>
    <w:rsid w:val="00B625B8"/>
    <w:rsid w:val="00B62651"/>
    <w:rsid w:val="00B62662"/>
    <w:rsid w:val="00B6287F"/>
    <w:rsid w:val="00B62917"/>
    <w:rsid w:val="00B62A75"/>
    <w:rsid w:val="00B62A8E"/>
    <w:rsid w:val="00B62C32"/>
    <w:rsid w:val="00B62DA8"/>
    <w:rsid w:val="00B62E47"/>
    <w:rsid w:val="00B62F28"/>
    <w:rsid w:val="00B62F2C"/>
    <w:rsid w:val="00B62F90"/>
    <w:rsid w:val="00B62FAE"/>
    <w:rsid w:val="00B630D5"/>
    <w:rsid w:val="00B63260"/>
    <w:rsid w:val="00B6327E"/>
    <w:rsid w:val="00B632CD"/>
    <w:rsid w:val="00B63328"/>
    <w:rsid w:val="00B633CB"/>
    <w:rsid w:val="00B633CD"/>
    <w:rsid w:val="00B63487"/>
    <w:rsid w:val="00B63596"/>
    <w:rsid w:val="00B635B5"/>
    <w:rsid w:val="00B63681"/>
    <w:rsid w:val="00B636D3"/>
    <w:rsid w:val="00B63734"/>
    <w:rsid w:val="00B63B2B"/>
    <w:rsid w:val="00B63D37"/>
    <w:rsid w:val="00B63D99"/>
    <w:rsid w:val="00B63E44"/>
    <w:rsid w:val="00B63E50"/>
    <w:rsid w:val="00B63F18"/>
    <w:rsid w:val="00B64000"/>
    <w:rsid w:val="00B64003"/>
    <w:rsid w:val="00B64173"/>
    <w:rsid w:val="00B6433F"/>
    <w:rsid w:val="00B6438A"/>
    <w:rsid w:val="00B643B2"/>
    <w:rsid w:val="00B643BD"/>
    <w:rsid w:val="00B643F8"/>
    <w:rsid w:val="00B64582"/>
    <w:rsid w:val="00B645B9"/>
    <w:rsid w:val="00B64647"/>
    <w:rsid w:val="00B64715"/>
    <w:rsid w:val="00B6475B"/>
    <w:rsid w:val="00B64979"/>
    <w:rsid w:val="00B64C5C"/>
    <w:rsid w:val="00B64D60"/>
    <w:rsid w:val="00B64D90"/>
    <w:rsid w:val="00B64DC1"/>
    <w:rsid w:val="00B6505B"/>
    <w:rsid w:val="00B650D3"/>
    <w:rsid w:val="00B6510F"/>
    <w:rsid w:val="00B65180"/>
    <w:rsid w:val="00B651A6"/>
    <w:rsid w:val="00B65238"/>
    <w:rsid w:val="00B65320"/>
    <w:rsid w:val="00B653B1"/>
    <w:rsid w:val="00B653FB"/>
    <w:rsid w:val="00B655D9"/>
    <w:rsid w:val="00B6568D"/>
    <w:rsid w:val="00B6569D"/>
    <w:rsid w:val="00B6588F"/>
    <w:rsid w:val="00B6592D"/>
    <w:rsid w:val="00B65996"/>
    <w:rsid w:val="00B65A1F"/>
    <w:rsid w:val="00B65A9A"/>
    <w:rsid w:val="00B65BE1"/>
    <w:rsid w:val="00B65C11"/>
    <w:rsid w:val="00B65D74"/>
    <w:rsid w:val="00B65D8F"/>
    <w:rsid w:val="00B65DE1"/>
    <w:rsid w:val="00B65E0B"/>
    <w:rsid w:val="00B65EF1"/>
    <w:rsid w:val="00B65F25"/>
    <w:rsid w:val="00B65F39"/>
    <w:rsid w:val="00B65F96"/>
    <w:rsid w:val="00B65FBC"/>
    <w:rsid w:val="00B66084"/>
    <w:rsid w:val="00B66176"/>
    <w:rsid w:val="00B66206"/>
    <w:rsid w:val="00B6623D"/>
    <w:rsid w:val="00B66330"/>
    <w:rsid w:val="00B663E2"/>
    <w:rsid w:val="00B66521"/>
    <w:rsid w:val="00B66563"/>
    <w:rsid w:val="00B665DE"/>
    <w:rsid w:val="00B66783"/>
    <w:rsid w:val="00B667B8"/>
    <w:rsid w:val="00B66944"/>
    <w:rsid w:val="00B66983"/>
    <w:rsid w:val="00B66C75"/>
    <w:rsid w:val="00B66D38"/>
    <w:rsid w:val="00B66E61"/>
    <w:rsid w:val="00B66E8B"/>
    <w:rsid w:val="00B66EE4"/>
    <w:rsid w:val="00B66F1E"/>
    <w:rsid w:val="00B66F92"/>
    <w:rsid w:val="00B66F93"/>
    <w:rsid w:val="00B671EC"/>
    <w:rsid w:val="00B6726D"/>
    <w:rsid w:val="00B67321"/>
    <w:rsid w:val="00B67330"/>
    <w:rsid w:val="00B673CA"/>
    <w:rsid w:val="00B67656"/>
    <w:rsid w:val="00B67705"/>
    <w:rsid w:val="00B6789B"/>
    <w:rsid w:val="00B678BB"/>
    <w:rsid w:val="00B678D1"/>
    <w:rsid w:val="00B678D6"/>
    <w:rsid w:val="00B67935"/>
    <w:rsid w:val="00B67A4D"/>
    <w:rsid w:val="00B67B66"/>
    <w:rsid w:val="00B67C0B"/>
    <w:rsid w:val="00B67F28"/>
    <w:rsid w:val="00B700C7"/>
    <w:rsid w:val="00B700E1"/>
    <w:rsid w:val="00B70243"/>
    <w:rsid w:val="00B7024B"/>
    <w:rsid w:val="00B7027A"/>
    <w:rsid w:val="00B70325"/>
    <w:rsid w:val="00B70383"/>
    <w:rsid w:val="00B70391"/>
    <w:rsid w:val="00B70468"/>
    <w:rsid w:val="00B705E8"/>
    <w:rsid w:val="00B705ED"/>
    <w:rsid w:val="00B705F2"/>
    <w:rsid w:val="00B7080C"/>
    <w:rsid w:val="00B709AB"/>
    <w:rsid w:val="00B70A31"/>
    <w:rsid w:val="00B70A6B"/>
    <w:rsid w:val="00B70B3C"/>
    <w:rsid w:val="00B70E52"/>
    <w:rsid w:val="00B70FD3"/>
    <w:rsid w:val="00B71205"/>
    <w:rsid w:val="00B71222"/>
    <w:rsid w:val="00B71380"/>
    <w:rsid w:val="00B71436"/>
    <w:rsid w:val="00B7154C"/>
    <w:rsid w:val="00B715E3"/>
    <w:rsid w:val="00B71630"/>
    <w:rsid w:val="00B7166F"/>
    <w:rsid w:val="00B716B9"/>
    <w:rsid w:val="00B71726"/>
    <w:rsid w:val="00B7181D"/>
    <w:rsid w:val="00B71943"/>
    <w:rsid w:val="00B71948"/>
    <w:rsid w:val="00B719A2"/>
    <w:rsid w:val="00B71A36"/>
    <w:rsid w:val="00B71CF1"/>
    <w:rsid w:val="00B71DC8"/>
    <w:rsid w:val="00B7203C"/>
    <w:rsid w:val="00B7204D"/>
    <w:rsid w:val="00B72058"/>
    <w:rsid w:val="00B720A1"/>
    <w:rsid w:val="00B72165"/>
    <w:rsid w:val="00B722C7"/>
    <w:rsid w:val="00B7237D"/>
    <w:rsid w:val="00B7246D"/>
    <w:rsid w:val="00B724ED"/>
    <w:rsid w:val="00B72529"/>
    <w:rsid w:val="00B72541"/>
    <w:rsid w:val="00B725B3"/>
    <w:rsid w:val="00B72607"/>
    <w:rsid w:val="00B726B8"/>
    <w:rsid w:val="00B72784"/>
    <w:rsid w:val="00B72791"/>
    <w:rsid w:val="00B727AA"/>
    <w:rsid w:val="00B727F7"/>
    <w:rsid w:val="00B72808"/>
    <w:rsid w:val="00B72849"/>
    <w:rsid w:val="00B72853"/>
    <w:rsid w:val="00B72A62"/>
    <w:rsid w:val="00B72AB0"/>
    <w:rsid w:val="00B72AD9"/>
    <w:rsid w:val="00B72B6C"/>
    <w:rsid w:val="00B72B98"/>
    <w:rsid w:val="00B72C50"/>
    <w:rsid w:val="00B72E94"/>
    <w:rsid w:val="00B72EE1"/>
    <w:rsid w:val="00B72F10"/>
    <w:rsid w:val="00B72F24"/>
    <w:rsid w:val="00B72F2E"/>
    <w:rsid w:val="00B72F66"/>
    <w:rsid w:val="00B72FED"/>
    <w:rsid w:val="00B7319D"/>
    <w:rsid w:val="00B731C0"/>
    <w:rsid w:val="00B7320F"/>
    <w:rsid w:val="00B7326A"/>
    <w:rsid w:val="00B732F2"/>
    <w:rsid w:val="00B73397"/>
    <w:rsid w:val="00B73541"/>
    <w:rsid w:val="00B735FA"/>
    <w:rsid w:val="00B73631"/>
    <w:rsid w:val="00B7364C"/>
    <w:rsid w:val="00B73675"/>
    <w:rsid w:val="00B738B7"/>
    <w:rsid w:val="00B738CA"/>
    <w:rsid w:val="00B738DD"/>
    <w:rsid w:val="00B738E6"/>
    <w:rsid w:val="00B739A6"/>
    <w:rsid w:val="00B73AF1"/>
    <w:rsid w:val="00B73B47"/>
    <w:rsid w:val="00B73B8C"/>
    <w:rsid w:val="00B73C44"/>
    <w:rsid w:val="00B73CBD"/>
    <w:rsid w:val="00B73E06"/>
    <w:rsid w:val="00B73E5E"/>
    <w:rsid w:val="00B73E7A"/>
    <w:rsid w:val="00B73EA5"/>
    <w:rsid w:val="00B740BE"/>
    <w:rsid w:val="00B740D1"/>
    <w:rsid w:val="00B740E2"/>
    <w:rsid w:val="00B74167"/>
    <w:rsid w:val="00B742E4"/>
    <w:rsid w:val="00B74325"/>
    <w:rsid w:val="00B74371"/>
    <w:rsid w:val="00B74570"/>
    <w:rsid w:val="00B745E8"/>
    <w:rsid w:val="00B74693"/>
    <w:rsid w:val="00B7481D"/>
    <w:rsid w:val="00B748B6"/>
    <w:rsid w:val="00B7498D"/>
    <w:rsid w:val="00B749DC"/>
    <w:rsid w:val="00B74ADA"/>
    <w:rsid w:val="00B74BE3"/>
    <w:rsid w:val="00B74CE5"/>
    <w:rsid w:val="00B74DE4"/>
    <w:rsid w:val="00B7517A"/>
    <w:rsid w:val="00B753D7"/>
    <w:rsid w:val="00B7542B"/>
    <w:rsid w:val="00B7543B"/>
    <w:rsid w:val="00B75440"/>
    <w:rsid w:val="00B754DE"/>
    <w:rsid w:val="00B755A0"/>
    <w:rsid w:val="00B756C5"/>
    <w:rsid w:val="00B7579D"/>
    <w:rsid w:val="00B75924"/>
    <w:rsid w:val="00B75A88"/>
    <w:rsid w:val="00B75C1C"/>
    <w:rsid w:val="00B75DC7"/>
    <w:rsid w:val="00B75E56"/>
    <w:rsid w:val="00B7618B"/>
    <w:rsid w:val="00B7638E"/>
    <w:rsid w:val="00B763AC"/>
    <w:rsid w:val="00B76440"/>
    <w:rsid w:val="00B76457"/>
    <w:rsid w:val="00B76482"/>
    <w:rsid w:val="00B7656D"/>
    <w:rsid w:val="00B765FD"/>
    <w:rsid w:val="00B766A1"/>
    <w:rsid w:val="00B76720"/>
    <w:rsid w:val="00B76827"/>
    <w:rsid w:val="00B7688F"/>
    <w:rsid w:val="00B7697A"/>
    <w:rsid w:val="00B769AC"/>
    <w:rsid w:val="00B769B7"/>
    <w:rsid w:val="00B76A52"/>
    <w:rsid w:val="00B76A64"/>
    <w:rsid w:val="00B76B40"/>
    <w:rsid w:val="00B76B69"/>
    <w:rsid w:val="00B76B86"/>
    <w:rsid w:val="00B76D7E"/>
    <w:rsid w:val="00B77060"/>
    <w:rsid w:val="00B770DF"/>
    <w:rsid w:val="00B771B0"/>
    <w:rsid w:val="00B772F7"/>
    <w:rsid w:val="00B773BB"/>
    <w:rsid w:val="00B77525"/>
    <w:rsid w:val="00B775E4"/>
    <w:rsid w:val="00B776A4"/>
    <w:rsid w:val="00B777F7"/>
    <w:rsid w:val="00B77843"/>
    <w:rsid w:val="00B7790B"/>
    <w:rsid w:val="00B77972"/>
    <w:rsid w:val="00B7798E"/>
    <w:rsid w:val="00B77A80"/>
    <w:rsid w:val="00B77A95"/>
    <w:rsid w:val="00B77A9B"/>
    <w:rsid w:val="00B77B01"/>
    <w:rsid w:val="00B77C87"/>
    <w:rsid w:val="00B77C9B"/>
    <w:rsid w:val="00B77D0F"/>
    <w:rsid w:val="00B77D3B"/>
    <w:rsid w:val="00B77E55"/>
    <w:rsid w:val="00B77F22"/>
    <w:rsid w:val="00B77F81"/>
    <w:rsid w:val="00B80237"/>
    <w:rsid w:val="00B80263"/>
    <w:rsid w:val="00B80484"/>
    <w:rsid w:val="00B80584"/>
    <w:rsid w:val="00B80599"/>
    <w:rsid w:val="00B806F1"/>
    <w:rsid w:val="00B8070D"/>
    <w:rsid w:val="00B8071A"/>
    <w:rsid w:val="00B80964"/>
    <w:rsid w:val="00B80A62"/>
    <w:rsid w:val="00B80A92"/>
    <w:rsid w:val="00B80AF8"/>
    <w:rsid w:val="00B80C05"/>
    <w:rsid w:val="00B80CCC"/>
    <w:rsid w:val="00B80D51"/>
    <w:rsid w:val="00B80D64"/>
    <w:rsid w:val="00B80E42"/>
    <w:rsid w:val="00B80ECD"/>
    <w:rsid w:val="00B80F15"/>
    <w:rsid w:val="00B80F44"/>
    <w:rsid w:val="00B81014"/>
    <w:rsid w:val="00B8107A"/>
    <w:rsid w:val="00B810A1"/>
    <w:rsid w:val="00B8113B"/>
    <w:rsid w:val="00B81287"/>
    <w:rsid w:val="00B81375"/>
    <w:rsid w:val="00B81391"/>
    <w:rsid w:val="00B81393"/>
    <w:rsid w:val="00B81480"/>
    <w:rsid w:val="00B814C6"/>
    <w:rsid w:val="00B8150E"/>
    <w:rsid w:val="00B81599"/>
    <w:rsid w:val="00B8160B"/>
    <w:rsid w:val="00B8160D"/>
    <w:rsid w:val="00B816F9"/>
    <w:rsid w:val="00B818AB"/>
    <w:rsid w:val="00B81AB4"/>
    <w:rsid w:val="00B81B58"/>
    <w:rsid w:val="00B81B8B"/>
    <w:rsid w:val="00B81BC8"/>
    <w:rsid w:val="00B81C40"/>
    <w:rsid w:val="00B81C5C"/>
    <w:rsid w:val="00B81E27"/>
    <w:rsid w:val="00B81E75"/>
    <w:rsid w:val="00B81F6B"/>
    <w:rsid w:val="00B8206B"/>
    <w:rsid w:val="00B82080"/>
    <w:rsid w:val="00B82176"/>
    <w:rsid w:val="00B82259"/>
    <w:rsid w:val="00B8230A"/>
    <w:rsid w:val="00B82486"/>
    <w:rsid w:val="00B824E4"/>
    <w:rsid w:val="00B824FA"/>
    <w:rsid w:val="00B8256C"/>
    <w:rsid w:val="00B82642"/>
    <w:rsid w:val="00B82657"/>
    <w:rsid w:val="00B82719"/>
    <w:rsid w:val="00B8273A"/>
    <w:rsid w:val="00B82947"/>
    <w:rsid w:val="00B8296C"/>
    <w:rsid w:val="00B82AFB"/>
    <w:rsid w:val="00B82B42"/>
    <w:rsid w:val="00B82BB2"/>
    <w:rsid w:val="00B82C4F"/>
    <w:rsid w:val="00B82CDB"/>
    <w:rsid w:val="00B82D0E"/>
    <w:rsid w:val="00B82DC0"/>
    <w:rsid w:val="00B8306A"/>
    <w:rsid w:val="00B830B7"/>
    <w:rsid w:val="00B83117"/>
    <w:rsid w:val="00B83326"/>
    <w:rsid w:val="00B8337E"/>
    <w:rsid w:val="00B83395"/>
    <w:rsid w:val="00B8339F"/>
    <w:rsid w:val="00B833DB"/>
    <w:rsid w:val="00B8341B"/>
    <w:rsid w:val="00B83465"/>
    <w:rsid w:val="00B8349C"/>
    <w:rsid w:val="00B8353D"/>
    <w:rsid w:val="00B8358A"/>
    <w:rsid w:val="00B835BD"/>
    <w:rsid w:val="00B83764"/>
    <w:rsid w:val="00B8385D"/>
    <w:rsid w:val="00B83884"/>
    <w:rsid w:val="00B838E8"/>
    <w:rsid w:val="00B838F8"/>
    <w:rsid w:val="00B83996"/>
    <w:rsid w:val="00B83AA5"/>
    <w:rsid w:val="00B83B66"/>
    <w:rsid w:val="00B83CE0"/>
    <w:rsid w:val="00B83DCE"/>
    <w:rsid w:val="00B83F1E"/>
    <w:rsid w:val="00B83F65"/>
    <w:rsid w:val="00B840D3"/>
    <w:rsid w:val="00B84363"/>
    <w:rsid w:val="00B843A5"/>
    <w:rsid w:val="00B8449D"/>
    <w:rsid w:val="00B844B4"/>
    <w:rsid w:val="00B84563"/>
    <w:rsid w:val="00B84583"/>
    <w:rsid w:val="00B84589"/>
    <w:rsid w:val="00B845DA"/>
    <w:rsid w:val="00B8465F"/>
    <w:rsid w:val="00B846AF"/>
    <w:rsid w:val="00B846E9"/>
    <w:rsid w:val="00B84743"/>
    <w:rsid w:val="00B847AC"/>
    <w:rsid w:val="00B847AE"/>
    <w:rsid w:val="00B849A7"/>
    <w:rsid w:val="00B84AD9"/>
    <w:rsid w:val="00B84C0B"/>
    <w:rsid w:val="00B84C32"/>
    <w:rsid w:val="00B84C9C"/>
    <w:rsid w:val="00B84E37"/>
    <w:rsid w:val="00B8500C"/>
    <w:rsid w:val="00B8525A"/>
    <w:rsid w:val="00B852AA"/>
    <w:rsid w:val="00B8534B"/>
    <w:rsid w:val="00B8547F"/>
    <w:rsid w:val="00B8550E"/>
    <w:rsid w:val="00B85572"/>
    <w:rsid w:val="00B856F1"/>
    <w:rsid w:val="00B8570E"/>
    <w:rsid w:val="00B85720"/>
    <w:rsid w:val="00B8576E"/>
    <w:rsid w:val="00B8579B"/>
    <w:rsid w:val="00B858D8"/>
    <w:rsid w:val="00B85949"/>
    <w:rsid w:val="00B85A92"/>
    <w:rsid w:val="00B85A9D"/>
    <w:rsid w:val="00B85B87"/>
    <w:rsid w:val="00B85BBE"/>
    <w:rsid w:val="00B85C3B"/>
    <w:rsid w:val="00B85DB1"/>
    <w:rsid w:val="00B85EB4"/>
    <w:rsid w:val="00B85F74"/>
    <w:rsid w:val="00B86045"/>
    <w:rsid w:val="00B86081"/>
    <w:rsid w:val="00B860D8"/>
    <w:rsid w:val="00B86137"/>
    <w:rsid w:val="00B86270"/>
    <w:rsid w:val="00B8632E"/>
    <w:rsid w:val="00B86427"/>
    <w:rsid w:val="00B8661E"/>
    <w:rsid w:val="00B866E5"/>
    <w:rsid w:val="00B866E7"/>
    <w:rsid w:val="00B86769"/>
    <w:rsid w:val="00B869FD"/>
    <w:rsid w:val="00B86BF9"/>
    <w:rsid w:val="00B86CEF"/>
    <w:rsid w:val="00B86CF5"/>
    <w:rsid w:val="00B86E05"/>
    <w:rsid w:val="00B86E10"/>
    <w:rsid w:val="00B86E65"/>
    <w:rsid w:val="00B86E7E"/>
    <w:rsid w:val="00B86EA4"/>
    <w:rsid w:val="00B86F05"/>
    <w:rsid w:val="00B86FF0"/>
    <w:rsid w:val="00B87144"/>
    <w:rsid w:val="00B8731C"/>
    <w:rsid w:val="00B87621"/>
    <w:rsid w:val="00B87664"/>
    <w:rsid w:val="00B877D8"/>
    <w:rsid w:val="00B877FF"/>
    <w:rsid w:val="00B87896"/>
    <w:rsid w:val="00B8799A"/>
    <w:rsid w:val="00B87A2B"/>
    <w:rsid w:val="00B87A42"/>
    <w:rsid w:val="00B87A69"/>
    <w:rsid w:val="00B87B47"/>
    <w:rsid w:val="00B87BA9"/>
    <w:rsid w:val="00B87CBE"/>
    <w:rsid w:val="00B87D20"/>
    <w:rsid w:val="00B87D6E"/>
    <w:rsid w:val="00B87E1E"/>
    <w:rsid w:val="00B87E5E"/>
    <w:rsid w:val="00B87EA3"/>
    <w:rsid w:val="00B90060"/>
    <w:rsid w:val="00B90157"/>
    <w:rsid w:val="00B903A8"/>
    <w:rsid w:val="00B9052E"/>
    <w:rsid w:val="00B9053E"/>
    <w:rsid w:val="00B9054A"/>
    <w:rsid w:val="00B9070E"/>
    <w:rsid w:val="00B9075B"/>
    <w:rsid w:val="00B907CE"/>
    <w:rsid w:val="00B90885"/>
    <w:rsid w:val="00B9089A"/>
    <w:rsid w:val="00B90935"/>
    <w:rsid w:val="00B90C21"/>
    <w:rsid w:val="00B90C91"/>
    <w:rsid w:val="00B90D21"/>
    <w:rsid w:val="00B90E24"/>
    <w:rsid w:val="00B90E74"/>
    <w:rsid w:val="00B910CE"/>
    <w:rsid w:val="00B910E1"/>
    <w:rsid w:val="00B911B1"/>
    <w:rsid w:val="00B911B2"/>
    <w:rsid w:val="00B911CB"/>
    <w:rsid w:val="00B912C3"/>
    <w:rsid w:val="00B912FB"/>
    <w:rsid w:val="00B91366"/>
    <w:rsid w:val="00B91408"/>
    <w:rsid w:val="00B91465"/>
    <w:rsid w:val="00B9148B"/>
    <w:rsid w:val="00B91734"/>
    <w:rsid w:val="00B9173E"/>
    <w:rsid w:val="00B918CC"/>
    <w:rsid w:val="00B9191D"/>
    <w:rsid w:val="00B91ACC"/>
    <w:rsid w:val="00B91B3D"/>
    <w:rsid w:val="00B91B8F"/>
    <w:rsid w:val="00B91C25"/>
    <w:rsid w:val="00B91DBE"/>
    <w:rsid w:val="00B91E44"/>
    <w:rsid w:val="00B91EF0"/>
    <w:rsid w:val="00B92005"/>
    <w:rsid w:val="00B9205A"/>
    <w:rsid w:val="00B920DD"/>
    <w:rsid w:val="00B92108"/>
    <w:rsid w:val="00B921DD"/>
    <w:rsid w:val="00B92254"/>
    <w:rsid w:val="00B92282"/>
    <w:rsid w:val="00B922A9"/>
    <w:rsid w:val="00B92393"/>
    <w:rsid w:val="00B9243C"/>
    <w:rsid w:val="00B92457"/>
    <w:rsid w:val="00B92530"/>
    <w:rsid w:val="00B9256A"/>
    <w:rsid w:val="00B92629"/>
    <w:rsid w:val="00B926BE"/>
    <w:rsid w:val="00B926CC"/>
    <w:rsid w:val="00B9281E"/>
    <w:rsid w:val="00B92835"/>
    <w:rsid w:val="00B92851"/>
    <w:rsid w:val="00B928F3"/>
    <w:rsid w:val="00B92947"/>
    <w:rsid w:val="00B9296F"/>
    <w:rsid w:val="00B92A49"/>
    <w:rsid w:val="00B92A91"/>
    <w:rsid w:val="00B92B1C"/>
    <w:rsid w:val="00B92B8E"/>
    <w:rsid w:val="00B92BF8"/>
    <w:rsid w:val="00B92E61"/>
    <w:rsid w:val="00B92EAC"/>
    <w:rsid w:val="00B92EEE"/>
    <w:rsid w:val="00B92F82"/>
    <w:rsid w:val="00B93095"/>
    <w:rsid w:val="00B9309F"/>
    <w:rsid w:val="00B9319A"/>
    <w:rsid w:val="00B931CC"/>
    <w:rsid w:val="00B93210"/>
    <w:rsid w:val="00B93241"/>
    <w:rsid w:val="00B93420"/>
    <w:rsid w:val="00B93445"/>
    <w:rsid w:val="00B9344C"/>
    <w:rsid w:val="00B93566"/>
    <w:rsid w:val="00B936C2"/>
    <w:rsid w:val="00B937F9"/>
    <w:rsid w:val="00B93899"/>
    <w:rsid w:val="00B93933"/>
    <w:rsid w:val="00B93934"/>
    <w:rsid w:val="00B939CF"/>
    <w:rsid w:val="00B93A57"/>
    <w:rsid w:val="00B93AE0"/>
    <w:rsid w:val="00B93BB8"/>
    <w:rsid w:val="00B93C42"/>
    <w:rsid w:val="00B93D0B"/>
    <w:rsid w:val="00B93ECD"/>
    <w:rsid w:val="00B93F78"/>
    <w:rsid w:val="00B94050"/>
    <w:rsid w:val="00B94229"/>
    <w:rsid w:val="00B94400"/>
    <w:rsid w:val="00B944E5"/>
    <w:rsid w:val="00B944F1"/>
    <w:rsid w:val="00B9459E"/>
    <w:rsid w:val="00B9468A"/>
    <w:rsid w:val="00B9490F"/>
    <w:rsid w:val="00B9499F"/>
    <w:rsid w:val="00B94AFB"/>
    <w:rsid w:val="00B94B34"/>
    <w:rsid w:val="00B94BCF"/>
    <w:rsid w:val="00B94BFA"/>
    <w:rsid w:val="00B94F01"/>
    <w:rsid w:val="00B94F6E"/>
    <w:rsid w:val="00B94FA9"/>
    <w:rsid w:val="00B94FB9"/>
    <w:rsid w:val="00B94FF5"/>
    <w:rsid w:val="00B9500F"/>
    <w:rsid w:val="00B9501C"/>
    <w:rsid w:val="00B95056"/>
    <w:rsid w:val="00B9522B"/>
    <w:rsid w:val="00B952A5"/>
    <w:rsid w:val="00B9536C"/>
    <w:rsid w:val="00B953CC"/>
    <w:rsid w:val="00B9557C"/>
    <w:rsid w:val="00B9560E"/>
    <w:rsid w:val="00B95667"/>
    <w:rsid w:val="00B95788"/>
    <w:rsid w:val="00B957BB"/>
    <w:rsid w:val="00B958D5"/>
    <w:rsid w:val="00B95B5B"/>
    <w:rsid w:val="00B95C20"/>
    <w:rsid w:val="00B95C3A"/>
    <w:rsid w:val="00B95C6F"/>
    <w:rsid w:val="00B95C9D"/>
    <w:rsid w:val="00B95D36"/>
    <w:rsid w:val="00B95F11"/>
    <w:rsid w:val="00B9600E"/>
    <w:rsid w:val="00B96071"/>
    <w:rsid w:val="00B960A9"/>
    <w:rsid w:val="00B9626E"/>
    <w:rsid w:val="00B962B7"/>
    <w:rsid w:val="00B962E5"/>
    <w:rsid w:val="00B96331"/>
    <w:rsid w:val="00B9664C"/>
    <w:rsid w:val="00B966E3"/>
    <w:rsid w:val="00B96738"/>
    <w:rsid w:val="00B96768"/>
    <w:rsid w:val="00B96853"/>
    <w:rsid w:val="00B968E6"/>
    <w:rsid w:val="00B969A3"/>
    <w:rsid w:val="00B96BA5"/>
    <w:rsid w:val="00B96EBD"/>
    <w:rsid w:val="00B9704A"/>
    <w:rsid w:val="00B970BA"/>
    <w:rsid w:val="00B9713F"/>
    <w:rsid w:val="00B971FF"/>
    <w:rsid w:val="00B9721E"/>
    <w:rsid w:val="00B97364"/>
    <w:rsid w:val="00B97477"/>
    <w:rsid w:val="00B97669"/>
    <w:rsid w:val="00B976DF"/>
    <w:rsid w:val="00B97721"/>
    <w:rsid w:val="00B97747"/>
    <w:rsid w:val="00B9775C"/>
    <w:rsid w:val="00B97800"/>
    <w:rsid w:val="00B9782F"/>
    <w:rsid w:val="00B97A6F"/>
    <w:rsid w:val="00B97AF0"/>
    <w:rsid w:val="00B97B0D"/>
    <w:rsid w:val="00B97B21"/>
    <w:rsid w:val="00B97B9F"/>
    <w:rsid w:val="00B97BB0"/>
    <w:rsid w:val="00B97BDF"/>
    <w:rsid w:val="00B97C97"/>
    <w:rsid w:val="00B97DA9"/>
    <w:rsid w:val="00B97E19"/>
    <w:rsid w:val="00B97E79"/>
    <w:rsid w:val="00B97EA3"/>
    <w:rsid w:val="00BA0063"/>
    <w:rsid w:val="00BA03F8"/>
    <w:rsid w:val="00BA04BE"/>
    <w:rsid w:val="00BA0568"/>
    <w:rsid w:val="00BA05C5"/>
    <w:rsid w:val="00BA05F6"/>
    <w:rsid w:val="00BA061C"/>
    <w:rsid w:val="00BA06E9"/>
    <w:rsid w:val="00BA093B"/>
    <w:rsid w:val="00BA0AA7"/>
    <w:rsid w:val="00BA0AD8"/>
    <w:rsid w:val="00BA0BB0"/>
    <w:rsid w:val="00BA0D7D"/>
    <w:rsid w:val="00BA0F92"/>
    <w:rsid w:val="00BA0FA9"/>
    <w:rsid w:val="00BA0FE6"/>
    <w:rsid w:val="00BA0FE8"/>
    <w:rsid w:val="00BA1014"/>
    <w:rsid w:val="00BA106E"/>
    <w:rsid w:val="00BA1140"/>
    <w:rsid w:val="00BA11EF"/>
    <w:rsid w:val="00BA1202"/>
    <w:rsid w:val="00BA129A"/>
    <w:rsid w:val="00BA139B"/>
    <w:rsid w:val="00BA142E"/>
    <w:rsid w:val="00BA1441"/>
    <w:rsid w:val="00BA14B9"/>
    <w:rsid w:val="00BA14CB"/>
    <w:rsid w:val="00BA154A"/>
    <w:rsid w:val="00BA1606"/>
    <w:rsid w:val="00BA1625"/>
    <w:rsid w:val="00BA187C"/>
    <w:rsid w:val="00BA1957"/>
    <w:rsid w:val="00BA1AE1"/>
    <w:rsid w:val="00BA1C8D"/>
    <w:rsid w:val="00BA1CA5"/>
    <w:rsid w:val="00BA1E18"/>
    <w:rsid w:val="00BA1E63"/>
    <w:rsid w:val="00BA1E73"/>
    <w:rsid w:val="00BA1EBA"/>
    <w:rsid w:val="00BA1F18"/>
    <w:rsid w:val="00BA1F5B"/>
    <w:rsid w:val="00BA2001"/>
    <w:rsid w:val="00BA2067"/>
    <w:rsid w:val="00BA209E"/>
    <w:rsid w:val="00BA2215"/>
    <w:rsid w:val="00BA2376"/>
    <w:rsid w:val="00BA2382"/>
    <w:rsid w:val="00BA2393"/>
    <w:rsid w:val="00BA23A0"/>
    <w:rsid w:val="00BA2569"/>
    <w:rsid w:val="00BA26AF"/>
    <w:rsid w:val="00BA26BC"/>
    <w:rsid w:val="00BA2772"/>
    <w:rsid w:val="00BA2776"/>
    <w:rsid w:val="00BA27EC"/>
    <w:rsid w:val="00BA282A"/>
    <w:rsid w:val="00BA28F1"/>
    <w:rsid w:val="00BA2996"/>
    <w:rsid w:val="00BA29F5"/>
    <w:rsid w:val="00BA2AA3"/>
    <w:rsid w:val="00BA2BE7"/>
    <w:rsid w:val="00BA2C99"/>
    <w:rsid w:val="00BA2CBA"/>
    <w:rsid w:val="00BA2DB1"/>
    <w:rsid w:val="00BA307B"/>
    <w:rsid w:val="00BA307D"/>
    <w:rsid w:val="00BA30DC"/>
    <w:rsid w:val="00BA33DC"/>
    <w:rsid w:val="00BA34AC"/>
    <w:rsid w:val="00BA3576"/>
    <w:rsid w:val="00BA35E6"/>
    <w:rsid w:val="00BA362B"/>
    <w:rsid w:val="00BA369F"/>
    <w:rsid w:val="00BA3724"/>
    <w:rsid w:val="00BA381E"/>
    <w:rsid w:val="00BA3877"/>
    <w:rsid w:val="00BA38BA"/>
    <w:rsid w:val="00BA38BE"/>
    <w:rsid w:val="00BA38F0"/>
    <w:rsid w:val="00BA3A99"/>
    <w:rsid w:val="00BA3BE2"/>
    <w:rsid w:val="00BA3C34"/>
    <w:rsid w:val="00BA3C52"/>
    <w:rsid w:val="00BA3CA0"/>
    <w:rsid w:val="00BA3DB1"/>
    <w:rsid w:val="00BA3DF2"/>
    <w:rsid w:val="00BA3DF3"/>
    <w:rsid w:val="00BA3F39"/>
    <w:rsid w:val="00BA3F5E"/>
    <w:rsid w:val="00BA3F93"/>
    <w:rsid w:val="00BA3FFC"/>
    <w:rsid w:val="00BA4032"/>
    <w:rsid w:val="00BA41C5"/>
    <w:rsid w:val="00BA41F5"/>
    <w:rsid w:val="00BA4254"/>
    <w:rsid w:val="00BA42B4"/>
    <w:rsid w:val="00BA4397"/>
    <w:rsid w:val="00BA4450"/>
    <w:rsid w:val="00BA452F"/>
    <w:rsid w:val="00BA45CD"/>
    <w:rsid w:val="00BA45CE"/>
    <w:rsid w:val="00BA4619"/>
    <w:rsid w:val="00BA47A3"/>
    <w:rsid w:val="00BA48DB"/>
    <w:rsid w:val="00BA4B00"/>
    <w:rsid w:val="00BA4BBB"/>
    <w:rsid w:val="00BA4F40"/>
    <w:rsid w:val="00BA4FE2"/>
    <w:rsid w:val="00BA4FE9"/>
    <w:rsid w:val="00BA503C"/>
    <w:rsid w:val="00BA50F0"/>
    <w:rsid w:val="00BA51F7"/>
    <w:rsid w:val="00BA5350"/>
    <w:rsid w:val="00BA53B0"/>
    <w:rsid w:val="00BA5672"/>
    <w:rsid w:val="00BA5746"/>
    <w:rsid w:val="00BA578C"/>
    <w:rsid w:val="00BA59A3"/>
    <w:rsid w:val="00BA5A57"/>
    <w:rsid w:val="00BA5AA4"/>
    <w:rsid w:val="00BA5AE2"/>
    <w:rsid w:val="00BA5B91"/>
    <w:rsid w:val="00BA5BFD"/>
    <w:rsid w:val="00BA5C02"/>
    <w:rsid w:val="00BA5CB1"/>
    <w:rsid w:val="00BA5CED"/>
    <w:rsid w:val="00BA5F21"/>
    <w:rsid w:val="00BA5F61"/>
    <w:rsid w:val="00BA5FAF"/>
    <w:rsid w:val="00BA604F"/>
    <w:rsid w:val="00BA619F"/>
    <w:rsid w:val="00BA637F"/>
    <w:rsid w:val="00BA639B"/>
    <w:rsid w:val="00BA644F"/>
    <w:rsid w:val="00BA64A0"/>
    <w:rsid w:val="00BA64BF"/>
    <w:rsid w:val="00BA6502"/>
    <w:rsid w:val="00BA6570"/>
    <w:rsid w:val="00BA6584"/>
    <w:rsid w:val="00BA6598"/>
    <w:rsid w:val="00BA6608"/>
    <w:rsid w:val="00BA6614"/>
    <w:rsid w:val="00BA6617"/>
    <w:rsid w:val="00BA66B2"/>
    <w:rsid w:val="00BA6783"/>
    <w:rsid w:val="00BA6787"/>
    <w:rsid w:val="00BA67BB"/>
    <w:rsid w:val="00BA6965"/>
    <w:rsid w:val="00BA6A72"/>
    <w:rsid w:val="00BA6F00"/>
    <w:rsid w:val="00BA7019"/>
    <w:rsid w:val="00BA7200"/>
    <w:rsid w:val="00BA735B"/>
    <w:rsid w:val="00BA7378"/>
    <w:rsid w:val="00BA751E"/>
    <w:rsid w:val="00BA754E"/>
    <w:rsid w:val="00BA7630"/>
    <w:rsid w:val="00BA766A"/>
    <w:rsid w:val="00BA7728"/>
    <w:rsid w:val="00BA7776"/>
    <w:rsid w:val="00BA79B0"/>
    <w:rsid w:val="00BA7B3B"/>
    <w:rsid w:val="00BA7E94"/>
    <w:rsid w:val="00BA7F2D"/>
    <w:rsid w:val="00BA7F31"/>
    <w:rsid w:val="00BA7F57"/>
    <w:rsid w:val="00BA7FEE"/>
    <w:rsid w:val="00BB0182"/>
    <w:rsid w:val="00BB01A1"/>
    <w:rsid w:val="00BB02F3"/>
    <w:rsid w:val="00BB02FF"/>
    <w:rsid w:val="00BB0429"/>
    <w:rsid w:val="00BB0438"/>
    <w:rsid w:val="00BB0541"/>
    <w:rsid w:val="00BB0563"/>
    <w:rsid w:val="00BB05F9"/>
    <w:rsid w:val="00BB06DA"/>
    <w:rsid w:val="00BB0744"/>
    <w:rsid w:val="00BB0839"/>
    <w:rsid w:val="00BB08AE"/>
    <w:rsid w:val="00BB0D23"/>
    <w:rsid w:val="00BB0DF8"/>
    <w:rsid w:val="00BB0EAD"/>
    <w:rsid w:val="00BB0F25"/>
    <w:rsid w:val="00BB1068"/>
    <w:rsid w:val="00BB139B"/>
    <w:rsid w:val="00BB149F"/>
    <w:rsid w:val="00BB15AA"/>
    <w:rsid w:val="00BB1677"/>
    <w:rsid w:val="00BB1678"/>
    <w:rsid w:val="00BB170A"/>
    <w:rsid w:val="00BB17D0"/>
    <w:rsid w:val="00BB17FA"/>
    <w:rsid w:val="00BB182A"/>
    <w:rsid w:val="00BB190B"/>
    <w:rsid w:val="00BB195E"/>
    <w:rsid w:val="00BB1A41"/>
    <w:rsid w:val="00BB1B20"/>
    <w:rsid w:val="00BB1CA0"/>
    <w:rsid w:val="00BB1D21"/>
    <w:rsid w:val="00BB1D33"/>
    <w:rsid w:val="00BB1D5D"/>
    <w:rsid w:val="00BB1DF3"/>
    <w:rsid w:val="00BB1F86"/>
    <w:rsid w:val="00BB1FAB"/>
    <w:rsid w:val="00BB2062"/>
    <w:rsid w:val="00BB22FF"/>
    <w:rsid w:val="00BB234F"/>
    <w:rsid w:val="00BB2366"/>
    <w:rsid w:val="00BB23FC"/>
    <w:rsid w:val="00BB24B1"/>
    <w:rsid w:val="00BB2531"/>
    <w:rsid w:val="00BB2557"/>
    <w:rsid w:val="00BB25AB"/>
    <w:rsid w:val="00BB27B1"/>
    <w:rsid w:val="00BB288A"/>
    <w:rsid w:val="00BB2908"/>
    <w:rsid w:val="00BB2A02"/>
    <w:rsid w:val="00BB2A2F"/>
    <w:rsid w:val="00BB2A7B"/>
    <w:rsid w:val="00BB2B9B"/>
    <w:rsid w:val="00BB2F23"/>
    <w:rsid w:val="00BB30F0"/>
    <w:rsid w:val="00BB3120"/>
    <w:rsid w:val="00BB3232"/>
    <w:rsid w:val="00BB32C7"/>
    <w:rsid w:val="00BB330C"/>
    <w:rsid w:val="00BB34C4"/>
    <w:rsid w:val="00BB351A"/>
    <w:rsid w:val="00BB351B"/>
    <w:rsid w:val="00BB37D6"/>
    <w:rsid w:val="00BB3869"/>
    <w:rsid w:val="00BB39CB"/>
    <w:rsid w:val="00BB39EB"/>
    <w:rsid w:val="00BB3A62"/>
    <w:rsid w:val="00BB3A82"/>
    <w:rsid w:val="00BB3AA7"/>
    <w:rsid w:val="00BB3C21"/>
    <w:rsid w:val="00BB3CDB"/>
    <w:rsid w:val="00BB3D63"/>
    <w:rsid w:val="00BB3E69"/>
    <w:rsid w:val="00BB3EDF"/>
    <w:rsid w:val="00BB4049"/>
    <w:rsid w:val="00BB4344"/>
    <w:rsid w:val="00BB4365"/>
    <w:rsid w:val="00BB43E9"/>
    <w:rsid w:val="00BB4504"/>
    <w:rsid w:val="00BB46AF"/>
    <w:rsid w:val="00BB46C6"/>
    <w:rsid w:val="00BB4828"/>
    <w:rsid w:val="00BB49EE"/>
    <w:rsid w:val="00BB4B89"/>
    <w:rsid w:val="00BB4C69"/>
    <w:rsid w:val="00BB4D03"/>
    <w:rsid w:val="00BB4D44"/>
    <w:rsid w:val="00BB4E00"/>
    <w:rsid w:val="00BB4E0C"/>
    <w:rsid w:val="00BB4E52"/>
    <w:rsid w:val="00BB4E8D"/>
    <w:rsid w:val="00BB4F1B"/>
    <w:rsid w:val="00BB4F53"/>
    <w:rsid w:val="00BB4F6E"/>
    <w:rsid w:val="00BB518E"/>
    <w:rsid w:val="00BB52DB"/>
    <w:rsid w:val="00BB5426"/>
    <w:rsid w:val="00BB543E"/>
    <w:rsid w:val="00BB547C"/>
    <w:rsid w:val="00BB553B"/>
    <w:rsid w:val="00BB56BF"/>
    <w:rsid w:val="00BB5707"/>
    <w:rsid w:val="00BB57EC"/>
    <w:rsid w:val="00BB5817"/>
    <w:rsid w:val="00BB585E"/>
    <w:rsid w:val="00BB59E1"/>
    <w:rsid w:val="00BB5A4F"/>
    <w:rsid w:val="00BB5AAA"/>
    <w:rsid w:val="00BB5B8F"/>
    <w:rsid w:val="00BB5CB0"/>
    <w:rsid w:val="00BB5CDF"/>
    <w:rsid w:val="00BB5D47"/>
    <w:rsid w:val="00BB5D61"/>
    <w:rsid w:val="00BB621F"/>
    <w:rsid w:val="00BB6299"/>
    <w:rsid w:val="00BB63D6"/>
    <w:rsid w:val="00BB655C"/>
    <w:rsid w:val="00BB67F5"/>
    <w:rsid w:val="00BB69B9"/>
    <w:rsid w:val="00BB6AB0"/>
    <w:rsid w:val="00BB6ADD"/>
    <w:rsid w:val="00BB6B4B"/>
    <w:rsid w:val="00BB6C24"/>
    <w:rsid w:val="00BB6C2E"/>
    <w:rsid w:val="00BB6E4B"/>
    <w:rsid w:val="00BB6EED"/>
    <w:rsid w:val="00BB6F0E"/>
    <w:rsid w:val="00BB7003"/>
    <w:rsid w:val="00BB7220"/>
    <w:rsid w:val="00BB7280"/>
    <w:rsid w:val="00BB72B7"/>
    <w:rsid w:val="00BB72B9"/>
    <w:rsid w:val="00BB7354"/>
    <w:rsid w:val="00BB73C5"/>
    <w:rsid w:val="00BB747A"/>
    <w:rsid w:val="00BB757A"/>
    <w:rsid w:val="00BB7669"/>
    <w:rsid w:val="00BB777E"/>
    <w:rsid w:val="00BB77E4"/>
    <w:rsid w:val="00BB7940"/>
    <w:rsid w:val="00BB7948"/>
    <w:rsid w:val="00BB7A10"/>
    <w:rsid w:val="00BB7AAB"/>
    <w:rsid w:val="00BB7B0B"/>
    <w:rsid w:val="00BB7B0D"/>
    <w:rsid w:val="00BB7B58"/>
    <w:rsid w:val="00BB7BC1"/>
    <w:rsid w:val="00BB7D1E"/>
    <w:rsid w:val="00BB7D22"/>
    <w:rsid w:val="00BB7DDA"/>
    <w:rsid w:val="00BB7E7C"/>
    <w:rsid w:val="00BB7F93"/>
    <w:rsid w:val="00BB7FBB"/>
    <w:rsid w:val="00BC0044"/>
    <w:rsid w:val="00BC004C"/>
    <w:rsid w:val="00BC015E"/>
    <w:rsid w:val="00BC0162"/>
    <w:rsid w:val="00BC02C5"/>
    <w:rsid w:val="00BC0318"/>
    <w:rsid w:val="00BC0371"/>
    <w:rsid w:val="00BC03A1"/>
    <w:rsid w:val="00BC049E"/>
    <w:rsid w:val="00BC054E"/>
    <w:rsid w:val="00BC054F"/>
    <w:rsid w:val="00BC055F"/>
    <w:rsid w:val="00BC06B6"/>
    <w:rsid w:val="00BC08A9"/>
    <w:rsid w:val="00BC08FA"/>
    <w:rsid w:val="00BC0954"/>
    <w:rsid w:val="00BC0969"/>
    <w:rsid w:val="00BC0B37"/>
    <w:rsid w:val="00BC0C7F"/>
    <w:rsid w:val="00BC0E1F"/>
    <w:rsid w:val="00BC0F2D"/>
    <w:rsid w:val="00BC0FF3"/>
    <w:rsid w:val="00BC10F5"/>
    <w:rsid w:val="00BC1206"/>
    <w:rsid w:val="00BC1242"/>
    <w:rsid w:val="00BC1323"/>
    <w:rsid w:val="00BC1338"/>
    <w:rsid w:val="00BC13F3"/>
    <w:rsid w:val="00BC14A0"/>
    <w:rsid w:val="00BC14E6"/>
    <w:rsid w:val="00BC1764"/>
    <w:rsid w:val="00BC17D9"/>
    <w:rsid w:val="00BC1804"/>
    <w:rsid w:val="00BC1869"/>
    <w:rsid w:val="00BC18F7"/>
    <w:rsid w:val="00BC19E0"/>
    <w:rsid w:val="00BC1B14"/>
    <w:rsid w:val="00BC1B5B"/>
    <w:rsid w:val="00BC1CD0"/>
    <w:rsid w:val="00BC1D21"/>
    <w:rsid w:val="00BC1DE6"/>
    <w:rsid w:val="00BC1E0A"/>
    <w:rsid w:val="00BC1E2E"/>
    <w:rsid w:val="00BC1FB7"/>
    <w:rsid w:val="00BC20A8"/>
    <w:rsid w:val="00BC20B8"/>
    <w:rsid w:val="00BC20FD"/>
    <w:rsid w:val="00BC2132"/>
    <w:rsid w:val="00BC216B"/>
    <w:rsid w:val="00BC2192"/>
    <w:rsid w:val="00BC22B4"/>
    <w:rsid w:val="00BC22D6"/>
    <w:rsid w:val="00BC2360"/>
    <w:rsid w:val="00BC238E"/>
    <w:rsid w:val="00BC23CB"/>
    <w:rsid w:val="00BC2409"/>
    <w:rsid w:val="00BC251F"/>
    <w:rsid w:val="00BC2593"/>
    <w:rsid w:val="00BC25CE"/>
    <w:rsid w:val="00BC25E5"/>
    <w:rsid w:val="00BC274A"/>
    <w:rsid w:val="00BC27B8"/>
    <w:rsid w:val="00BC2850"/>
    <w:rsid w:val="00BC294C"/>
    <w:rsid w:val="00BC299D"/>
    <w:rsid w:val="00BC29F3"/>
    <w:rsid w:val="00BC2B64"/>
    <w:rsid w:val="00BC2B6B"/>
    <w:rsid w:val="00BC2C0A"/>
    <w:rsid w:val="00BC2D5A"/>
    <w:rsid w:val="00BC2E87"/>
    <w:rsid w:val="00BC2F90"/>
    <w:rsid w:val="00BC2FCA"/>
    <w:rsid w:val="00BC2FF3"/>
    <w:rsid w:val="00BC3591"/>
    <w:rsid w:val="00BC35C2"/>
    <w:rsid w:val="00BC3601"/>
    <w:rsid w:val="00BC366D"/>
    <w:rsid w:val="00BC37A8"/>
    <w:rsid w:val="00BC37E2"/>
    <w:rsid w:val="00BC37F2"/>
    <w:rsid w:val="00BC387F"/>
    <w:rsid w:val="00BC392E"/>
    <w:rsid w:val="00BC3948"/>
    <w:rsid w:val="00BC394E"/>
    <w:rsid w:val="00BC3B9F"/>
    <w:rsid w:val="00BC3BAD"/>
    <w:rsid w:val="00BC3E0E"/>
    <w:rsid w:val="00BC3FEC"/>
    <w:rsid w:val="00BC4000"/>
    <w:rsid w:val="00BC409F"/>
    <w:rsid w:val="00BC40D7"/>
    <w:rsid w:val="00BC411F"/>
    <w:rsid w:val="00BC41AB"/>
    <w:rsid w:val="00BC4383"/>
    <w:rsid w:val="00BC439B"/>
    <w:rsid w:val="00BC43B5"/>
    <w:rsid w:val="00BC43E1"/>
    <w:rsid w:val="00BC442E"/>
    <w:rsid w:val="00BC446B"/>
    <w:rsid w:val="00BC47BE"/>
    <w:rsid w:val="00BC47DA"/>
    <w:rsid w:val="00BC48F1"/>
    <w:rsid w:val="00BC4A19"/>
    <w:rsid w:val="00BC4C2B"/>
    <w:rsid w:val="00BC4D0D"/>
    <w:rsid w:val="00BC4D6A"/>
    <w:rsid w:val="00BC4D7C"/>
    <w:rsid w:val="00BC4ECE"/>
    <w:rsid w:val="00BC4F44"/>
    <w:rsid w:val="00BC4F46"/>
    <w:rsid w:val="00BC506B"/>
    <w:rsid w:val="00BC50A1"/>
    <w:rsid w:val="00BC510B"/>
    <w:rsid w:val="00BC5146"/>
    <w:rsid w:val="00BC5390"/>
    <w:rsid w:val="00BC53E7"/>
    <w:rsid w:val="00BC53FE"/>
    <w:rsid w:val="00BC5420"/>
    <w:rsid w:val="00BC54E6"/>
    <w:rsid w:val="00BC55E9"/>
    <w:rsid w:val="00BC578E"/>
    <w:rsid w:val="00BC584E"/>
    <w:rsid w:val="00BC58B1"/>
    <w:rsid w:val="00BC592C"/>
    <w:rsid w:val="00BC597A"/>
    <w:rsid w:val="00BC599F"/>
    <w:rsid w:val="00BC5B05"/>
    <w:rsid w:val="00BC5BC7"/>
    <w:rsid w:val="00BC5BD3"/>
    <w:rsid w:val="00BC5E5A"/>
    <w:rsid w:val="00BC5E8E"/>
    <w:rsid w:val="00BC5EB2"/>
    <w:rsid w:val="00BC5F48"/>
    <w:rsid w:val="00BC60E0"/>
    <w:rsid w:val="00BC61D0"/>
    <w:rsid w:val="00BC629D"/>
    <w:rsid w:val="00BC62D9"/>
    <w:rsid w:val="00BC6369"/>
    <w:rsid w:val="00BC63B1"/>
    <w:rsid w:val="00BC6416"/>
    <w:rsid w:val="00BC644A"/>
    <w:rsid w:val="00BC64E9"/>
    <w:rsid w:val="00BC653B"/>
    <w:rsid w:val="00BC6739"/>
    <w:rsid w:val="00BC69B5"/>
    <w:rsid w:val="00BC69FD"/>
    <w:rsid w:val="00BC6A2F"/>
    <w:rsid w:val="00BC6A66"/>
    <w:rsid w:val="00BC6A88"/>
    <w:rsid w:val="00BC6B00"/>
    <w:rsid w:val="00BC6C32"/>
    <w:rsid w:val="00BC6CE7"/>
    <w:rsid w:val="00BC6CF0"/>
    <w:rsid w:val="00BC6D2E"/>
    <w:rsid w:val="00BC6D5A"/>
    <w:rsid w:val="00BC6DFB"/>
    <w:rsid w:val="00BC6E02"/>
    <w:rsid w:val="00BC6E95"/>
    <w:rsid w:val="00BC6EA3"/>
    <w:rsid w:val="00BC6ECF"/>
    <w:rsid w:val="00BC6EF4"/>
    <w:rsid w:val="00BC7032"/>
    <w:rsid w:val="00BC7060"/>
    <w:rsid w:val="00BC7096"/>
    <w:rsid w:val="00BC7208"/>
    <w:rsid w:val="00BC7369"/>
    <w:rsid w:val="00BC7534"/>
    <w:rsid w:val="00BC7570"/>
    <w:rsid w:val="00BC7764"/>
    <w:rsid w:val="00BC7778"/>
    <w:rsid w:val="00BC79F6"/>
    <w:rsid w:val="00BC79FA"/>
    <w:rsid w:val="00BC7A5C"/>
    <w:rsid w:val="00BC7B75"/>
    <w:rsid w:val="00BC7CFC"/>
    <w:rsid w:val="00BC7E50"/>
    <w:rsid w:val="00BC7EF5"/>
    <w:rsid w:val="00BC7F3D"/>
    <w:rsid w:val="00BC7F96"/>
    <w:rsid w:val="00BC7FEC"/>
    <w:rsid w:val="00BC7FF3"/>
    <w:rsid w:val="00BD0126"/>
    <w:rsid w:val="00BD0139"/>
    <w:rsid w:val="00BD017B"/>
    <w:rsid w:val="00BD0201"/>
    <w:rsid w:val="00BD023A"/>
    <w:rsid w:val="00BD0345"/>
    <w:rsid w:val="00BD04B2"/>
    <w:rsid w:val="00BD051A"/>
    <w:rsid w:val="00BD060F"/>
    <w:rsid w:val="00BD06C4"/>
    <w:rsid w:val="00BD07A8"/>
    <w:rsid w:val="00BD0834"/>
    <w:rsid w:val="00BD083C"/>
    <w:rsid w:val="00BD08B9"/>
    <w:rsid w:val="00BD092B"/>
    <w:rsid w:val="00BD0A0F"/>
    <w:rsid w:val="00BD0A49"/>
    <w:rsid w:val="00BD0A52"/>
    <w:rsid w:val="00BD0A57"/>
    <w:rsid w:val="00BD0AB4"/>
    <w:rsid w:val="00BD0DB1"/>
    <w:rsid w:val="00BD0DFC"/>
    <w:rsid w:val="00BD0DFE"/>
    <w:rsid w:val="00BD0EB7"/>
    <w:rsid w:val="00BD105C"/>
    <w:rsid w:val="00BD1063"/>
    <w:rsid w:val="00BD1077"/>
    <w:rsid w:val="00BD112D"/>
    <w:rsid w:val="00BD114D"/>
    <w:rsid w:val="00BD1185"/>
    <w:rsid w:val="00BD12A5"/>
    <w:rsid w:val="00BD15A7"/>
    <w:rsid w:val="00BD160B"/>
    <w:rsid w:val="00BD1617"/>
    <w:rsid w:val="00BD163D"/>
    <w:rsid w:val="00BD16E0"/>
    <w:rsid w:val="00BD17AC"/>
    <w:rsid w:val="00BD19DB"/>
    <w:rsid w:val="00BD1A98"/>
    <w:rsid w:val="00BD1BF4"/>
    <w:rsid w:val="00BD1C01"/>
    <w:rsid w:val="00BD1C21"/>
    <w:rsid w:val="00BD1C74"/>
    <w:rsid w:val="00BD1CB1"/>
    <w:rsid w:val="00BD1E99"/>
    <w:rsid w:val="00BD1F44"/>
    <w:rsid w:val="00BD1F65"/>
    <w:rsid w:val="00BD1F6F"/>
    <w:rsid w:val="00BD2101"/>
    <w:rsid w:val="00BD218F"/>
    <w:rsid w:val="00BD21ED"/>
    <w:rsid w:val="00BD220B"/>
    <w:rsid w:val="00BD232E"/>
    <w:rsid w:val="00BD24AA"/>
    <w:rsid w:val="00BD2605"/>
    <w:rsid w:val="00BD2687"/>
    <w:rsid w:val="00BD280E"/>
    <w:rsid w:val="00BD290F"/>
    <w:rsid w:val="00BD2978"/>
    <w:rsid w:val="00BD2A32"/>
    <w:rsid w:val="00BD2B1F"/>
    <w:rsid w:val="00BD2BBF"/>
    <w:rsid w:val="00BD2E8A"/>
    <w:rsid w:val="00BD3230"/>
    <w:rsid w:val="00BD3396"/>
    <w:rsid w:val="00BD34E3"/>
    <w:rsid w:val="00BD35AC"/>
    <w:rsid w:val="00BD35D6"/>
    <w:rsid w:val="00BD37EA"/>
    <w:rsid w:val="00BD38D6"/>
    <w:rsid w:val="00BD38E7"/>
    <w:rsid w:val="00BD396E"/>
    <w:rsid w:val="00BD3978"/>
    <w:rsid w:val="00BD39DF"/>
    <w:rsid w:val="00BD39E0"/>
    <w:rsid w:val="00BD3AE8"/>
    <w:rsid w:val="00BD3B19"/>
    <w:rsid w:val="00BD3C7D"/>
    <w:rsid w:val="00BD3EB7"/>
    <w:rsid w:val="00BD3EF9"/>
    <w:rsid w:val="00BD3FD8"/>
    <w:rsid w:val="00BD402B"/>
    <w:rsid w:val="00BD40F4"/>
    <w:rsid w:val="00BD4155"/>
    <w:rsid w:val="00BD4194"/>
    <w:rsid w:val="00BD41F9"/>
    <w:rsid w:val="00BD42A5"/>
    <w:rsid w:val="00BD435E"/>
    <w:rsid w:val="00BD44C5"/>
    <w:rsid w:val="00BD450C"/>
    <w:rsid w:val="00BD4599"/>
    <w:rsid w:val="00BD475C"/>
    <w:rsid w:val="00BD48E2"/>
    <w:rsid w:val="00BD499D"/>
    <w:rsid w:val="00BD49B0"/>
    <w:rsid w:val="00BD4ADB"/>
    <w:rsid w:val="00BD4B22"/>
    <w:rsid w:val="00BD4BDA"/>
    <w:rsid w:val="00BD4C07"/>
    <w:rsid w:val="00BD4CDC"/>
    <w:rsid w:val="00BD4DAB"/>
    <w:rsid w:val="00BD5096"/>
    <w:rsid w:val="00BD515E"/>
    <w:rsid w:val="00BD51F9"/>
    <w:rsid w:val="00BD5241"/>
    <w:rsid w:val="00BD540A"/>
    <w:rsid w:val="00BD5562"/>
    <w:rsid w:val="00BD5604"/>
    <w:rsid w:val="00BD56A3"/>
    <w:rsid w:val="00BD5741"/>
    <w:rsid w:val="00BD575D"/>
    <w:rsid w:val="00BD5858"/>
    <w:rsid w:val="00BD586A"/>
    <w:rsid w:val="00BD5901"/>
    <w:rsid w:val="00BD5A08"/>
    <w:rsid w:val="00BD5B94"/>
    <w:rsid w:val="00BD5C5E"/>
    <w:rsid w:val="00BD5CC3"/>
    <w:rsid w:val="00BD5D0A"/>
    <w:rsid w:val="00BD5D91"/>
    <w:rsid w:val="00BD5E70"/>
    <w:rsid w:val="00BD5F35"/>
    <w:rsid w:val="00BD5FC2"/>
    <w:rsid w:val="00BD60B0"/>
    <w:rsid w:val="00BD60C3"/>
    <w:rsid w:val="00BD60EE"/>
    <w:rsid w:val="00BD6180"/>
    <w:rsid w:val="00BD6194"/>
    <w:rsid w:val="00BD6243"/>
    <w:rsid w:val="00BD63C7"/>
    <w:rsid w:val="00BD6408"/>
    <w:rsid w:val="00BD65A0"/>
    <w:rsid w:val="00BD666F"/>
    <w:rsid w:val="00BD6680"/>
    <w:rsid w:val="00BD66A0"/>
    <w:rsid w:val="00BD673E"/>
    <w:rsid w:val="00BD6847"/>
    <w:rsid w:val="00BD6A55"/>
    <w:rsid w:val="00BD6B62"/>
    <w:rsid w:val="00BD6CC2"/>
    <w:rsid w:val="00BD6D71"/>
    <w:rsid w:val="00BD6DD3"/>
    <w:rsid w:val="00BD6DDE"/>
    <w:rsid w:val="00BD6EFD"/>
    <w:rsid w:val="00BD6FC6"/>
    <w:rsid w:val="00BD6FE3"/>
    <w:rsid w:val="00BD7044"/>
    <w:rsid w:val="00BD7117"/>
    <w:rsid w:val="00BD7224"/>
    <w:rsid w:val="00BD72DE"/>
    <w:rsid w:val="00BD736B"/>
    <w:rsid w:val="00BD73C2"/>
    <w:rsid w:val="00BD7482"/>
    <w:rsid w:val="00BD75BB"/>
    <w:rsid w:val="00BD7619"/>
    <w:rsid w:val="00BD76B9"/>
    <w:rsid w:val="00BD7748"/>
    <w:rsid w:val="00BD7849"/>
    <w:rsid w:val="00BD78A1"/>
    <w:rsid w:val="00BD78E1"/>
    <w:rsid w:val="00BD792F"/>
    <w:rsid w:val="00BD7A95"/>
    <w:rsid w:val="00BD7B1D"/>
    <w:rsid w:val="00BD7B3E"/>
    <w:rsid w:val="00BD7BD2"/>
    <w:rsid w:val="00BD7CA2"/>
    <w:rsid w:val="00BD7D9D"/>
    <w:rsid w:val="00BD7E42"/>
    <w:rsid w:val="00BD7E56"/>
    <w:rsid w:val="00BD7F35"/>
    <w:rsid w:val="00BE0071"/>
    <w:rsid w:val="00BE0111"/>
    <w:rsid w:val="00BE0139"/>
    <w:rsid w:val="00BE01B0"/>
    <w:rsid w:val="00BE0276"/>
    <w:rsid w:val="00BE029C"/>
    <w:rsid w:val="00BE035A"/>
    <w:rsid w:val="00BE0489"/>
    <w:rsid w:val="00BE04CC"/>
    <w:rsid w:val="00BE07E2"/>
    <w:rsid w:val="00BE08C3"/>
    <w:rsid w:val="00BE08D8"/>
    <w:rsid w:val="00BE08E1"/>
    <w:rsid w:val="00BE08F2"/>
    <w:rsid w:val="00BE0A25"/>
    <w:rsid w:val="00BE0B46"/>
    <w:rsid w:val="00BE0B82"/>
    <w:rsid w:val="00BE0BA7"/>
    <w:rsid w:val="00BE0D63"/>
    <w:rsid w:val="00BE0E73"/>
    <w:rsid w:val="00BE1011"/>
    <w:rsid w:val="00BE1144"/>
    <w:rsid w:val="00BE119A"/>
    <w:rsid w:val="00BE125D"/>
    <w:rsid w:val="00BE12BF"/>
    <w:rsid w:val="00BE1374"/>
    <w:rsid w:val="00BE163D"/>
    <w:rsid w:val="00BE1646"/>
    <w:rsid w:val="00BE16DB"/>
    <w:rsid w:val="00BE1767"/>
    <w:rsid w:val="00BE176E"/>
    <w:rsid w:val="00BE1838"/>
    <w:rsid w:val="00BE18C2"/>
    <w:rsid w:val="00BE1908"/>
    <w:rsid w:val="00BE1B50"/>
    <w:rsid w:val="00BE1B8A"/>
    <w:rsid w:val="00BE1DB8"/>
    <w:rsid w:val="00BE1DC6"/>
    <w:rsid w:val="00BE1E2C"/>
    <w:rsid w:val="00BE1F60"/>
    <w:rsid w:val="00BE1F7C"/>
    <w:rsid w:val="00BE1F85"/>
    <w:rsid w:val="00BE1FA1"/>
    <w:rsid w:val="00BE1FDD"/>
    <w:rsid w:val="00BE1FF0"/>
    <w:rsid w:val="00BE201A"/>
    <w:rsid w:val="00BE2125"/>
    <w:rsid w:val="00BE2323"/>
    <w:rsid w:val="00BE23A7"/>
    <w:rsid w:val="00BE23DD"/>
    <w:rsid w:val="00BE2519"/>
    <w:rsid w:val="00BE253E"/>
    <w:rsid w:val="00BE2543"/>
    <w:rsid w:val="00BE25ED"/>
    <w:rsid w:val="00BE27C8"/>
    <w:rsid w:val="00BE29DB"/>
    <w:rsid w:val="00BE2A04"/>
    <w:rsid w:val="00BE2ABC"/>
    <w:rsid w:val="00BE2AE6"/>
    <w:rsid w:val="00BE2AF0"/>
    <w:rsid w:val="00BE2B85"/>
    <w:rsid w:val="00BE2BC5"/>
    <w:rsid w:val="00BE2D0D"/>
    <w:rsid w:val="00BE2E4D"/>
    <w:rsid w:val="00BE307D"/>
    <w:rsid w:val="00BE30BC"/>
    <w:rsid w:val="00BE3147"/>
    <w:rsid w:val="00BE3191"/>
    <w:rsid w:val="00BE31F8"/>
    <w:rsid w:val="00BE3239"/>
    <w:rsid w:val="00BE3392"/>
    <w:rsid w:val="00BE33AE"/>
    <w:rsid w:val="00BE34FF"/>
    <w:rsid w:val="00BE353D"/>
    <w:rsid w:val="00BE3597"/>
    <w:rsid w:val="00BE36F9"/>
    <w:rsid w:val="00BE3746"/>
    <w:rsid w:val="00BE37D3"/>
    <w:rsid w:val="00BE3821"/>
    <w:rsid w:val="00BE38FA"/>
    <w:rsid w:val="00BE394D"/>
    <w:rsid w:val="00BE39A7"/>
    <w:rsid w:val="00BE39C0"/>
    <w:rsid w:val="00BE3B97"/>
    <w:rsid w:val="00BE3CB7"/>
    <w:rsid w:val="00BE3D6F"/>
    <w:rsid w:val="00BE3E14"/>
    <w:rsid w:val="00BE3E1D"/>
    <w:rsid w:val="00BE3F26"/>
    <w:rsid w:val="00BE3FD0"/>
    <w:rsid w:val="00BE402E"/>
    <w:rsid w:val="00BE40EC"/>
    <w:rsid w:val="00BE4224"/>
    <w:rsid w:val="00BE439A"/>
    <w:rsid w:val="00BE43DA"/>
    <w:rsid w:val="00BE445D"/>
    <w:rsid w:val="00BE448D"/>
    <w:rsid w:val="00BE44CA"/>
    <w:rsid w:val="00BE4504"/>
    <w:rsid w:val="00BE45EC"/>
    <w:rsid w:val="00BE468D"/>
    <w:rsid w:val="00BE4728"/>
    <w:rsid w:val="00BE47C8"/>
    <w:rsid w:val="00BE4948"/>
    <w:rsid w:val="00BE49AD"/>
    <w:rsid w:val="00BE4A70"/>
    <w:rsid w:val="00BE4AED"/>
    <w:rsid w:val="00BE4BDB"/>
    <w:rsid w:val="00BE4C09"/>
    <w:rsid w:val="00BE4D4A"/>
    <w:rsid w:val="00BE4DD8"/>
    <w:rsid w:val="00BE4F7C"/>
    <w:rsid w:val="00BE5094"/>
    <w:rsid w:val="00BE50F6"/>
    <w:rsid w:val="00BE5131"/>
    <w:rsid w:val="00BE51F0"/>
    <w:rsid w:val="00BE51FA"/>
    <w:rsid w:val="00BE5388"/>
    <w:rsid w:val="00BE53C3"/>
    <w:rsid w:val="00BE5408"/>
    <w:rsid w:val="00BE5580"/>
    <w:rsid w:val="00BE57CF"/>
    <w:rsid w:val="00BE588F"/>
    <w:rsid w:val="00BE5C18"/>
    <w:rsid w:val="00BE5D4C"/>
    <w:rsid w:val="00BE5D99"/>
    <w:rsid w:val="00BE5DBE"/>
    <w:rsid w:val="00BE5E9E"/>
    <w:rsid w:val="00BE5F70"/>
    <w:rsid w:val="00BE6073"/>
    <w:rsid w:val="00BE60E0"/>
    <w:rsid w:val="00BE6165"/>
    <w:rsid w:val="00BE6285"/>
    <w:rsid w:val="00BE6297"/>
    <w:rsid w:val="00BE636F"/>
    <w:rsid w:val="00BE640F"/>
    <w:rsid w:val="00BE648F"/>
    <w:rsid w:val="00BE64C2"/>
    <w:rsid w:val="00BE655C"/>
    <w:rsid w:val="00BE65C5"/>
    <w:rsid w:val="00BE6684"/>
    <w:rsid w:val="00BE66A6"/>
    <w:rsid w:val="00BE6774"/>
    <w:rsid w:val="00BE6858"/>
    <w:rsid w:val="00BE6899"/>
    <w:rsid w:val="00BE69C6"/>
    <w:rsid w:val="00BE6A27"/>
    <w:rsid w:val="00BE6B74"/>
    <w:rsid w:val="00BE6D0D"/>
    <w:rsid w:val="00BE6D39"/>
    <w:rsid w:val="00BE6D9B"/>
    <w:rsid w:val="00BE6E46"/>
    <w:rsid w:val="00BE6E7A"/>
    <w:rsid w:val="00BE6E99"/>
    <w:rsid w:val="00BE702B"/>
    <w:rsid w:val="00BE70E7"/>
    <w:rsid w:val="00BE7103"/>
    <w:rsid w:val="00BE71B4"/>
    <w:rsid w:val="00BE73C5"/>
    <w:rsid w:val="00BE7431"/>
    <w:rsid w:val="00BE7495"/>
    <w:rsid w:val="00BE74EC"/>
    <w:rsid w:val="00BE7711"/>
    <w:rsid w:val="00BE78DE"/>
    <w:rsid w:val="00BE7A94"/>
    <w:rsid w:val="00BE7CA3"/>
    <w:rsid w:val="00BE7E2C"/>
    <w:rsid w:val="00BE7F74"/>
    <w:rsid w:val="00BF0021"/>
    <w:rsid w:val="00BF00ED"/>
    <w:rsid w:val="00BF038F"/>
    <w:rsid w:val="00BF04C8"/>
    <w:rsid w:val="00BF05B5"/>
    <w:rsid w:val="00BF068B"/>
    <w:rsid w:val="00BF06C9"/>
    <w:rsid w:val="00BF07B9"/>
    <w:rsid w:val="00BF08A5"/>
    <w:rsid w:val="00BF0973"/>
    <w:rsid w:val="00BF09A9"/>
    <w:rsid w:val="00BF0AB4"/>
    <w:rsid w:val="00BF0B12"/>
    <w:rsid w:val="00BF0B48"/>
    <w:rsid w:val="00BF0BD3"/>
    <w:rsid w:val="00BF0C0E"/>
    <w:rsid w:val="00BF0C3F"/>
    <w:rsid w:val="00BF0C65"/>
    <w:rsid w:val="00BF0D1F"/>
    <w:rsid w:val="00BF0DF9"/>
    <w:rsid w:val="00BF0E16"/>
    <w:rsid w:val="00BF0F59"/>
    <w:rsid w:val="00BF107E"/>
    <w:rsid w:val="00BF11CF"/>
    <w:rsid w:val="00BF1297"/>
    <w:rsid w:val="00BF14BC"/>
    <w:rsid w:val="00BF14EA"/>
    <w:rsid w:val="00BF165D"/>
    <w:rsid w:val="00BF16C3"/>
    <w:rsid w:val="00BF1831"/>
    <w:rsid w:val="00BF18AD"/>
    <w:rsid w:val="00BF18DC"/>
    <w:rsid w:val="00BF1905"/>
    <w:rsid w:val="00BF193A"/>
    <w:rsid w:val="00BF199D"/>
    <w:rsid w:val="00BF19B4"/>
    <w:rsid w:val="00BF1A49"/>
    <w:rsid w:val="00BF1ADB"/>
    <w:rsid w:val="00BF1AE6"/>
    <w:rsid w:val="00BF1B26"/>
    <w:rsid w:val="00BF1E20"/>
    <w:rsid w:val="00BF1F88"/>
    <w:rsid w:val="00BF1FFB"/>
    <w:rsid w:val="00BF205D"/>
    <w:rsid w:val="00BF2173"/>
    <w:rsid w:val="00BF21CF"/>
    <w:rsid w:val="00BF2219"/>
    <w:rsid w:val="00BF2227"/>
    <w:rsid w:val="00BF2351"/>
    <w:rsid w:val="00BF2439"/>
    <w:rsid w:val="00BF283B"/>
    <w:rsid w:val="00BF2868"/>
    <w:rsid w:val="00BF28F4"/>
    <w:rsid w:val="00BF2908"/>
    <w:rsid w:val="00BF29CD"/>
    <w:rsid w:val="00BF2A3B"/>
    <w:rsid w:val="00BF2A48"/>
    <w:rsid w:val="00BF2A86"/>
    <w:rsid w:val="00BF2B27"/>
    <w:rsid w:val="00BF2BCC"/>
    <w:rsid w:val="00BF2CB1"/>
    <w:rsid w:val="00BF2DF0"/>
    <w:rsid w:val="00BF2E74"/>
    <w:rsid w:val="00BF2EE7"/>
    <w:rsid w:val="00BF30DB"/>
    <w:rsid w:val="00BF317F"/>
    <w:rsid w:val="00BF31C3"/>
    <w:rsid w:val="00BF3244"/>
    <w:rsid w:val="00BF335D"/>
    <w:rsid w:val="00BF353A"/>
    <w:rsid w:val="00BF35F8"/>
    <w:rsid w:val="00BF36F0"/>
    <w:rsid w:val="00BF37CE"/>
    <w:rsid w:val="00BF38EE"/>
    <w:rsid w:val="00BF391D"/>
    <w:rsid w:val="00BF3A62"/>
    <w:rsid w:val="00BF3AAF"/>
    <w:rsid w:val="00BF3B69"/>
    <w:rsid w:val="00BF3BDB"/>
    <w:rsid w:val="00BF3C4D"/>
    <w:rsid w:val="00BF3CAA"/>
    <w:rsid w:val="00BF3D7E"/>
    <w:rsid w:val="00BF3DBD"/>
    <w:rsid w:val="00BF3E3B"/>
    <w:rsid w:val="00BF3E40"/>
    <w:rsid w:val="00BF3EB3"/>
    <w:rsid w:val="00BF3EC1"/>
    <w:rsid w:val="00BF3F5A"/>
    <w:rsid w:val="00BF401A"/>
    <w:rsid w:val="00BF40BA"/>
    <w:rsid w:val="00BF40F2"/>
    <w:rsid w:val="00BF4153"/>
    <w:rsid w:val="00BF41DB"/>
    <w:rsid w:val="00BF421F"/>
    <w:rsid w:val="00BF4286"/>
    <w:rsid w:val="00BF439F"/>
    <w:rsid w:val="00BF43E9"/>
    <w:rsid w:val="00BF443E"/>
    <w:rsid w:val="00BF48AB"/>
    <w:rsid w:val="00BF4955"/>
    <w:rsid w:val="00BF4A4E"/>
    <w:rsid w:val="00BF4A95"/>
    <w:rsid w:val="00BF4B55"/>
    <w:rsid w:val="00BF4BFA"/>
    <w:rsid w:val="00BF4C7E"/>
    <w:rsid w:val="00BF4E4B"/>
    <w:rsid w:val="00BF4E99"/>
    <w:rsid w:val="00BF4F23"/>
    <w:rsid w:val="00BF50B7"/>
    <w:rsid w:val="00BF51B5"/>
    <w:rsid w:val="00BF51E9"/>
    <w:rsid w:val="00BF542A"/>
    <w:rsid w:val="00BF5481"/>
    <w:rsid w:val="00BF5579"/>
    <w:rsid w:val="00BF55A8"/>
    <w:rsid w:val="00BF564F"/>
    <w:rsid w:val="00BF56F5"/>
    <w:rsid w:val="00BF5759"/>
    <w:rsid w:val="00BF5793"/>
    <w:rsid w:val="00BF58D4"/>
    <w:rsid w:val="00BF58DC"/>
    <w:rsid w:val="00BF5BD2"/>
    <w:rsid w:val="00BF5C26"/>
    <w:rsid w:val="00BF5C67"/>
    <w:rsid w:val="00BF5C6D"/>
    <w:rsid w:val="00BF5F96"/>
    <w:rsid w:val="00BF6062"/>
    <w:rsid w:val="00BF6065"/>
    <w:rsid w:val="00BF6066"/>
    <w:rsid w:val="00BF6073"/>
    <w:rsid w:val="00BF61C0"/>
    <w:rsid w:val="00BF629A"/>
    <w:rsid w:val="00BF629F"/>
    <w:rsid w:val="00BF6327"/>
    <w:rsid w:val="00BF6329"/>
    <w:rsid w:val="00BF632B"/>
    <w:rsid w:val="00BF636A"/>
    <w:rsid w:val="00BF6480"/>
    <w:rsid w:val="00BF68E3"/>
    <w:rsid w:val="00BF6B14"/>
    <w:rsid w:val="00BF6B34"/>
    <w:rsid w:val="00BF6CA6"/>
    <w:rsid w:val="00BF6D3C"/>
    <w:rsid w:val="00BF6E75"/>
    <w:rsid w:val="00BF6F36"/>
    <w:rsid w:val="00BF6F7E"/>
    <w:rsid w:val="00BF6F90"/>
    <w:rsid w:val="00BF6FE0"/>
    <w:rsid w:val="00BF70B4"/>
    <w:rsid w:val="00BF71D2"/>
    <w:rsid w:val="00BF71F9"/>
    <w:rsid w:val="00BF7329"/>
    <w:rsid w:val="00BF73CC"/>
    <w:rsid w:val="00BF73DD"/>
    <w:rsid w:val="00BF75D3"/>
    <w:rsid w:val="00BF7690"/>
    <w:rsid w:val="00BF7705"/>
    <w:rsid w:val="00BF7879"/>
    <w:rsid w:val="00BF79E4"/>
    <w:rsid w:val="00BF7A13"/>
    <w:rsid w:val="00BF7AA0"/>
    <w:rsid w:val="00BF7B39"/>
    <w:rsid w:val="00BF7B5C"/>
    <w:rsid w:val="00BF7DBC"/>
    <w:rsid w:val="00BF7E12"/>
    <w:rsid w:val="00BF7E90"/>
    <w:rsid w:val="00BF7E9F"/>
    <w:rsid w:val="00BF7ED9"/>
    <w:rsid w:val="00BF7EEF"/>
    <w:rsid w:val="00BF7F3A"/>
    <w:rsid w:val="00C000F1"/>
    <w:rsid w:val="00C001BE"/>
    <w:rsid w:val="00C00340"/>
    <w:rsid w:val="00C0048B"/>
    <w:rsid w:val="00C00625"/>
    <w:rsid w:val="00C00742"/>
    <w:rsid w:val="00C0092F"/>
    <w:rsid w:val="00C009AD"/>
    <w:rsid w:val="00C009D2"/>
    <w:rsid w:val="00C00A7D"/>
    <w:rsid w:val="00C00BCE"/>
    <w:rsid w:val="00C00DFC"/>
    <w:rsid w:val="00C00E7E"/>
    <w:rsid w:val="00C00F01"/>
    <w:rsid w:val="00C00FCF"/>
    <w:rsid w:val="00C00FE6"/>
    <w:rsid w:val="00C01071"/>
    <w:rsid w:val="00C010EB"/>
    <w:rsid w:val="00C01156"/>
    <w:rsid w:val="00C01252"/>
    <w:rsid w:val="00C01339"/>
    <w:rsid w:val="00C01376"/>
    <w:rsid w:val="00C013EF"/>
    <w:rsid w:val="00C0155D"/>
    <w:rsid w:val="00C01613"/>
    <w:rsid w:val="00C016C7"/>
    <w:rsid w:val="00C0171A"/>
    <w:rsid w:val="00C017EC"/>
    <w:rsid w:val="00C01A31"/>
    <w:rsid w:val="00C01B3F"/>
    <w:rsid w:val="00C01B9E"/>
    <w:rsid w:val="00C01C11"/>
    <w:rsid w:val="00C01C18"/>
    <w:rsid w:val="00C01E54"/>
    <w:rsid w:val="00C01E89"/>
    <w:rsid w:val="00C02011"/>
    <w:rsid w:val="00C023DA"/>
    <w:rsid w:val="00C0243F"/>
    <w:rsid w:val="00C024E0"/>
    <w:rsid w:val="00C02572"/>
    <w:rsid w:val="00C025B5"/>
    <w:rsid w:val="00C02809"/>
    <w:rsid w:val="00C02816"/>
    <w:rsid w:val="00C028E2"/>
    <w:rsid w:val="00C02A3C"/>
    <w:rsid w:val="00C02B05"/>
    <w:rsid w:val="00C02B2B"/>
    <w:rsid w:val="00C02B77"/>
    <w:rsid w:val="00C02BC1"/>
    <w:rsid w:val="00C02C41"/>
    <w:rsid w:val="00C02D68"/>
    <w:rsid w:val="00C02D8A"/>
    <w:rsid w:val="00C02DD1"/>
    <w:rsid w:val="00C02DE2"/>
    <w:rsid w:val="00C02E21"/>
    <w:rsid w:val="00C02E93"/>
    <w:rsid w:val="00C02EFC"/>
    <w:rsid w:val="00C0300F"/>
    <w:rsid w:val="00C03025"/>
    <w:rsid w:val="00C032B3"/>
    <w:rsid w:val="00C03317"/>
    <w:rsid w:val="00C033D3"/>
    <w:rsid w:val="00C0345A"/>
    <w:rsid w:val="00C03609"/>
    <w:rsid w:val="00C0366F"/>
    <w:rsid w:val="00C03798"/>
    <w:rsid w:val="00C03821"/>
    <w:rsid w:val="00C038D4"/>
    <w:rsid w:val="00C038E6"/>
    <w:rsid w:val="00C039D5"/>
    <w:rsid w:val="00C03A87"/>
    <w:rsid w:val="00C03A95"/>
    <w:rsid w:val="00C03B3C"/>
    <w:rsid w:val="00C03B44"/>
    <w:rsid w:val="00C03C3A"/>
    <w:rsid w:val="00C03D9E"/>
    <w:rsid w:val="00C03F3C"/>
    <w:rsid w:val="00C03FD7"/>
    <w:rsid w:val="00C0403E"/>
    <w:rsid w:val="00C04050"/>
    <w:rsid w:val="00C0407B"/>
    <w:rsid w:val="00C0409B"/>
    <w:rsid w:val="00C040F7"/>
    <w:rsid w:val="00C04146"/>
    <w:rsid w:val="00C041A6"/>
    <w:rsid w:val="00C041BB"/>
    <w:rsid w:val="00C042D8"/>
    <w:rsid w:val="00C042FE"/>
    <w:rsid w:val="00C04308"/>
    <w:rsid w:val="00C04404"/>
    <w:rsid w:val="00C04421"/>
    <w:rsid w:val="00C04512"/>
    <w:rsid w:val="00C045F6"/>
    <w:rsid w:val="00C04712"/>
    <w:rsid w:val="00C0473C"/>
    <w:rsid w:val="00C0475B"/>
    <w:rsid w:val="00C047AA"/>
    <w:rsid w:val="00C0482B"/>
    <w:rsid w:val="00C048D2"/>
    <w:rsid w:val="00C0495C"/>
    <w:rsid w:val="00C04A32"/>
    <w:rsid w:val="00C04A92"/>
    <w:rsid w:val="00C04ACB"/>
    <w:rsid w:val="00C04B23"/>
    <w:rsid w:val="00C04BFD"/>
    <w:rsid w:val="00C04CF5"/>
    <w:rsid w:val="00C04D2D"/>
    <w:rsid w:val="00C04E03"/>
    <w:rsid w:val="00C04E9E"/>
    <w:rsid w:val="00C04EA4"/>
    <w:rsid w:val="00C050EA"/>
    <w:rsid w:val="00C0511E"/>
    <w:rsid w:val="00C0522A"/>
    <w:rsid w:val="00C05235"/>
    <w:rsid w:val="00C052A6"/>
    <w:rsid w:val="00C0531E"/>
    <w:rsid w:val="00C05359"/>
    <w:rsid w:val="00C0549B"/>
    <w:rsid w:val="00C05505"/>
    <w:rsid w:val="00C05555"/>
    <w:rsid w:val="00C055C6"/>
    <w:rsid w:val="00C056FA"/>
    <w:rsid w:val="00C059BF"/>
    <w:rsid w:val="00C059E1"/>
    <w:rsid w:val="00C05A17"/>
    <w:rsid w:val="00C05B11"/>
    <w:rsid w:val="00C05BD0"/>
    <w:rsid w:val="00C05BF0"/>
    <w:rsid w:val="00C05C71"/>
    <w:rsid w:val="00C05CE5"/>
    <w:rsid w:val="00C05DF6"/>
    <w:rsid w:val="00C05E71"/>
    <w:rsid w:val="00C05ED8"/>
    <w:rsid w:val="00C05EEE"/>
    <w:rsid w:val="00C05EF8"/>
    <w:rsid w:val="00C0626D"/>
    <w:rsid w:val="00C0639E"/>
    <w:rsid w:val="00C06465"/>
    <w:rsid w:val="00C06486"/>
    <w:rsid w:val="00C06598"/>
    <w:rsid w:val="00C065CB"/>
    <w:rsid w:val="00C067B1"/>
    <w:rsid w:val="00C068AA"/>
    <w:rsid w:val="00C06B72"/>
    <w:rsid w:val="00C06CAE"/>
    <w:rsid w:val="00C06CEE"/>
    <w:rsid w:val="00C06D2E"/>
    <w:rsid w:val="00C06E4C"/>
    <w:rsid w:val="00C06F17"/>
    <w:rsid w:val="00C06F5F"/>
    <w:rsid w:val="00C0704C"/>
    <w:rsid w:val="00C07230"/>
    <w:rsid w:val="00C072D5"/>
    <w:rsid w:val="00C07374"/>
    <w:rsid w:val="00C0745E"/>
    <w:rsid w:val="00C07484"/>
    <w:rsid w:val="00C07546"/>
    <w:rsid w:val="00C075A9"/>
    <w:rsid w:val="00C0761A"/>
    <w:rsid w:val="00C07653"/>
    <w:rsid w:val="00C0777A"/>
    <w:rsid w:val="00C0778A"/>
    <w:rsid w:val="00C0780F"/>
    <w:rsid w:val="00C078FB"/>
    <w:rsid w:val="00C07980"/>
    <w:rsid w:val="00C07A66"/>
    <w:rsid w:val="00C07B63"/>
    <w:rsid w:val="00C07C78"/>
    <w:rsid w:val="00C07CD2"/>
    <w:rsid w:val="00C07D5D"/>
    <w:rsid w:val="00C07D9F"/>
    <w:rsid w:val="00C07EBA"/>
    <w:rsid w:val="00C10063"/>
    <w:rsid w:val="00C10148"/>
    <w:rsid w:val="00C101DD"/>
    <w:rsid w:val="00C102FD"/>
    <w:rsid w:val="00C10353"/>
    <w:rsid w:val="00C103BB"/>
    <w:rsid w:val="00C103F5"/>
    <w:rsid w:val="00C104A1"/>
    <w:rsid w:val="00C104C3"/>
    <w:rsid w:val="00C104EE"/>
    <w:rsid w:val="00C1054A"/>
    <w:rsid w:val="00C1056F"/>
    <w:rsid w:val="00C106F6"/>
    <w:rsid w:val="00C107C4"/>
    <w:rsid w:val="00C10876"/>
    <w:rsid w:val="00C108A7"/>
    <w:rsid w:val="00C10ADE"/>
    <w:rsid w:val="00C10C15"/>
    <w:rsid w:val="00C10C70"/>
    <w:rsid w:val="00C10D40"/>
    <w:rsid w:val="00C10E03"/>
    <w:rsid w:val="00C10E6C"/>
    <w:rsid w:val="00C10EE3"/>
    <w:rsid w:val="00C10FFD"/>
    <w:rsid w:val="00C11009"/>
    <w:rsid w:val="00C1103E"/>
    <w:rsid w:val="00C11060"/>
    <w:rsid w:val="00C112B6"/>
    <w:rsid w:val="00C112F4"/>
    <w:rsid w:val="00C11518"/>
    <w:rsid w:val="00C115EE"/>
    <w:rsid w:val="00C115FC"/>
    <w:rsid w:val="00C11651"/>
    <w:rsid w:val="00C1165B"/>
    <w:rsid w:val="00C116CA"/>
    <w:rsid w:val="00C1187F"/>
    <w:rsid w:val="00C1192A"/>
    <w:rsid w:val="00C11A89"/>
    <w:rsid w:val="00C11ACE"/>
    <w:rsid w:val="00C11D0D"/>
    <w:rsid w:val="00C11DA9"/>
    <w:rsid w:val="00C11DB4"/>
    <w:rsid w:val="00C11F8C"/>
    <w:rsid w:val="00C121D6"/>
    <w:rsid w:val="00C122D8"/>
    <w:rsid w:val="00C123B8"/>
    <w:rsid w:val="00C1247E"/>
    <w:rsid w:val="00C124F4"/>
    <w:rsid w:val="00C12614"/>
    <w:rsid w:val="00C126CF"/>
    <w:rsid w:val="00C126F7"/>
    <w:rsid w:val="00C1278D"/>
    <w:rsid w:val="00C1280C"/>
    <w:rsid w:val="00C12895"/>
    <w:rsid w:val="00C128BC"/>
    <w:rsid w:val="00C12A53"/>
    <w:rsid w:val="00C12A55"/>
    <w:rsid w:val="00C12B54"/>
    <w:rsid w:val="00C12B77"/>
    <w:rsid w:val="00C12C50"/>
    <w:rsid w:val="00C12CE2"/>
    <w:rsid w:val="00C12D80"/>
    <w:rsid w:val="00C12FC4"/>
    <w:rsid w:val="00C13085"/>
    <w:rsid w:val="00C1318C"/>
    <w:rsid w:val="00C131FF"/>
    <w:rsid w:val="00C1328C"/>
    <w:rsid w:val="00C13335"/>
    <w:rsid w:val="00C13342"/>
    <w:rsid w:val="00C1349B"/>
    <w:rsid w:val="00C134A9"/>
    <w:rsid w:val="00C134BF"/>
    <w:rsid w:val="00C13504"/>
    <w:rsid w:val="00C13542"/>
    <w:rsid w:val="00C13583"/>
    <w:rsid w:val="00C136A8"/>
    <w:rsid w:val="00C1380B"/>
    <w:rsid w:val="00C138AC"/>
    <w:rsid w:val="00C138D8"/>
    <w:rsid w:val="00C13988"/>
    <w:rsid w:val="00C139B6"/>
    <w:rsid w:val="00C13A2F"/>
    <w:rsid w:val="00C13A41"/>
    <w:rsid w:val="00C13B68"/>
    <w:rsid w:val="00C13BAC"/>
    <w:rsid w:val="00C13C37"/>
    <w:rsid w:val="00C13D5B"/>
    <w:rsid w:val="00C13DA2"/>
    <w:rsid w:val="00C13EE2"/>
    <w:rsid w:val="00C140A1"/>
    <w:rsid w:val="00C140C8"/>
    <w:rsid w:val="00C14109"/>
    <w:rsid w:val="00C141F9"/>
    <w:rsid w:val="00C14370"/>
    <w:rsid w:val="00C143E1"/>
    <w:rsid w:val="00C1446F"/>
    <w:rsid w:val="00C1450B"/>
    <w:rsid w:val="00C1493B"/>
    <w:rsid w:val="00C149B7"/>
    <w:rsid w:val="00C14A06"/>
    <w:rsid w:val="00C14A59"/>
    <w:rsid w:val="00C14BBC"/>
    <w:rsid w:val="00C14CE9"/>
    <w:rsid w:val="00C14E97"/>
    <w:rsid w:val="00C14E9B"/>
    <w:rsid w:val="00C14ECF"/>
    <w:rsid w:val="00C14F5E"/>
    <w:rsid w:val="00C14F74"/>
    <w:rsid w:val="00C14FB9"/>
    <w:rsid w:val="00C14FFA"/>
    <w:rsid w:val="00C150B8"/>
    <w:rsid w:val="00C15164"/>
    <w:rsid w:val="00C151B9"/>
    <w:rsid w:val="00C15240"/>
    <w:rsid w:val="00C15274"/>
    <w:rsid w:val="00C1549C"/>
    <w:rsid w:val="00C154F2"/>
    <w:rsid w:val="00C1554F"/>
    <w:rsid w:val="00C155BE"/>
    <w:rsid w:val="00C15604"/>
    <w:rsid w:val="00C1564B"/>
    <w:rsid w:val="00C15820"/>
    <w:rsid w:val="00C158DF"/>
    <w:rsid w:val="00C1596D"/>
    <w:rsid w:val="00C159EA"/>
    <w:rsid w:val="00C15B51"/>
    <w:rsid w:val="00C15C55"/>
    <w:rsid w:val="00C15C7D"/>
    <w:rsid w:val="00C15DF1"/>
    <w:rsid w:val="00C15FC3"/>
    <w:rsid w:val="00C16073"/>
    <w:rsid w:val="00C16096"/>
    <w:rsid w:val="00C16115"/>
    <w:rsid w:val="00C16156"/>
    <w:rsid w:val="00C16234"/>
    <w:rsid w:val="00C1625F"/>
    <w:rsid w:val="00C16269"/>
    <w:rsid w:val="00C1636F"/>
    <w:rsid w:val="00C163A8"/>
    <w:rsid w:val="00C163E5"/>
    <w:rsid w:val="00C1673B"/>
    <w:rsid w:val="00C1678D"/>
    <w:rsid w:val="00C167A0"/>
    <w:rsid w:val="00C167A9"/>
    <w:rsid w:val="00C167AA"/>
    <w:rsid w:val="00C1687E"/>
    <w:rsid w:val="00C169AB"/>
    <w:rsid w:val="00C16A15"/>
    <w:rsid w:val="00C16AB5"/>
    <w:rsid w:val="00C16ACE"/>
    <w:rsid w:val="00C16CD6"/>
    <w:rsid w:val="00C16DCD"/>
    <w:rsid w:val="00C16DE0"/>
    <w:rsid w:val="00C16E6C"/>
    <w:rsid w:val="00C16E70"/>
    <w:rsid w:val="00C16F33"/>
    <w:rsid w:val="00C16F96"/>
    <w:rsid w:val="00C16FA1"/>
    <w:rsid w:val="00C16FA8"/>
    <w:rsid w:val="00C1715B"/>
    <w:rsid w:val="00C171A3"/>
    <w:rsid w:val="00C17289"/>
    <w:rsid w:val="00C172AF"/>
    <w:rsid w:val="00C1733C"/>
    <w:rsid w:val="00C174AC"/>
    <w:rsid w:val="00C174D7"/>
    <w:rsid w:val="00C174FF"/>
    <w:rsid w:val="00C17578"/>
    <w:rsid w:val="00C1763F"/>
    <w:rsid w:val="00C17689"/>
    <w:rsid w:val="00C176C3"/>
    <w:rsid w:val="00C17701"/>
    <w:rsid w:val="00C178A9"/>
    <w:rsid w:val="00C17A5B"/>
    <w:rsid w:val="00C17A81"/>
    <w:rsid w:val="00C17ABF"/>
    <w:rsid w:val="00C17B74"/>
    <w:rsid w:val="00C17BEA"/>
    <w:rsid w:val="00C17CB0"/>
    <w:rsid w:val="00C17CB4"/>
    <w:rsid w:val="00C17CF0"/>
    <w:rsid w:val="00C17E51"/>
    <w:rsid w:val="00C17F17"/>
    <w:rsid w:val="00C17F1B"/>
    <w:rsid w:val="00C17F24"/>
    <w:rsid w:val="00C17F37"/>
    <w:rsid w:val="00C17F63"/>
    <w:rsid w:val="00C20080"/>
    <w:rsid w:val="00C201E4"/>
    <w:rsid w:val="00C2056F"/>
    <w:rsid w:val="00C2059A"/>
    <w:rsid w:val="00C207AB"/>
    <w:rsid w:val="00C207E2"/>
    <w:rsid w:val="00C20811"/>
    <w:rsid w:val="00C209B1"/>
    <w:rsid w:val="00C20A12"/>
    <w:rsid w:val="00C20A8F"/>
    <w:rsid w:val="00C20BB5"/>
    <w:rsid w:val="00C20CBC"/>
    <w:rsid w:val="00C20D0D"/>
    <w:rsid w:val="00C20E37"/>
    <w:rsid w:val="00C20EEF"/>
    <w:rsid w:val="00C20F01"/>
    <w:rsid w:val="00C20F06"/>
    <w:rsid w:val="00C20FC3"/>
    <w:rsid w:val="00C21127"/>
    <w:rsid w:val="00C2129B"/>
    <w:rsid w:val="00C21399"/>
    <w:rsid w:val="00C213E5"/>
    <w:rsid w:val="00C2143F"/>
    <w:rsid w:val="00C215FD"/>
    <w:rsid w:val="00C21653"/>
    <w:rsid w:val="00C2176A"/>
    <w:rsid w:val="00C217B3"/>
    <w:rsid w:val="00C21823"/>
    <w:rsid w:val="00C2182A"/>
    <w:rsid w:val="00C21835"/>
    <w:rsid w:val="00C2198A"/>
    <w:rsid w:val="00C219C9"/>
    <w:rsid w:val="00C219D5"/>
    <w:rsid w:val="00C21AE6"/>
    <w:rsid w:val="00C21D99"/>
    <w:rsid w:val="00C21DFF"/>
    <w:rsid w:val="00C21E63"/>
    <w:rsid w:val="00C21E72"/>
    <w:rsid w:val="00C21F04"/>
    <w:rsid w:val="00C21F3E"/>
    <w:rsid w:val="00C21FA7"/>
    <w:rsid w:val="00C21FBA"/>
    <w:rsid w:val="00C220A7"/>
    <w:rsid w:val="00C22119"/>
    <w:rsid w:val="00C22143"/>
    <w:rsid w:val="00C221A1"/>
    <w:rsid w:val="00C223FF"/>
    <w:rsid w:val="00C2241F"/>
    <w:rsid w:val="00C224D1"/>
    <w:rsid w:val="00C2250A"/>
    <w:rsid w:val="00C22533"/>
    <w:rsid w:val="00C22949"/>
    <w:rsid w:val="00C22954"/>
    <w:rsid w:val="00C2298E"/>
    <w:rsid w:val="00C22B8E"/>
    <w:rsid w:val="00C22C43"/>
    <w:rsid w:val="00C22C93"/>
    <w:rsid w:val="00C22D29"/>
    <w:rsid w:val="00C22D74"/>
    <w:rsid w:val="00C22EDA"/>
    <w:rsid w:val="00C22EF6"/>
    <w:rsid w:val="00C22F00"/>
    <w:rsid w:val="00C23146"/>
    <w:rsid w:val="00C2317C"/>
    <w:rsid w:val="00C2322D"/>
    <w:rsid w:val="00C23322"/>
    <w:rsid w:val="00C2333C"/>
    <w:rsid w:val="00C23447"/>
    <w:rsid w:val="00C234BF"/>
    <w:rsid w:val="00C23583"/>
    <w:rsid w:val="00C235D0"/>
    <w:rsid w:val="00C235FA"/>
    <w:rsid w:val="00C2360A"/>
    <w:rsid w:val="00C236B3"/>
    <w:rsid w:val="00C2376D"/>
    <w:rsid w:val="00C2376F"/>
    <w:rsid w:val="00C239EF"/>
    <w:rsid w:val="00C23A04"/>
    <w:rsid w:val="00C23B3B"/>
    <w:rsid w:val="00C23BAF"/>
    <w:rsid w:val="00C23BF4"/>
    <w:rsid w:val="00C23D4E"/>
    <w:rsid w:val="00C23D9F"/>
    <w:rsid w:val="00C23ECF"/>
    <w:rsid w:val="00C23FAA"/>
    <w:rsid w:val="00C2403E"/>
    <w:rsid w:val="00C24057"/>
    <w:rsid w:val="00C240F1"/>
    <w:rsid w:val="00C2413D"/>
    <w:rsid w:val="00C242E5"/>
    <w:rsid w:val="00C242EE"/>
    <w:rsid w:val="00C244F7"/>
    <w:rsid w:val="00C24585"/>
    <w:rsid w:val="00C24852"/>
    <w:rsid w:val="00C2487E"/>
    <w:rsid w:val="00C248C6"/>
    <w:rsid w:val="00C24996"/>
    <w:rsid w:val="00C24A13"/>
    <w:rsid w:val="00C24A9D"/>
    <w:rsid w:val="00C24BB9"/>
    <w:rsid w:val="00C24CCE"/>
    <w:rsid w:val="00C24D06"/>
    <w:rsid w:val="00C24EAF"/>
    <w:rsid w:val="00C24F23"/>
    <w:rsid w:val="00C24F25"/>
    <w:rsid w:val="00C2511E"/>
    <w:rsid w:val="00C2535E"/>
    <w:rsid w:val="00C253FF"/>
    <w:rsid w:val="00C25547"/>
    <w:rsid w:val="00C255A2"/>
    <w:rsid w:val="00C256B3"/>
    <w:rsid w:val="00C257A1"/>
    <w:rsid w:val="00C25824"/>
    <w:rsid w:val="00C25859"/>
    <w:rsid w:val="00C25862"/>
    <w:rsid w:val="00C259C2"/>
    <w:rsid w:val="00C25A88"/>
    <w:rsid w:val="00C25ACF"/>
    <w:rsid w:val="00C25CA1"/>
    <w:rsid w:val="00C25D3C"/>
    <w:rsid w:val="00C25D6C"/>
    <w:rsid w:val="00C25DCA"/>
    <w:rsid w:val="00C25DFF"/>
    <w:rsid w:val="00C25EB2"/>
    <w:rsid w:val="00C25F0A"/>
    <w:rsid w:val="00C25F8A"/>
    <w:rsid w:val="00C260F1"/>
    <w:rsid w:val="00C2616B"/>
    <w:rsid w:val="00C2617C"/>
    <w:rsid w:val="00C26385"/>
    <w:rsid w:val="00C263DF"/>
    <w:rsid w:val="00C265D0"/>
    <w:rsid w:val="00C2663B"/>
    <w:rsid w:val="00C26678"/>
    <w:rsid w:val="00C266CF"/>
    <w:rsid w:val="00C26835"/>
    <w:rsid w:val="00C26954"/>
    <w:rsid w:val="00C26A2E"/>
    <w:rsid w:val="00C26A63"/>
    <w:rsid w:val="00C26E00"/>
    <w:rsid w:val="00C26E82"/>
    <w:rsid w:val="00C26F26"/>
    <w:rsid w:val="00C27001"/>
    <w:rsid w:val="00C27065"/>
    <w:rsid w:val="00C27166"/>
    <w:rsid w:val="00C27275"/>
    <w:rsid w:val="00C2729F"/>
    <w:rsid w:val="00C27483"/>
    <w:rsid w:val="00C274D1"/>
    <w:rsid w:val="00C2758B"/>
    <w:rsid w:val="00C275FA"/>
    <w:rsid w:val="00C277B4"/>
    <w:rsid w:val="00C27813"/>
    <w:rsid w:val="00C278F3"/>
    <w:rsid w:val="00C27975"/>
    <w:rsid w:val="00C27A3D"/>
    <w:rsid w:val="00C27A76"/>
    <w:rsid w:val="00C27B21"/>
    <w:rsid w:val="00C27CA1"/>
    <w:rsid w:val="00C27CE4"/>
    <w:rsid w:val="00C27CEF"/>
    <w:rsid w:val="00C27D50"/>
    <w:rsid w:val="00C27DB4"/>
    <w:rsid w:val="00C27DC7"/>
    <w:rsid w:val="00C27DDC"/>
    <w:rsid w:val="00C27E7A"/>
    <w:rsid w:val="00C27E85"/>
    <w:rsid w:val="00C2C759"/>
    <w:rsid w:val="00C30082"/>
    <w:rsid w:val="00C3009A"/>
    <w:rsid w:val="00C300C1"/>
    <w:rsid w:val="00C301E0"/>
    <w:rsid w:val="00C301F2"/>
    <w:rsid w:val="00C3027F"/>
    <w:rsid w:val="00C30379"/>
    <w:rsid w:val="00C3055E"/>
    <w:rsid w:val="00C30579"/>
    <w:rsid w:val="00C3067F"/>
    <w:rsid w:val="00C30762"/>
    <w:rsid w:val="00C30774"/>
    <w:rsid w:val="00C307AD"/>
    <w:rsid w:val="00C3088C"/>
    <w:rsid w:val="00C30A9D"/>
    <w:rsid w:val="00C30AA9"/>
    <w:rsid w:val="00C30BB1"/>
    <w:rsid w:val="00C30C45"/>
    <w:rsid w:val="00C30C5C"/>
    <w:rsid w:val="00C30C92"/>
    <w:rsid w:val="00C30D09"/>
    <w:rsid w:val="00C30F42"/>
    <w:rsid w:val="00C30F79"/>
    <w:rsid w:val="00C31329"/>
    <w:rsid w:val="00C313B7"/>
    <w:rsid w:val="00C313B9"/>
    <w:rsid w:val="00C313FE"/>
    <w:rsid w:val="00C31440"/>
    <w:rsid w:val="00C31579"/>
    <w:rsid w:val="00C3159C"/>
    <w:rsid w:val="00C315D3"/>
    <w:rsid w:val="00C31628"/>
    <w:rsid w:val="00C31698"/>
    <w:rsid w:val="00C31741"/>
    <w:rsid w:val="00C31899"/>
    <w:rsid w:val="00C31994"/>
    <w:rsid w:val="00C31A75"/>
    <w:rsid w:val="00C31B24"/>
    <w:rsid w:val="00C31B2F"/>
    <w:rsid w:val="00C31C0B"/>
    <w:rsid w:val="00C31C45"/>
    <w:rsid w:val="00C31CBB"/>
    <w:rsid w:val="00C31D8F"/>
    <w:rsid w:val="00C31E0B"/>
    <w:rsid w:val="00C31E77"/>
    <w:rsid w:val="00C31FB4"/>
    <w:rsid w:val="00C32080"/>
    <w:rsid w:val="00C321F9"/>
    <w:rsid w:val="00C322BA"/>
    <w:rsid w:val="00C323E5"/>
    <w:rsid w:val="00C323FE"/>
    <w:rsid w:val="00C3249B"/>
    <w:rsid w:val="00C3251F"/>
    <w:rsid w:val="00C32564"/>
    <w:rsid w:val="00C32566"/>
    <w:rsid w:val="00C32632"/>
    <w:rsid w:val="00C32700"/>
    <w:rsid w:val="00C328C4"/>
    <w:rsid w:val="00C328DF"/>
    <w:rsid w:val="00C32920"/>
    <w:rsid w:val="00C32BDA"/>
    <w:rsid w:val="00C32E36"/>
    <w:rsid w:val="00C3307D"/>
    <w:rsid w:val="00C330C1"/>
    <w:rsid w:val="00C331F7"/>
    <w:rsid w:val="00C33283"/>
    <w:rsid w:val="00C3334B"/>
    <w:rsid w:val="00C333C3"/>
    <w:rsid w:val="00C3373C"/>
    <w:rsid w:val="00C33896"/>
    <w:rsid w:val="00C3390B"/>
    <w:rsid w:val="00C33979"/>
    <w:rsid w:val="00C339DF"/>
    <w:rsid w:val="00C33AB4"/>
    <w:rsid w:val="00C33BD2"/>
    <w:rsid w:val="00C33CA3"/>
    <w:rsid w:val="00C33D15"/>
    <w:rsid w:val="00C33DA5"/>
    <w:rsid w:val="00C33DE9"/>
    <w:rsid w:val="00C33EAF"/>
    <w:rsid w:val="00C33FD2"/>
    <w:rsid w:val="00C34058"/>
    <w:rsid w:val="00C340F6"/>
    <w:rsid w:val="00C34357"/>
    <w:rsid w:val="00C34369"/>
    <w:rsid w:val="00C34454"/>
    <w:rsid w:val="00C34490"/>
    <w:rsid w:val="00C344A9"/>
    <w:rsid w:val="00C345FB"/>
    <w:rsid w:val="00C346BE"/>
    <w:rsid w:val="00C347F1"/>
    <w:rsid w:val="00C34803"/>
    <w:rsid w:val="00C34905"/>
    <w:rsid w:val="00C3493F"/>
    <w:rsid w:val="00C349B1"/>
    <w:rsid w:val="00C34A64"/>
    <w:rsid w:val="00C34A90"/>
    <w:rsid w:val="00C34BF0"/>
    <w:rsid w:val="00C34CBA"/>
    <w:rsid w:val="00C34DC8"/>
    <w:rsid w:val="00C34EF4"/>
    <w:rsid w:val="00C34FA9"/>
    <w:rsid w:val="00C34FD9"/>
    <w:rsid w:val="00C35146"/>
    <w:rsid w:val="00C3524F"/>
    <w:rsid w:val="00C35295"/>
    <w:rsid w:val="00C352BA"/>
    <w:rsid w:val="00C3532F"/>
    <w:rsid w:val="00C353BC"/>
    <w:rsid w:val="00C353E8"/>
    <w:rsid w:val="00C3546C"/>
    <w:rsid w:val="00C35491"/>
    <w:rsid w:val="00C35791"/>
    <w:rsid w:val="00C35897"/>
    <w:rsid w:val="00C3599C"/>
    <w:rsid w:val="00C35AD9"/>
    <w:rsid w:val="00C35C5D"/>
    <w:rsid w:val="00C35D30"/>
    <w:rsid w:val="00C35D3F"/>
    <w:rsid w:val="00C35EB7"/>
    <w:rsid w:val="00C35F34"/>
    <w:rsid w:val="00C35F74"/>
    <w:rsid w:val="00C36028"/>
    <w:rsid w:val="00C36051"/>
    <w:rsid w:val="00C360F2"/>
    <w:rsid w:val="00C36133"/>
    <w:rsid w:val="00C36192"/>
    <w:rsid w:val="00C362A2"/>
    <w:rsid w:val="00C3641A"/>
    <w:rsid w:val="00C36662"/>
    <w:rsid w:val="00C3683F"/>
    <w:rsid w:val="00C368F8"/>
    <w:rsid w:val="00C36A2A"/>
    <w:rsid w:val="00C36A76"/>
    <w:rsid w:val="00C36B0A"/>
    <w:rsid w:val="00C36B4B"/>
    <w:rsid w:val="00C36B97"/>
    <w:rsid w:val="00C36C08"/>
    <w:rsid w:val="00C36DA2"/>
    <w:rsid w:val="00C36E8A"/>
    <w:rsid w:val="00C36ED0"/>
    <w:rsid w:val="00C37226"/>
    <w:rsid w:val="00C37273"/>
    <w:rsid w:val="00C373B0"/>
    <w:rsid w:val="00C37519"/>
    <w:rsid w:val="00C37743"/>
    <w:rsid w:val="00C3786B"/>
    <w:rsid w:val="00C378A9"/>
    <w:rsid w:val="00C379CA"/>
    <w:rsid w:val="00C37A4E"/>
    <w:rsid w:val="00C37C7F"/>
    <w:rsid w:val="00C37CCF"/>
    <w:rsid w:val="00C37E19"/>
    <w:rsid w:val="00C37EC7"/>
    <w:rsid w:val="00C37EF3"/>
    <w:rsid w:val="00C37FD5"/>
    <w:rsid w:val="00C401C6"/>
    <w:rsid w:val="00C40445"/>
    <w:rsid w:val="00C405C3"/>
    <w:rsid w:val="00C4072E"/>
    <w:rsid w:val="00C407ED"/>
    <w:rsid w:val="00C4084A"/>
    <w:rsid w:val="00C40894"/>
    <w:rsid w:val="00C40A9D"/>
    <w:rsid w:val="00C40BD6"/>
    <w:rsid w:val="00C40D1A"/>
    <w:rsid w:val="00C40DDE"/>
    <w:rsid w:val="00C41032"/>
    <w:rsid w:val="00C41043"/>
    <w:rsid w:val="00C410D0"/>
    <w:rsid w:val="00C4114F"/>
    <w:rsid w:val="00C412F8"/>
    <w:rsid w:val="00C413E6"/>
    <w:rsid w:val="00C4163F"/>
    <w:rsid w:val="00C41667"/>
    <w:rsid w:val="00C41676"/>
    <w:rsid w:val="00C41760"/>
    <w:rsid w:val="00C417C2"/>
    <w:rsid w:val="00C4183C"/>
    <w:rsid w:val="00C418FD"/>
    <w:rsid w:val="00C41922"/>
    <w:rsid w:val="00C41C51"/>
    <w:rsid w:val="00C41C72"/>
    <w:rsid w:val="00C41CAA"/>
    <w:rsid w:val="00C41D1F"/>
    <w:rsid w:val="00C41E84"/>
    <w:rsid w:val="00C41F42"/>
    <w:rsid w:val="00C420EE"/>
    <w:rsid w:val="00C4211F"/>
    <w:rsid w:val="00C4215E"/>
    <w:rsid w:val="00C421E5"/>
    <w:rsid w:val="00C42305"/>
    <w:rsid w:val="00C42360"/>
    <w:rsid w:val="00C425AB"/>
    <w:rsid w:val="00C42608"/>
    <w:rsid w:val="00C426E4"/>
    <w:rsid w:val="00C4275E"/>
    <w:rsid w:val="00C429B9"/>
    <w:rsid w:val="00C42B10"/>
    <w:rsid w:val="00C42B3F"/>
    <w:rsid w:val="00C42BEA"/>
    <w:rsid w:val="00C42C86"/>
    <w:rsid w:val="00C42D68"/>
    <w:rsid w:val="00C42E03"/>
    <w:rsid w:val="00C43038"/>
    <w:rsid w:val="00C43087"/>
    <w:rsid w:val="00C430C1"/>
    <w:rsid w:val="00C43292"/>
    <w:rsid w:val="00C43499"/>
    <w:rsid w:val="00C43637"/>
    <w:rsid w:val="00C43746"/>
    <w:rsid w:val="00C437AC"/>
    <w:rsid w:val="00C43836"/>
    <w:rsid w:val="00C438FE"/>
    <w:rsid w:val="00C43A58"/>
    <w:rsid w:val="00C43B2D"/>
    <w:rsid w:val="00C43B8C"/>
    <w:rsid w:val="00C43C15"/>
    <w:rsid w:val="00C43C63"/>
    <w:rsid w:val="00C43E43"/>
    <w:rsid w:val="00C44029"/>
    <w:rsid w:val="00C440B4"/>
    <w:rsid w:val="00C441B9"/>
    <w:rsid w:val="00C441EF"/>
    <w:rsid w:val="00C44288"/>
    <w:rsid w:val="00C4434B"/>
    <w:rsid w:val="00C44412"/>
    <w:rsid w:val="00C44491"/>
    <w:rsid w:val="00C44542"/>
    <w:rsid w:val="00C445AD"/>
    <w:rsid w:val="00C445BC"/>
    <w:rsid w:val="00C44602"/>
    <w:rsid w:val="00C4473C"/>
    <w:rsid w:val="00C44891"/>
    <w:rsid w:val="00C448CB"/>
    <w:rsid w:val="00C449A6"/>
    <w:rsid w:val="00C44A33"/>
    <w:rsid w:val="00C44E32"/>
    <w:rsid w:val="00C44E99"/>
    <w:rsid w:val="00C44E9D"/>
    <w:rsid w:val="00C44F2C"/>
    <w:rsid w:val="00C44FAC"/>
    <w:rsid w:val="00C450C0"/>
    <w:rsid w:val="00C451DF"/>
    <w:rsid w:val="00C452C5"/>
    <w:rsid w:val="00C45385"/>
    <w:rsid w:val="00C454A5"/>
    <w:rsid w:val="00C454D7"/>
    <w:rsid w:val="00C4550F"/>
    <w:rsid w:val="00C4553B"/>
    <w:rsid w:val="00C4558B"/>
    <w:rsid w:val="00C456A3"/>
    <w:rsid w:val="00C456CE"/>
    <w:rsid w:val="00C45845"/>
    <w:rsid w:val="00C458AC"/>
    <w:rsid w:val="00C458E8"/>
    <w:rsid w:val="00C45A38"/>
    <w:rsid w:val="00C45AAD"/>
    <w:rsid w:val="00C45ADD"/>
    <w:rsid w:val="00C45AF1"/>
    <w:rsid w:val="00C45BA2"/>
    <w:rsid w:val="00C45BF3"/>
    <w:rsid w:val="00C45C6C"/>
    <w:rsid w:val="00C45D16"/>
    <w:rsid w:val="00C45E0B"/>
    <w:rsid w:val="00C45E4D"/>
    <w:rsid w:val="00C45EB2"/>
    <w:rsid w:val="00C45EBA"/>
    <w:rsid w:val="00C45F18"/>
    <w:rsid w:val="00C46142"/>
    <w:rsid w:val="00C461D3"/>
    <w:rsid w:val="00C461E8"/>
    <w:rsid w:val="00C46217"/>
    <w:rsid w:val="00C4632E"/>
    <w:rsid w:val="00C46403"/>
    <w:rsid w:val="00C46445"/>
    <w:rsid w:val="00C464BD"/>
    <w:rsid w:val="00C464D4"/>
    <w:rsid w:val="00C464E0"/>
    <w:rsid w:val="00C465D5"/>
    <w:rsid w:val="00C465D7"/>
    <w:rsid w:val="00C46627"/>
    <w:rsid w:val="00C46895"/>
    <w:rsid w:val="00C468A6"/>
    <w:rsid w:val="00C46931"/>
    <w:rsid w:val="00C46A6D"/>
    <w:rsid w:val="00C46B4B"/>
    <w:rsid w:val="00C46D45"/>
    <w:rsid w:val="00C46E51"/>
    <w:rsid w:val="00C46F8A"/>
    <w:rsid w:val="00C470D6"/>
    <w:rsid w:val="00C47174"/>
    <w:rsid w:val="00C471F4"/>
    <w:rsid w:val="00C47231"/>
    <w:rsid w:val="00C47239"/>
    <w:rsid w:val="00C47313"/>
    <w:rsid w:val="00C47328"/>
    <w:rsid w:val="00C47364"/>
    <w:rsid w:val="00C473B0"/>
    <w:rsid w:val="00C473EF"/>
    <w:rsid w:val="00C473FA"/>
    <w:rsid w:val="00C47451"/>
    <w:rsid w:val="00C47594"/>
    <w:rsid w:val="00C47650"/>
    <w:rsid w:val="00C47710"/>
    <w:rsid w:val="00C47774"/>
    <w:rsid w:val="00C4777F"/>
    <w:rsid w:val="00C47785"/>
    <w:rsid w:val="00C47788"/>
    <w:rsid w:val="00C47983"/>
    <w:rsid w:val="00C47A34"/>
    <w:rsid w:val="00C47A58"/>
    <w:rsid w:val="00C47A73"/>
    <w:rsid w:val="00C47AA5"/>
    <w:rsid w:val="00C47BA7"/>
    <w:rsid w:val="00C47C62"/>
    <w:rsid w:val="00C47F0A"/>
    <w:rsid w:val="00C50100"/>
    <w:rsid w:val="00C50152"/>
    <w:rsid w:val="00C501A8"/>
    <w:rsid w:val="00C5020F"/>
    <w:rsid w:val="00C5024E"/>
    <w:rsid w:val="00C5026F"/>
    <w:rsid w:val="00C50339"/>
    <w:rsid w:val="00C50399"/>
    <w:rsid w:val="00C503FE"/>
    <w:rsid w:val="00C504AB"/>
    <w:rsid w:val="00C504AF"/>
    <w:rsid w:val="00C504B0"/>
    <w:rsid w:val="00C50530"/>
    <w:rsid w:val="00C5056A"/>
    <w:rsid w:val="00C506EB"/>
    <w:rsid w:val="00C507B6"/>
    <w:rsid w:val="00C507D7"/>
    <w:rsid w:val="00C508C6"/>
    <w:rsid w:val="00C509DF"/>
    <w:rsid w:val="00C50A44"/>
    <w:rsid w:val="00C50BB8"/>
    <w:rsid w:val="00C50C84"/>
    <w:rsid w:val="00C50CEC"/>
    <w:rsid w:val="00C50E3B"/>
    <w:rsid w:val="00C50E9F"/>
    <w:rsid w:val="00C50FD4"/>
    <w:rsid w:val="00C5136A"/>
    <w:rsid w:val="00C5137D"/>
    <w:rsid w:val="00C5143B"/>
    <w:rsid w:val="00C51515"/>
    <w:rsid w:val="00C51518"/>
    <w:rsid w:val="00C51536"/>
    <w:rsid w:val="00C51578"/>
    <w:rsid w:val="00C515A3"/>
    <w:rsid w:val="00C5166B"/>
    <w:rsid w:val="00C516B4"/>
    <w:rsid w:val="00C518D2"/>
    <w:rsid w:val="00C519A4"/>
    <w:rsid w:val="00C519BC"/>
    <w:rsid w:val="00C51A90"/>
    <w:rsid w:val="00C51C05"/>
    <w:rsid w:val="00C51D63"/>
    <w:rsid w:val="00C51D93"/>
    <w:rsid w:val="00C51DE1"/>
    <w:rsid w:val="00C51E7D"/>
    <w:rsid w:val="00C51FFB"/>
    <w:rsid w:val="00C52027"/>
    <w:rsid w:val="00C52062"/>
    <w:rsid w:val="00C521B0"/>
    <w:rsid w:val="00C524AB"/>
    <w:rsid w:val="00C52577"/>
    <w:rsid w:val="00C52748"/>
    <w:rsid w:val="00C52754"/>
    <w:rsid w:val="00C52834"/>
    <w:rsid w:val="00C5286C"/>
    <w:rsid w:val="00C52875"/>
    <w:rsid w:val="00C528FB"/>
    <w:rsid w:val="00C52AD8"/>
    <w:rsid w:val="00C52B4F"/>
    <w:rsid w:val="00C52C87"/>
    <w:rsid w:val="00C52CAD"/>
    <w:rsid w:val="00C52CD7"/>
    <w:rsid w:val="00C52CE6"/>
    <w:rsid w:val="00C52F06"/>
    <w:rsid w:val="00C52F10"/>
    <w:rsid w:val="00C52F54"/>
    <w:rsid w:val="00C52F7D"/>
    <w:rsid w:val="00C530A4"/>
    <w:rsid w:val="00C531DF"/>
    <w:rsid w:val="00C53250"/>
    <w:rsid w:val="00C533EB"/>
    <w:rsid w:val="00C53416"/>
    <w:rsid w:val="00C535BE"/>
    <w:rsid w:val="00C53716"/>
    <w:rsid w:val="00C53764"/>
    <w:rsid w:val="00C53939"/>
    <w:rsid w:val="00C53A93"/>
    <w:rsid w:val="00C53BC1"/>
    <w:rsid w:val="00C53D2B"/>
    <w:rsid w:val="00C53ED6"/>
    <w:rsid w:val="00C54151"/>
    <w:rsid w:val="00C54175"/>
    <w:rsid w:val="00C543AB"/>
    <w:rsid w:val="00C544B7"/>
    <w:rsid w:val="00C545CD"/>
    <w:rsid w:val="00C545DE"/>
    <w:rsid w:val="00C547A2"/>
    <w:rsid w:val="00C5485F"/>
    <w:rsid w:val="00C54A73"/>
    <w:rsid w:val="00C54ACE"/>
    <w:rsid w:val="00C54BD1"/>
    <w:rsid w:val="00C54BDA"/>
    <w:rsid w:val="00C54C9A"/>
    <w:rsid w:val="00C54D29"/>
    <w:rsid w:val="00C54E82"/>
    <w:rsid w:val="00C54F17"/>
    <w:rsid w:val="00C54F3D"/>
    <w:rsid w:val="00C54FE7"/>
    <w:rsid w:val="00C5509A"/>
    <w:rsid w:val="00C550F0"/>
    <w:rsid w:val="00C551A6"/>
    <w:rsid w:val="00C55213"/>
    <w:rsid w:val="00C55304"/>
    <w:rsid w:val="00C5536E"/>
    <w:rsid w:val="00C55564"/>
    <w:rsid w:val="00C55773"/>
    <w:rsid w:val="00C5577A"/>
    <w:rsid w:val="00C5579B"/>
    <w:rsid w:val="00C558BE"/>
    <w:rsid w:val="00C5595D"/>
    <w:rsid w:val="00C55B3D"/>
    <w:rsid w:val="00C55DBF"/>
    <w:rsid w:val="00C55EA6"/>
    <w:rsid w:val="00C56054"/>
    <w:rsid w:val="00C56139"/>
    <w:rsid w:val="00C5615F"/>
    <w:rsid w:val="00C561F8"/>
    <w:rsid w:val="00C5628C"/>
    <w:rsid w:val="00C56353"/>
    <w:rsid w:val="00C563E6"/>
    <w:rsid w:val="00C563F5"/>
    <w:rsid w:val="00C5645F"/>
    <w:rsid w:val="00C5648A"/>
    <w:rsid w:val="00C564F1"/>
    <w:rsid w:val="00C5655A"/>
    <w:rsid w:val="00C5659D"/>
    <w:rsid w:val="00C565DB"/>
    <w:rsid w:val="00C566CE"/>
    <w:rsid w:val="00C566D1"/>
    <w:rsid w:val="00C566DB"/>
    <w:rsid w:val="00C5678C"/>
    <w:rsid w:val="00C568BB"/>
    <w:rsid w:val="00C56928"/>
    <w:rsid w:val="00C56A3B"/>
    <w:rsid w:val="00C56A56"/>
    <w:rsid w:val="00C56ABB"/>
    <w:rsid w:val="00C56ACF"/>
    <w:rsid w:val="00C56C1D"/>
    <w:rsid w:val="00C56F11"/>
    <w:rsid w:val="00C56FD9"/>
    <w:rsid w:val="00C5700D"/>
    <w:rsid w:val="00C57355"/>
    <w:rsid w:val="00C57382"/>
    <w:rsid w:val="00C5745A"/>
    <w:rsid w:val="00C575CE"/>
    <w:rsid w:val="00C57705"/>
    <w:rsid w:val="00C57833"/>
    <w:rsid w:val="00C5784A"/>
    <w:rsid w:val="00C57AD3"/>
    <w:rsid w:val="00C57B79"/>
    <w:rsid w:val="00C57B84"/>
    <w:rsid w:val="00C57BA2"/>
    <w:rsid w:val="00C600EF"/>
    <w:rsid w:val="00C60194"/>
    <w:rsid w:val="00C602DE"/>
    <w:rsid w:val="00C603F7"/>
    <w:rsid w:val="00C604AE"/>
    <w:rsid w:val="00C60587"/>
    <w:rsid w:val="00C605BB"/>
    <w:rsid w:val="00C60610"/>
    <w:rsid w:val="00C60616"/>
    <w:rsid w:val="00C6071F"/>
    <w:rsid w:val="00C60730"/>
    <w:rsid w:val="00C60922"/>
    <w:rsid w:val="00C60961"/>
    <w:rsid w:val="00C60A18"/>
    <w:rsid w:val="00C60A19"/>
    <w:rsid w:val="00C60A2E"/>
    <w:rsid w:val="00C60AFA"/>
    <w:rsid w:val="00C60E0F"/>
    <w:rsid w:val="00C60F4A"/>
    <w:rsid w:val="00C60F63"/>
    <w:rsid w:val="00C611BF"/>
    <w:rsid w:val="00C612B3"/>
    <w:rsid w:val="00C6144B"/>
    <w:rsid w:val="00C61477"/>
    <w:rsid w:val="00C6147E"/>
    <w:rsid w:val="00C614CE"/>
    <w:rsid w:val="00C61604"/>
    <w:rsid w:val="00C61695"/>
    <w:rsid w:val="00C616A0"/>
    <w:rsid w:val="00C61804"/>
    <w:rsid w:val="00C6187C"/>
    <w:rsid w:val="00C61883"/>
    <w:rsid w:val="00C61921"/>
    <w:rsid w:val="00C619DF"/>
    <w:rsid w:val="00C61A0A"/>
    <w:rsid w:val="00C61AB5"/>
    <w:rsid w:val="00C61C01"/>
    <w:rsid w:val="00C61CAD"/>
    <w:rsid w:val="00C61D8E"/>
    <w:rsid w:val="00C61DC1"/>
    <w:rsid w:val="00C62017"/>
    <w:rsid w:val="00C6214D"/>
    <w:rsid w:val="00C62204"/>
    <w:rsid w:val="00C6244B"/>
    <w:rsid w:val="00C624C9"/>
    <w:rsid w:val="00C624F2"/>
    <w:rsid w:val="00C62518"/>
    <w:rsid w:val="00C625A0"/>
    <w:rsid w:val="00C625A7"/>
    <w:rsid w:val="00C625CF"/>
    <w:rsid w:val="00C625E2"/>
    <w:rsid w:val="00C6263B"/>
    <w:rsid w:val="00C62699"/>
    <w:rsid w:val="00C62855"/>
    <w:rsid w:val="00C62A88"/>
    <w:rsid w:val="00C62D4C"/>
    <w:rsid w:val="00C62DBD"/>
    <w:rsid w:val="00C62E61"/>
    <w:rsid w:val="00C62F1B"/>
    <w:rsid w:val="00C62F7A"/>
    <w:rsid w:val="00C62F92"/>
    <w:rsid w:val="00C630EC"/>
    <w:rsid w:val="00C634F7"/>
    <w:rsid w:val="00C6350A"/>
    <w:rsid w:val="00C6352C"/>
    <w:rsid w:val="00C63550"/>
    <w:rsid w:val="00C636C0"/>
    <w:rsid w:val="00C63730"/>
    <w:rsid w:val="00C63890"/>
    <w:rsid w:val="00C6390D"/>
    <w:rsid w:val="00C63924"/>
    <w:rsid w:val="00C6394B"/>
    <w:rsid w:val="00C63970"/>
    <w:rsid w:val="00C63A91"/>
    <w:rsid w:val="00C63AB1"/>
    <w:rsid w:val="00C63B4F"/>
    <w:rsid w:val="00C63BC3"/>
    <w:rsid w:val="00C63C3D"/>
    <w:rsid w:val="00C63D42"/>
    <w:rsid w:val="00C63E47"/>
    <w:rsid w:val="00C63F28"/>
    <w:rsid w:val="00C63FBC"/>
    <w:rsid w:val="00C64097"/>
    <w:rsid w:val="00C64319"/>
    <w:rsid w:val="00C643ED"/>
    <w:rsid w:val="00C6444A"/>
    <w:rsid w:val="00C644E2"/>
    <w:rsid w:val="00C64504"/>
    <w:rsid w:val="00C646CB"/>
    <w:rsid w:val="00C647EA"/>
    <w:rsid w:val="00C64851"/>
    <w:rsid w:val="00C648F4"/>
    <w:rsid w:val="00C64A0E"/>
    <w:rsid w:val="00C64B7C"/>
    <w:rsid w:val="00C64D1B"/>
    <w:rsid w:val="00C64E5C"/>
    <w:rsid w:val="00C64F7D"/>
    <w:rsid w:val="00C64F83"/>
    <w:rsid w:val="00C64FB6"/>
    <w:rsid w:val="00C65030"/>
    <w:rsid w:val="00C65045"/>
    <w:rsid w:val="00C65113"/>
    <w:rsid w:val="00C65131"/>
    <w:rsid w:val="00C651B5"/>
    <w:rsid w:val="00C652E8"/>
    <w:rsid w:val="00C65341"/>
    <w:rsid w:val="00C6564A"/>
    <w:rsid w:val="00C656DF"/>
    <w:rsid w:val="00C65739"/>
    <w:rsid w:val="00C6589B"/>
    <w:rsid w:val="00C6596C"/>
    <w:rsid w:val="00C65A21"/>
    <w:rsid w:val="00C65A3B"/>
    <w:rsid w:val="00C65A7D"/>
    <w:rsid w:val="00C65BA0"/>
    <w:rsid w:val="00C65BFF"/>
    <w:rsid w:val="00C65CD0"/>
    <w:rsid w:val="00C65EA0"/>
    <w:rsid w:val="00C66066"/>
    <w:rsid w:val="00C660FA"/>
    <w:rsid w:val="00C662EE"/>
    <w:rsid w:val="00C6631A"/>
    <w:rsid w:val="00C66340"/>
    <w:rsid w:val="00C66358"/>
    <w:rsid w:val="00C663B1"/>
    <w:rsid w:val="00C665F6"/>
    <w:rsid w:val="00C66618"/>
    <w:rsid w:val="00C666B0"/>
    <w:rsid w:val="00C6673E"/>
    <w:rsid w:val="00C66A0E"/>
    <w:rsid w:val="00C66A38"/>
    <w:rsid w:val="00C66A55"/>
    <w:rsid w:val="00C66BF7"/>
    <w:rsid w:val="00C66C27"/>
    <w:rsid w:val="00C66CEA"/>
    <w:rsid w:val="00C66D5C"/>
    <w:rsid w:val="00C66D74"/>
    <w:rsid w:val="00C66DC9"/>
    <w:rsid w:val="00C66E2C"/>
    <w:rsid w:val="00C66E2D"/>
    <w:rsid w:val="00C66EC6"/>
    <w:rsid w:val="00C66ECC"/>
    <w:rsid w:val="00C66F75"/>
    <w:rsid w:val="00C66F85"/>
    <w:rsid w:val="00C67002"/>
    <w:rsid w:val="00C67098"/>
    <w:rsid w:val="00C6728D"/>
    <w:rsid w:val="00C672A6"/>
    <w:rsid w:val="00C6733E"/>
    <w:rsid w:val="00C67454"/>
    <w:rsid w:val="00C674F5"/>
    <w:rsid w:val="00C67554"/>
    <w:rsid w:val="00C675A9"/>
    <w:rsid w:val="00C675DE"/>
    <w:rsid w:val="00C676A1"/>
    <w:rsid w:val="00C67737"/>
    <w:rsid w:val="00C67953"/>
    <w:rsid w:val="00C6795C"/>
    <w:rsid w:val="00C6797F"/>
    <w:rsid w:val="00C679AF"/>
    <w:rsid w:val="00C679CE"/>
    <w:rsid w:val="00C679D3"/>
    <w:rsid w:val="00C67AFD"/>
    <w:rsid w:val="00C67B5F"/>
    <w:rsid w:val="00C67BAE"/>
    <w:rsid w:val="00C67D1E"/>
    <w:rsid w:val="00C67D98"/>
    <w:rsid w:val="00C67D9A"/>
    <w:rsid w:val="00C67E12"/>
    <w:rsid w:val="00C67E4C"/>
    <w:rsid w:val="00C67E99"/>
    <w:rsid w:val="00C67EEF"/>
    <w:rsid w:val="00C67F5B"/>
    <w:rsid w:val="00C67F61"/>
    <w:rsid w:val="00C70027"/>
    <w:rsid w:val="00C70054"/>
    <w:rsid w:val="00C7006B"/>
    <w:rsid w:val="00C700C7"/>
    <w:rsid w:val="00C7012A"/>
    <w:rsid w:val="00C7019C"/>
    <w:rsid w:val="00C701B3"/>
    <w:rsid w:val="00C701D6"/>
    <w:rsid w:val="00C703E7"/>
    <w:rsid w:val="00C7050F"/>
    <w:rsid w:val="00C705C3"/>
    <w:rsid w:val="00C7060E"/>
    <w:rsid w:val="00C70737"/>
    <w:rsid w:val="00C707AD"/>
    <w:rsid w:val="00C70802"/>
    <w:rsid w:val="00C70964"/>
    <w:rsid w:val="00C709F0"/>
    <w:rsid w:val="00C70A45"/>
    <w:rsid w:val="00C70BEF"/>
    <w:rsid w:val="00C70D81"/>
    <w:rsid w:val="00C70E24"/>
    <w:rsid w:val="00C70F2E"/>
    <w:rsid w:val="00C70FE0"/>
    <w:rsid w:val="00C71010"/>
    <w:rsid w:val="00C71055"/>
    <w:rsid w:val="00C710D6"/>
    <w:rsid w:val="00C71249"/>
    <w:rsid w:val="00C71378"/>
    <w:rsid w:val="00C713DD"/>
    <w:rsid w:val="00C7162D"/>
    <w:rsid w:val="00C716AA"/>
    <w:rsid w:val="00C7181E"/>
    <w:rsid w:val="00C718C2"/>
    <w:rsid w:val="00C718CD"/>
    <w:rsid w:val="00C718D6"/>
    <w:rsid w:val="00C7191B"/>
    <w:rsid w:val="00C71B21"/>
    <w:rsid w:val="00C71E03"/>
    <w:rsid w:val="00C71EC0"/>
    <w:rsid w:val="00C71F76"/>
    <w:rsid w:val="00C71F8D"/>
    <w:rsid w:val="00C71FDC"/>
    <w:rsid w:val="00C71FE5"/>
    <w:rsid w:val="00C72078"/>
    <w:rsid w:val="00C72084"/>
    <w:rsid w:val="00C7209B"/>
    <w:rsid w:val="00C72312"/>
    <w:rsid w:val="00C72330"/>
    <w:rsid w:val="00C72393"/>
    <w:rsid w:val="00C7248B"/>
    <w:rsid w:val="00C72496"/>
    <w:rsid w:val="00C724CD"/>
    <w:rsid w:val="00C724D0"/>
    <w:rsid w:val="00C72560"/>
    <w:rsid w:val="00C72762"/>
    <w:rsid w:val="00C727AF"/>
    <w:rsid w:val="00C728D6"/>
    <w:rsid w:val="00C72B50"/>
    <w:rsid w:val="00C72B68"/>
    <w:rsid w:val="00C72C9E"/>
    <w:rsid w:val="00C72D3E"/>
    <w:rsid w:val="00C72E01"/>
    <w:rsid w:val="00C72E58"/>
    <w:rsid w:val="00C72EFF"/>
    <w:rsid w:val="00C72F69"/>
    <w:rsid w:val="00C72FD6"/>
    <w:rsid w:val="00C73037"/>
    <w:rsid w:val="00C731AE"/>
    <w:rsid w:val="00C732D7"/>
    <w:rsid w:val="00C732DE"/>
    <w:rsid w:val="00C7330A"/>
    <w:rsid w:val="00C7347B"/>
    <w:rsid w:val="00C734C7"/>
    <w:rsid w:val="00C7352D"/>
    <w:rsid w:val="00C736CA"/>
    <w:rsid w:val="00C7375B"/>
    <w:rsid w:val="00C737FA"/>
    <w:rsid w:val="00C738C0"/>
    <w:rsid w:val="00C738C9"/>
    <w:rsid w:val="00C739AA"/>
    <w:rsid w:val="00C73A11"/>
    <w:rsid w:val="00C73BCB"/>
    <w:rsid w:val="00C73BF6"/>
    <w:rsid w:val="00C73C31"/>
    <w:rsid w:val="00C73E23"/>
    <w:rsid w:val="00C73E5B"/>
    <w:rsid w:val="00C74079"/>
    <w:rsid w:val="00C740EE"/>
    <w:rsid w:val="00C7415E"/>
    <w:rsid w:val="00C74162"/>
    <w:rsid w:val="00C7423A"/>
    <w:rsid w:val="00C7426A"/>
    <w:rsid w:val="00C742F6"/>
    <w:rsid w:val="00C744E2"/>
    <w:rsid w:val="00C744F9"/>
    <w:rsid w:val="00C74517"/>
    <w:rsid w:val="00C74627"/>
    <w:rsid w:val="00C747A5"/>
    <w:rsid w:val="00C74863"/>
    <w:rsid w:val="00C748F0"/>
    <w:rsid w:val="00C74A7A"/>
    <w:rsid w:val="00C74A7E"/>
    <w:rsid w:val="00C74B4B"/>
    <w:rsid w:val="00C74BC2"/>
    <w:rsid w:val="00C74BFD"/>
    <w:rsid w:val="00C74C4F"/>
    <w:rsid w:val="00C74CF8"/>
    <w:rsid w:val="00C74D84"/>
    <w:rsid w:val="00C75030"/>
    <w:rsid w:val="00C752C7"/>
    <w:rsid w:val="00C752D7"/>
    <w:rsid w:val="00C7538E"/>
    <w:rsid w:val="00C753B8"/>
    <w:rsid w:val="00C753DA"/>
    <w:rsid w:val="00C7541F"/>
    <w:rsid w:val="00C75628"/>
    <w:rsid w:val="00C757C4"/>
    <w:rsid w:val="00C757DD"/>
    <w:rsid w:val="00C757F0"/>
    <w:rsid w:val="00C758B9"/>
    <w:rsid w:val="00C758C0"/>
    <w:rsid w:val="00C758E2"/>
    <w:rsid w:val="00C75914"/>
    <w:rsid w:val="00C759D6"/>
    <w:rsid w:val="00C759FA"/>
    <w:rsid w:val="00C75AD2"/>
    <w:rsid w:val="00C75B71"/>
    <w:rsid w:val="00C75B81"/>
    <w:rsid w:val="00C75BCC"/>
    <w:rsid w:val="00C75D54"/>
    <w:rsid w:val="00C75DCE"/>
    <w:rsid w:val="00C75E94"/>
    <w:rsid w:val="00C75EB7"/>
    <w:rsid w:val="00C76240"/>
    <w:rsid w:val="00C762E5"/>
    <w:rsid w:val="00C763E8"/>
    <w:rsid w:val="00C76571"/>
    <w:rsid w:val="00C76578"/>
    <w:rsid w:val="00C7657C"/>
    <w:rsid w:val="00C7679E"/>
    <w:rsid w:val="00C76907"/>
    <w:rsid w:val="00C76923"/>
    <w:rsid w:val="00C76AFD"/>
    <w:rsid w:val="00C77023"/>
    <w:rsid w:val="00C77218"/>
    <w:rsid w:val="00C77307"/>
    <w:rsid w:val="00C773AA"/>
    <w:rsid w:val="00C77471"/>
    <w:rsid w:val="00C7755E"/>
    <w:rsid w:val="00C77796"/>
    <w:rsid w:val="00C77799"/>
    <w:rsid w:val="00C77825"/>
    <w:rsid w:val="00C778EA"/>
    <w:rsid w:val="00C779D1"/>
    <w:rsid w:val="00C77AA3"/>
    <w:rsid w:val="00C77B5A"/>
    <w:rsid w:val="00C77B6D"/>
    <w:rsid w:val="00C77B9F"/>
    <w:rsid w:val="00C77D5B"/>
    <w:rsid w:val="00C77D62"/>
    <w:rsid w:val="00C77D98"/>
    <w:rsid w:val="00C77E9B"/>
    <w:rsid w:val="00C77EA5"/>
    <w:rsid w:val="00C77EE4"/>
    <w:rsid w:val="00C8014D"/>
    <w:rsid w:val="00C8030E"/>
    <w:rsid w:val="00C804BE"/>
    <w:rsid w:val="00C805DE"/>
    <w:rsid w:val="00C805E8"/>
    <w:rsid w:val="00C8066C"/>
    <w:rsid w:val="00C80672"/>
    <w:rsid w:val="00C806E5"/>
    <w:rsid w:val="00C807A0"/>
    <w:rsid w:val="00C80804"/>
    <w:rsid w:val="00C80823"/>
    <w:rsid w:val="00C80A44"/>
    <w:rsid w:val="00C80A60"/>
    <w:rsid w:val="00C80B90"/>
    <w:rsid w:val="00C80C07"/>
    <w:rsid w:val="00C80CB6"/>
    <w:rsid w:val="00C80CDA"/>
    <w:rsid w:val="00C80CE0"/>
    <w:rsid w:val="00C80D7A"/>
    <w:rsid w:val="00C80FC1"/>
    <w:rsid w:val="00C811A8"/>
    <w:rsid w:val="00C81230"/>
    <w:rsid w:val="00C8126F"/>
    <w:rsid w:val="00C812E9"/>
    <w:rsid w:val="00C813AB"/>
    <w:rsid w:val="00C813C9"/>
    <w:rsid w:val="00C8151B"/>
    <w:rsid w:val="00C8160F"/>
    <w:rsid w:val="00C816FF"/>
    <w:rsid w:val="00C81B16"/>
    <w:rsid w:val="00C81B37"/>
    <w:rsid w:val="00C81B4B"/>
    <w:rsid w:val="00C81C51"/>
    <w:rsid w:val="00C81DE4"/>
    <w:rsid w:val="00C81E59"/>
    <w:rsid w:val="00C81F1A"/>
    <w:rsid w:val="00C81F53"/>
    <w:rsid w:val="00C81F95"/>
    <w:rsid w:val="00C82047"/>
    <w:rsid w:val="00C820C2"/>
    <w:rsid w:val="00C820C8"/>
    <w:rsid w:val="00C82214"/>
    <w:rsid w:val="00C823A7"/>
    <w:rsid w:val="00C82501"/>
    <w:rsid w:val="00C82510"/>
    <w:rsid w:val="00C8267B"/>
    <w:rsid w:val="00C8267F"/>
    <w:rsid w:val="00C826A9"/>
    <w:rsid w:val="00C826FF"/>
    <w:rsid w:val="00C827B9"/>
    <w:rsid w:val="00C82848"/>
    <w:rsid w:val="00C828AC"/>
    <w:rsid w:val="00C828C7"/>
    <w:rsid w:val="00C82912"/>
    <w:rsid w:val="00C829CD"/>
    <w:rsid w:val="00C829D3"/>
    <w:rsid w:val="00C82A38"/>
    <w:rsid w:val="00C82B09"/>
    <w:rsid w:val="00C82DDC"/>
    <w:rsid w:val="00C82FB3"/>
    <w:rsid w:val="00C8302B"/>
    <w:rsid w:val="00C83240"/>
    <w:rsid w:val="00C832DE"/>
    <w:rsid w:val="00C832EE"/>
    <w:rsid w:val="00C8335B"/>
    <w:rsid w:val="00C83414"/>
    <w:rsid w:val="00C8342A"/>
    <w:rsid w:val="00C83455"/>
    <w:rsid w:val="00C834B5"/>
    <w:rsid w:val="00C834B8"/>
    <w:rsid w:val="00C83589"/>
    <w:rsid w:val="00C836D7"/>
    <w:rsid w:val="00C83700"/>
    <w:rsid w:val="00C83872"/>
    <w:rsid w:val="00C83A4A"/>
    <w:rsid w:val="00C83B1B"/>
    <w:rsid w:val="00C83BBF"/>
    <w:rsid w:val="00C83C34"/>
    <w:rsid w:val="00C83C64"/>
    <w:rsid w:val="00C83C81"/>
    <w:rsid w:val="00C83D37"/>
    <w:rsid w:val="00C83D48"/>
    <w:rsid w:val="00C83E65"/>
    <w:rsid w:val="00C83F41"/>
    <w:rsid w:val="00C83FDE"/>
    <w:rsid w:val="00C84196"/>
    <w:rsid w:val="00C841ED"/>
    <w:rsid w:val="00C84209"/>
    <w:rsid w:val="00C8425D"/>
    <w:rsid w:val="00C842D8"/>
    <w:rsid w:val="00C84377"/>
    <w:rsid w:val="00C84462"/>
    <w:rsid w:val="00C8457F"/>
    <w:rsid w:val="00C84603"/>
    <w:rsid w:val="00C8475E"/>
    <w:rsid w:val="00C84880"/>
    <w:rsid w:val="00C848DF"/>
    <w:rsid w:val="00C848F1"/>
    <w:rsid w:val="00C84924"/>
    <w:rsid w:val="00C84A65"/>
    <w:rsid w:val="00C84A8F"/>
    <w:rsid w:val="00C84AB4"/>
    <w:rsid w:val="00C84BD7"/>
    <w:rsid w:val="00C84BF7"/>
    <w:rsid w:val="00C84DAD"/>
    <w:rsid w:val="00C85068"/>
    <w:rsid w:val="00C851D0"/>
    <w:rsid w:val="00C852DE"/>
    <w:rsid w:val="00C856CF"/>
    <w:rsid w:val="00C857AF"/>
    <w:rsid w:val="00C8582B"/>
    <w:rsid w:val="00C859F0"/>
    <w:rsid w:val="00C85A42"/>
    <w:rsid w:val="00C85AB2"/>
    <w:rsid w:val="00C85AC5"/>
    <w:rsid w:val="00C85AE2"/>
    <w:rsid w:val="00C85AF8"/>
    <w:rsid w:val="00C85C0F"/>
    <w:rsid w:val="00C85C9C"/>
    <w:rsid w:val="00C85CBE"/>
    <w:rsid w:val="00C85D98"/>
    <w:rsid w:val="00C85DB4"/>
    <w:rsid w:val="00C85F82"/>
    <w:rsid w:val="00C85F93"/>
    <w:rsid w:val="00C8618D"/>
    <w:rsid w:val="00C86227"/>
    <w:rsid w:val="00C86348"/>
    <w:rsid w:val="00C866D7"/>
    <w:rsid w:val="00C86788"/>
    <w:rsid w:val="00C867BA"/>
    <w:rsid w:val="00C868DF"/>
    <w:rsid w:val="00C86B79"/>
    <w:rsid w:val="00C86BEE"/>
    <w:rsid w:val="00C86C3F"/>
    <w:rsid w:val="00C86D3E"/>
    <w:rsid w:val="00C86E8C"/>
    <w:rsid w:val="00C86FAE"/>
    <w:rsid w:val="00C87081"/>
    <w:rsid w:val="00C87089"/>
    <w:rsid w:val="00C87093"/>
    <w:rsid w:val="00C8712B"/>
    <w:rsid w:val="00C871A3"/>
    <w:rsid w:val="00C871FA"/>
    <w:rsid w:val="00C87259"/>
    <w:rsid w:val="00C87305"/>
    <w:rsid w:val="00C875C8"/>
    <w:rsid w:val="00C87751"/>
    <w:rsid w:val="00C878D6"/>
    <w:rsid w:val="00C87A11"/>
    <w:rsid w:val="00C87AD1"/>
    <w:rsid w:val="00C87CB8"/>
    <w:rsid w:val="00C87D60"/>
    <w:rsid w:val="00C87EA3"/>
    <w:rsid w:val="00C87F06"/>
    <w:rsid w:val="00C87F25"/>
    <w:rsid w:val="00C87F2A"/>
    <w:rsid w:val="00C90017"/>
    <w:rsid w:val="00C900DA"/>
    <w:rsid w:val="00C90282"/>
    <w:rsid w:val="00C902EB"/>
    <w:rsid w:val="00C9058D"/>
    <w:rsid w:val="00C90598"/>
    <w:rsid w:val="00C90607"/>
    <w:rsid w:val="00C90729"/>
    <w:rsid w:val="00C90782"/>
    <w:rsid w:val="00C90955"/>
    <w:rsid w:val="00C90A08"/>
    <w:rsid w:val="00C90A1F"/>
    <w:rsid w:val="00C90A39"/>
    <w:rsid w:val="00C90ABE"/>
    <w:rsid w:val="00C90AF0"/>
    <w:rsid w:val="00C90B42"/>
    <w:rsid w:val="00C90C3B"/>
    <w:rsid w:val="00C90C4D"/>
    <w:rsid w:val="00C9103B"/>
    <w:rsid w:val="00C91059"/>
    <w:rsid w:val="00C910E4"/>
    <w:rsid w:val="00C91121"/>
    <w:rsid w:val="00C91144"/>
    <w:rsid w:val="00C91185"/>
    <w:rsid w:val="00C911BF"/>
    <w:rsid w:val="00C911EA"/>
    <w:rsid w:val="00C912F9"/>
    <w:rsid w:val="00C91373"/>
    <w:rsid w:val="00C913C0"/>
    <w:rsid w:val="00C91400"/>
    <w:rsid w:val="00C91449"/>
    <w:rsid w:val="00C9148C"/>
    <w:rsid w:val="00C91535"/>
    <w:rsid w:val="00C915D7"/>
    <w:rsid w:val="00C9164C"/>
    <w:rsid w:val="00C916D1"/>
    <w:rsid w:val="00C9189A"/>
    <w:rsid w:val="00C9193B"/>
    <w:rsid w:val="00C91B58"/>
    <w:rsid w:val="00C91B5B"/>
    <w:rsid w:val="00C91BDA"/>
    <w:rsid w:val="00C91C3B"/>
    <w:rsid w:val="00C91CBD"/>
    <w:rsid w:val="00C91DEB"/>
    <w:rsid w:val="00C91E00"/>
    <w:rsid w:val="00C91E4C"/>
    <w:rsid w:val="00C91E81"/>
    <w:rsid w:val="00C91EDE"/>
    <w:rsid w:val="00C9200F"/>
    <w:rsid w:val="00C920FF"/>
    <w:rsid w:val="00C92102"/>
    <w:rsid w:val="00C92105"/>
    <w:rsid w:val="00C92157"/>
    <w:rsid w:val="00C92318"/>
    <w:rsid w:val="00C923FA"/>
    <w:rsid w:val="00C92548"/>
    <w:rsid w:val="00C92566"/>
    <w:rsid w:val="00C925D6"/>
    <w:rsid w:val="00C92639"/>
    <w:rsid w:val="00C927E4"/>
    <w:rsid w:val="00C92840"/>
    <w:rsid w:val="00C9295B"/>
    <w:rsid w:val="00C92966"/>
    <w:rsid w:val="00C92978"/>
    <w:rsid w:val="00C9299A"/>
    <w:rsid w:val="00C92A69"/>
    <w:rsid w:val="00C92B5C"/>
    <w:rsid w:val="00C92C51"/>
    <w:rsid w:val="00C92CA5"/>
    <w:rsid w:val="00C92CC7"/>
    <w:rsid w:val="00C92DB6"/>
    <w:rsid w:val="00C92E41"/>
    <w:rsid w:val="00C92F10"/>
    <w:rsid w:val="00C92F12"/>
    <w:rsid w:val="00C92F7A"/>
    <w:rsid w:val="00C92FB4"/>
    <w:rsid w:val="00C93022"/>
    <w:rsid w:val="00C9303F"/>
    <w:rsid w:val="00C930A3"/>
    <w:rsid w:val="00C93103"/>
    <w:rsid w:val="00C93421"/>
    <w:rsid w:val="00C9344B"/>
    <w:rsid w:val="00C935FA"/>
    <w:rsid w:val="00C9361A"/>
    <w:rsid w:val="00C93685"/>
    <w:rsid w:val="00C9384A"/>
    <w:rsid w:val="00C93898"/>
    <w:rsid w:val="00C938F3"/>
    <w:rsid w:val="00C938FC"/>
    <w:rsid w:val="00C93B44"/>
    <w:rsid w:val="00C93BBC"/>
    <w:rsid w:val="00C94099"/>
    <w:rsid w:val="00C940C7"/>
    <w:rsid w:val="00C9420C"/>
    <w:rsid w:val="00C9426C"/>
    <w:rsid w:val="00C94422"/>
    <w:rsid w:val="00C94491"/>
    <w:rsid w:val="00C9449F"/>
    <w:rsid w:val="00C944B3"/>
    <w:rsid w:val="00C94572"/>
    <w:rsid w:val="00C94601"/>
    <w:rsid w:val="00C9467B"/>
    <w:rsid w:val="00C947A6"/>
    <w:rsid w:val="00C947C7"/>
    <w:rsid w:val="00C94857"/>
    <w:rsid w:val="00C94A42"/>
    <w:rsid w:val="00C94AB7"/>
    <w:rsid w:val="00C94AB8"/>
    <w:rsid w:val="00C94B87"/>
    <w:rsid w:val="00C94C2C"/>
    <w:rsid w:val="00C94CE7"/>
    <w:rsid w:val="00C94D55"/>
    <w:rsid w:val="00C94DA8"/>
    <w:rsid w:val="00C94DEC"/>
    <w:rsid w:val="00C94DF5"/>
    <w:rsid w:val="00C94F11"/>
    <w:rsid w:val="00C95023"/>
    <w:rsid w:val="00C951C9"/>
    <w:rsid w:val="00C95355"/>
    <w:rsid w:val="00C9535A"/>
    <w:rsid w:val="00C954F5"/>
    <w:rsid w:val="00C956B0"/>
    <w:rsid w:val="00C9573C"/>
    <w:rsid w:val="00C95795"/>
    <w:rsid w:val="00C95849"/>
    <w:rsid w:val="00C9587F"/>
    <w:rsid w:val="00C9595B"/>
    <w:rsid w:val="00C95A8A"/>
    <w:rsid w:val="00C95CCD"/>
    <w:rsid w:val="00C95D1E"/>
    <w:rsid w:val="00C95F70"/>
    <w:rsid w:val="00C96015"/>
    <w:rsid w:val="00C96098"/>
    <w:rsid w:val="00C96174"/>
    <w:rsid w:val="00C961B4"/>
    <w:rsid w:val="00C96338"/>
    <w:rsid w:val="00C96589"/>
    <w:rsid w:val="00C965D8"/>
    <w:rsid w:val="00C9663F"/>
    <w:rsid w:val="00C96661"/>
    <w:rsid w:val="00C9672A"/>
    <w:rsid w:val="00C967C2"/>
    <w:rsid w:val="00C9684F"/>
    <w:rsid w:val="00C9691E"/>
    <w:rsid w:val="00C9697E"/>
    <w:rsid w:val="00C969F6"/>
    <w:rsid w:val="00C96A1A"/>
    <w:rsid w:val="00C96BCC"/>
    <w:rsid w:val="00C96BD9"/>
    <w:rsid w:val="00C96D75"/>
    <w:rsid w:val="00C96D88"/>
    <w:rsid w:val="00C96F76"/>
    <w:rsid w:val="00C97142"/>
    <w:rsid w:val="00C97160"/>
    <w:rsid w:val="00C971E7"/>
    <w:rsid w:val="00C973A2"/>
    <w:rsid w:val="00C973DA"/>
    <w:rsid w:val="00C9764C"/>
    <w:rsid w:val="00C977E7"/>
    <w:rsid w:val="00C977F9"/>
    <w:rsid w:val="00C978C8"/>
    <w:rsid w:val="00C97AC6"/>
    <w:rsid w:val="00C97D74"/>
    <w:rsid w:val="00C97E2F"/>
    <w:rsid w:val="00C97E5A"/>
    <w:rsid w:val="00CA0072"/>
    <w:rsid w:val="00CA00BC"/>
    <w:rsid w:val="00CA02AA"/>
    <w:rsid w:val="00CA0307"/>
    <w:rsid w:val="00CA035E"/>
    <w:rsid w:val="00CA0460"/>
    <w:rsid w:val="00CA06EB"/>
    <w:rsid w:val="00CA06F3"/>
    <w:rsid w:val="00CA07AB"/>
    <w:rsid w:val="00CA090F"/>
    <w:rsid w:val="00CA0A99"/>
    <w:rsid w:val="00CA0AAD"/>
    <w:rsid w:val="00CA0DCC"/>
    <w:rsid w:val="00CA0E5A"/>
    <w:rsid w:val="00CA0E9A"/>
    <w:rsid w:val="00CA0EF3"/>
    <w:rsid w:val="00CA100A"/>
    <w:rsid w:val="00CA106C"/>
    <w:rsid w:val="00CA10D1"/>
    <w:rsid w:val="00CA1289"/>
    <w:rsid w:val="00CA12C7"/>
    <w:rsid w:val="00CA1400"/>
    <w:rsid w:val="00CA1447"/>
    <w:rsid w:val="00CA146B"/>
    <w:rsid w:val="00CA14A6"/>
    <w:rsid w:val="00CA1596"/>
    <w:rsid w:val="00CA167F"/>
    <w:rsid w:val="00CA178F"/>
    <w:rsid w:val="00CA1870"/>
    <w:rsid w:val="00CA196B"/>
    <w:rsid w:val="00CA199C"/>
    <w:rsid w:val="00CA19D8"/>
    <w:rsid w:val="00CA19EC"/>
    <w:rsid w:val="00CA1A73"/>
    <w:rsid w:val="00CA1CE4"/>
    <w:rsid w:val="00CA1D9C"/>
    <w:rsid w:val="00CA1E9E"/>
    <w:rsid w:val="00CA1FF1"/>
    <w:rsid w:val="00CA215C"/>
    <w:rsid w:val="00CA22AA"/>
    <w:rsid w:val="00CA22BD"/>
    <w:rsid w:val="00CA24A1"/>
    <w:rsid w:val="00CA2571"/>
    <w:rsid w:val="00CA26F7"/>
    <w:rsid w:val="00CA2722"/>
    <w:rsid w:val="00CA278F"/>
    <w:rsid w:val="00CA27B4"/>
    <w:rsid w:val="00CA2849"/>
    <w:rsid w:val="00CA28DB"/>
    <w:rsid w:val="00CA2A19"/>
    <w:rsid w:val="00CA2AE0"/>
    <w:rsid w:val="00CA2C4E"/>
    <w:rsid w:val="00CA2CD7"/>
    <w:rsid w:val="00CA2CDA"/>
    <w:rsid w:val="00CA2CE1"/>
    <w:rsid w:val="00CA2D97"/>
    <w:rsid w:val="00CA2DA3"/>
    <w:rsid w:val="00CA2E72"/>
    <w:rsid w:val="00CA2ECA"/>
    <w:rsid w:val="00CA2EE5"/>
    <w:rsid w:val="00CA2EF1"/>
    <w:rsid w:val="00CA2F17"/>
    <w:rsid w:val="00CA30B9"/>
    <w:rsid w:val="00CA3222"/>
    <w:rsid w:val="00CA3424"/>
    <w:rsid w:val="00CA35D9"/>
    <w:rsid w:val="00CA3676"/>
    <w:rsid w:val="00CA3866"/>
    <w:rsid w:val="00CA38DE"/>
    <w:rsid w:val="00CA3AAF"/>
    <w:rsid w:val="00CA3AB2"/>
    <w:rsid w:val="00CA3CB1"/>
    <w:rsid w:val="00CA3D8A"/>
    <w:rsid w:val="00CA3EAF"/>
    <w:rsid w:val="00CA3ED3"/>
    <w:rsid w:val="00CA3F29"/>
    <w:rsid w:val="00CA3F45"/>
    <w:rsid w:val="00CA3F7D"/>
    <w:rsid w:val="00CA3FE1"/>
    <w:rsid w:val="00CA4099"/>
    <w:rsid w:val="00CA41A6"/>
    <w:rsid w:val="00CA41E7"/>
    <w:rsid w:val="00CA41FA"/>
    <w:rsid w:val="00CA4378"/>
    <w:rsid w:val="00CA4444"/>
    <w:rsid w:val="00CA44EE"/>
    <w:rsid w:val="00CA44F0"/>
    <w:rsid w:val="00CA4502"/>
    <w:rsid w:val="00CA4574"/>
    <w:rsid w:val="00CA4609"/>
    <w:rsid w:val="00CA4688"/>
    <w:rsid w:val="00CA46B2"/>
    <w:rsid w:val="00CA48C0"/>
    <w:rsid w:val="00CA49B9"/>
    <w:rsid w:val="00CA4B43"/>
    <w:rsid w:val="00CA4C48"/>
    <w:rsid w:val="00CA4C76"/>
    <w:rsid w:val="00CA4CC6"/>
    <w:rsid w:val="00CA4D02"/>
    <w:rsid w:val="00CA4D74"/>
    <w:rsid w:val="00CA4DFA"/>
    <w:rsid w:val="00CA4DFF"/>
    <w:rsid w:val="00CA4E2D"/>
    <w:rsid w:val="00CA4F3F"/>
    <w:rsid w:val="00CA4FD6"/>
    <w:rsid w:val="00CA4FFB"/>
    <w:rsid w:val="00CA50F5"/>
    <w:rsid w:val="00CA5131"/>
    <w:rsid w:val="00CA516B"/>
    <w:rsid w:val="00CA518F"/>
    <w:rsid w:val="00CA524B"/>
    <w:rsid w:val="00CA535B"/>
    <w:rsid w:val="00CA53B0"/>
    <w:rsid w:val="00CA558F"/>
    <w:rsid w:val="00CA56B8"/>
    <w:rsid w:val="00CA573A"/>
    <w:rsid w:val="00CA59A4"/>
    <w:rsid w:val="00CA5A1F"/>
    <w:rsid w:val="00CA5AE8"/>
    <w:rsid w:val="00CA5B79"/>
    <w:rsid w:val="00CA5E22"/>
    <w:rsid w:val="00CA6153"/>
    <w:rsid w:val="00CA6286"/>
    <w:rsid w:val="00CA62D9"/>
    <w:rsid w:val="00CA6592"/>
    <w:rsid w:val="00CA6621"/>
    <w:rsid w:val="00CA66B3"/>
    <w:rsid w:val="00CA6722"/>
    <w:rsid w:val="00CA67ED"/>
    <w:rsid w:val="00CA68A5"/>
    <w:rsid w:val="00CA68FF"/>
    <w:rsid w:val="00CA69B7"/>
    <w:rsid w:val="00CA6A15"/>
    <w:rsid w:val="00CA6DBF"/>
    <w:rsid w:val="00CA6E27"/>
    <w:rsid w:val="00CA6E93"/>
    <w:rsid w:val="00CA6F8B"/>
    <w:rsid w:val="00CA6FB1"/>
    <w:rsid w:val="00CA7061"/>
    <w:rsid w:val="00CA707B"/>
    <w:rsid w:val="00CA70DB"/>
    <w:rsid w:val="00CA7119"/>
    <w:rsid w:val="00CA71C3"/>
    <w:rsid w:val="00CA7341"/>
    <w:rsid w:val="00CA735B"/>
    <w:rsid w:val="00CA73DF"/>
    <w:rsid w:val="00CA73E7"/>
    <w:rsid w:val="00CA7432"/>
    <w:rsid w:val="00CA75AB"/>
    <w:rsid w:val="00CA7661"/>
    <w:rsid w:val="00CA7721"/>
    <w:rsid w:val="00CA77D4"/>
    <w:rsid w:val="00CA795A"/>
    <w:rsid w:val="00CA79E2"/>
    <w:rsid w:val="00CA7A5F"/>
    <w:rsid w:val="00CA7C15"/>
    <w:rsid w:val="00CA7C3A"/>
    <w:rsid w:val="00CA7D7F"/>
    <w:rsid w:val="00CA7D8D"/>
    <w:rsid w:val="00CA7DF9"/>
    <w:rsid w:val="00CA7F0F"/>
    <w:rsid w:val="00CA7F2F"/>
    <w:rsid w:val="00CA7F9B"/>
    <w:rsid w:val="00CB0095"/>
    <w:rsid w:val="00CB0209"/>
    <w:rsid w:val="00CB032E"/>
    <w:rsid w:val="00CB048B"/>
    <w:rsid w:val="00CB04C8"/>
    <w:rsid w:val="00CB0571"/>
    <w:rsid w:val="00CB059E"/>
    <w:rsid w:val="00CB06E2"/>
    <w:rsid w:val="00CB0707"/>
    <w:rsid w:val="00CB07FC"/>
    <w:rsid w:val="00CB08A1"/>
    <w:rsid w:val="00CB0913"/>
    <w:rsid w:val="00CB0AF0"/>
    <w:rsid w:val="00CB0BDB"/>
    <w:rsid w:val="00CB0EAC"/>
    <w:rsid w:val="00CB0EB7"/>
    <w:rsid w:val="00CB0F2D"/>
    <w:rsid w:val="00CB0F37"/>
    <w:rsid w:val="00CB0F7D"/>
    <w:rsid w:val="00CB0FB6"/>
    <w:rsid w:val="00CB1013"/>
    <w:rsid w:val="00CB101B"/>
    <w:rsid w:val="00CB10AB"/>
    <w:rsid w:val="00CB1147"/>
    <w:rsid w:val="00CB116B"/>
    <w:rsid w:val="00CB11EE"/>
    <w:rsid w:val="00CB1289"/>
    <w:rsid w:val="00CB13AD"/>
    <w:rsid w:val="00CB14B5"/>
    <w:rsid w:val="00CB14CD"/>
    <w:rsid w:val="00CB167E"/>
    <w:rsid w:val="00CB16F7"/>
    <w:rsid w:val="00CB170E"/>
    <w:rsid w:val="00CB181B"/>
    <w:rsid w:val="00CB1A55"/>
    <w:rsid w:val="00CB1ADA"/>
    <w:rsid w:val="00CB1B0B"/>
    <w:rsid w:val="00CB1BA6"/>
    <w:rsid w:val="00CB1BB0"/>
    <w:rsid w:val="00CB1BC2"/>
    <w:rsid w:val="00CB1D41"/>
    <w:rsid w:val="00CB1E2C"/>
    <w:rsid w:val="00CB2004"/>
    <w:rsid w:val="00CB2073"/>
    <w:rsid w:val="00CB207B"/>
    <w:rsid w:val="00CB221F"/>
    <w:rsid w:val="00CB22FF"/>
    <w:rsid w:val="00CB2424"/>
    <w:rsid w:val="00CB2445"/>
    <w:rsid w:val="00CB2508"/>
    <w:rsid w:val="00CB25B8"/>
    <w:rsid w:val="00CB25C8"/>
    <w:rsid w:val="00CB260A"/>
    <w:rsid w:val="00CB262C"/>
    <w:rsid w:val="00CB2648"/>
    <w:rsid w:val="00CB2712"/>
    <w:rsid w:val="00CB2743"/>
    <w:rsid w:val="00CB27CF"/>
    <w:rsid w:val="00CB280D"/>
    <w:rsid w:val="00CB290A"/>
    <w:rsid w:val="00CB295D"/>
    <w:rsid w:val="00CB299D"/>
    <w:rsid w:val="00CB2B54"/>
    <w:rsid w:val="00CB2C5B"/>
    <w:rsid w:val="00CB2C75"/>
    <w:rsid w:val="00CB2CF6"/>
    <w:rsid w:val="00CB2E5F"/>
    <w:rsid w:val="00CB2E65"/>
    <w:rsid w:val="00CB2FE2"/>
    <w:rsid w:val="00CB308F"/>
    <w:rsid w:val="00CB30F2"/>
    <w:rsid w:val="00CB316A"/>
    <w:rsid w:val="00CB31EA"/>
    <w:rsid w:val="00CB31F7"/>
    <w:rsid w:val="00CB330C"/>
    <w:rsid w:val="00CB3339"/>
    <w:rsid w:val="00CB3344"/>
    <w:rsid w:val="00CB3358"/>
    <w:rsid w:val="00CB3695"/>
    <w:rsid w:val="00CB3709"/>
    <w:rsid w:val="00CB38BC"/>
    <w:rsid w:val="00CB3A02"/>
    <w:rsid w:val="00CB3B4D"/>
    <w:rsid w:val="00CB3B4E"/>
    <w:rsid w:val="00CB3C0A"/>
    <w:rsid w:val="00CB3C69"/>
    <w:rsid w:val="00CB3CA0"/>
    <w:rsid w:val="00CB3D85"/>
    <w:rsid w:val="00CB3DAB"/>
    <w:rsid w:val="00CB4068"/>
    <w:rsid w:val="00CB4077"/>
    <w:rsid w:val="00CB41F5"/>
    <w:rsid w:val="00CB43D2"/>
    <w:rsid w:val="00CB441C"/>
    <w:rsid w:val="00CB4493"/>
    <w:rsid w:val="00CB44C9"/>
    <w:rsid w:val="00CB4502"/>
    <w:rsid w:val="00CB450C"/>
    <w:rsid w:val="00CB4622"/>
    <w:rsid w:val="00CB46CD"/>
    <w:rsid w:val="00CB487E"/>
    <w:rsid w:val="00CB49AC"/>
    <w:rsid w:val="00CB4A36"/>
    <w:rsid w:val="00CB4A97"/>
    <w:rsid w:val="00CB4B92"/>
    <w:rsid w:val="00CB4C37"/>
    <w:rsid w:val="00CB4D01"/>
    <w:rsid w:val="00CB4DA0"/>
    <w:rsid w:val="00CB4DC7"/>
    <w:rsid w:val="00CB4ECC"/>
    <w:rsid w:val="00CB4EF8"/>
    <w:rsid w:val="00CB509B"/>
    <w:rsid w:val="00CB50EC"/>
    <w:rsid w:val="00CB5247"/>
    <w:rsid w:val="00CB526E"/>
    <w:rsid w:val="00CB54B1"/>
    <w:rsid w:val="00CB562C"/>
    <w:rsid w:val="00CB578E"/>
    <w:rsid w:val="00CB593F"/>
    <w:rsid w:val="00CB594F"/>
    <w:rsid w:val="00CB5986"/>
    <w:rsid w:val="00CB5A38"/>
    <w:rsid w:val="00CB5B6F"/>
    <w:rsid w:val="00CB5E8D"/>
    <w:rsid w:val="00CB6026"/>
    <w:rsid w:val="00CB604B"/>
    <w:rsid w:val="00CB60C9"/>
    <w:rsid w:val="00CB60CE"/>
    <w:rsid w:val="00CB6182"/>
    <w:rsid w:val="00CB625C"/>
    <w:rsid w:val="00CB627B"/>
    <w:rsid w:val="00CB6336"/>
    <w:rsid w:val="00CB64BB"/>
    <w:rsid w:val="00CB6508"/>
    <w:rsid w:val="00CB65D5"/>
    <w:rsid w:val="00CB663D"/>
    <w:rsid w:val="00CB6683"/>
    <w:rsid w:val="00CB669C"/>
    <w:rsid w:val="00CB6AAC"/>
    <w:rsid w:val="00CB6C3E"/>
    <w:rsid w:val="00CB6C45"/>
    <w:rsid w:val="00CB6C4B"/>
    <w:rsid w:val="00CB6C91"/>
    <w:rsid w:val="00CB6CCF"/>
    <w:rsid w:val="00CB6CF8"/>
    <w:rsid w:val="00CB6D45"/>
    <w:rsid w:val="00CB6D70"/>
    <w:rsid w:val="00CB6D9C"/>
    <w:rsid w:val="00CB70D2"/>
    <w:rsid w:val="00CB70FE"/>
    <w:rsid w:val="00CB710E"/>
    <w:rsid w:val="00CB71C4"/>
    <w:rsid w:val="00CB7277"/>
    <w:rsid w:val="00CB753B"/>
    <w:rsid w:val="00CB7677"/>
    <w:rsid w:val="00CB767B"/>
    <w:rsid w:val="00CB7937"/>
    <w:rsid w:val="00CB7995"/>
    <w:rsid w:val="00CB79FB"/>
    <w:rsid w:val="00CB7A5B"/>
    <w:rsid w:val="00CB7AF0"/>
    <w:rsid w:val="00CB7B45"/>
    <w:rsid w:val="00CB7BD2"/>
    <w:rsid w:val="00CB7BD8"/>
    <w:rsid w:val="00CB7E38"/>
    <w:rsid w:val="00CB7EBE"/>
    <w:rsid w:val="00CB7FB8"/>
    <w:rsid w:val="00CC0017"/>
    <w:rsid w:val="00CC0166"/>
    <w:rsid w:val="00CC016B"/>
    <w:rsid w:val="00CC0192"/>
    <w:rsid w:val="00CC0200"/>
    <w:rsid w:val="00CC024C"/>
    <w:rsid w:val="00CC02AC"/>
    <w:rsid w:val="00CC02E4"/>
    <w:rsid w:val="00CC053B"/>
    <w:rsid w:val="00CC05AD"/>
    <w:rsid w:val="00CC0602"/>
    <w:rsid w:val="00CC085B"/>
    <w:rsid w:val="00CC0874"/>
    <w:rsid w:val="00CC08EF"/>
    <w:rsid w:val="00CC097E"/>
    <w:rsid w:val="00CC0ABB"/>
    <w:rsid w:val="00CC0AC6"/>
    <w:rsid w:val="00CC0AE5"/>
    <w:rsid w:val="00CC0BB4"/>
    <w:rsid w:val="00CC0BCF"/>
    <w:rsid w:val="00CC0C64"/>
    <w:rsid w:val="00CC0DBB"/>
    <w:rsid w:val="00CC0DC5"/>
    <w:rsid w:val="00CC0E85"/>
    <w:rsid w:val="00CC0F28"/>
    <w:rsid w:val="00CC1218"/>
    <w:rsid w:val="00CC1274"/>
    <w:rsid w:val="00CC12A5"/>
    <w:rsid w:val="00CC143F"/>
    <w:rsid w:val="00CC1555"/>
    <w:rsid w:val="00CC165B"/>
    <w:rsid w:val="00CC165D"/>
    <w:rsid w:val="00CC165F"/>
    <w:rsid w:val="00CC172E"/>
    <w:rsid w:val="00CC1991"/>
    <w:rsid w:val="00CC19BA"/>
    <w:rsid w:val="00CC1A0C"/>
    <w:rsid w:val="00CC1A33"/>
    <w:rsid w:val="00CC1AC1"/>
    <w:rsid w:val="00CC1BC1"/>
    <w:rsid w:val="00CC1DD4"/>
    <w:rsid w:val="00CC1F96"/>
    <w:rsid w:val="00CC1FDC"/>
    <w:rsid w:val="00CC1FE7"/>
    <w:rsid w:val="00CC210E"/>
    <w:rsid w:val="00CC22AD"/>
    <w:rsid w:val="00CC2359"/>
    <w:rsid w:val="00CC2385"/>
    <w:rsid w:val="00CC2476"/>
    <w:rsid w:val="00CC2551"/>
    <w:rsid w:val="00CC26D1"/>
    <w:rsid w:val="00CC26E8"/>
    <w:rsid w:val="00CC26FE"/>
    <w:rsid w:val="00CC2785"/>
    <w:rsid w:val="00CC29AA"/>
    <w:rsid w:val="00CC2B46"/>
    <w:rsid w:val="00CC2C04"/>
    <w:rsid w:val="00CC2C08"/>
    <w:rsid w:val="00CC2C93"/>
    <w:rsid w:val="00CC2CBB"/>
    <w:rsid w:val="00CC2DCD"/>
    <w:rsid w:val="00CC2E46"/>
    <w:rsid w:val="00CC2EC2"/>
    <w:rsid w:val="00CC3033"/>
    <w:rsid w:val="00CC30B1"/>
    <w:rsid w:val="00CC3160"/>
    <w:rsid w:val="00CC32AB"/>
    <w:rsid w:val="00CC3308"/>
    <w:rsid w:val="00CC34D6"/>
    <w:rsid w:val="00CC3571"/>
    <w:rsid w:val="00CC3579"/>
    <w:rsid w:val="00CC3582"/>
    <w:rsid w:val="00CC35AC"/>
    <w:rsid w:val="00CC36D6"/>
    <w:rsid w:val="00CC37A8"/>
    <w:rsid w:val="00CC381E"/>
    <w:rsid w:val="00CC3A59"/>
    <w:rsid w:val="00CC3A93"/>
    <w:rsid w:val="00CC3B5F"/>
    <w:rsid w:val="00CC3C54"/>
    <w:rsid w:val="00CC3C9E"/>
    <w:rsid w:val="00CC3D3F"/>
    <w:rsid w:val="00CC3D92"/>
    <w:rsid w:val="00CC3DC2"/>
    <w:rsid w:val="00CC3EF4"/>
    <w:rsid w:val="00CC403D"/>
    <w:rsid w:val="00CC406C"/>
    <w:rsid w:val="00CC4089"/>
    <w:rsid w:val="00CC427D"/>
    <w:rsid w:val="00CC42B3"/>
    <w:rsid w:val="00CC4339"/>
    <w:rsid w:val="00CC4481"/>
    <w:rsid w:val="00CC44DB"/>
    <w:rsid w:val="00CC451B"/>
    <w:rsid w:val="00CC458B"/>
    <w:rsid w:val="00CC4601"/>
    <w:rsid w:val="00CC4651"/>
    <w:rsid w:val="00CC4798"/>
    <w:rsid w:val="00CC495F"/>
    <w:rsid w:val="00CC496E"/>
    <w:rsid w:val="00CC4B13"/>
    <w:rsid w:val="00CC4C8E"/>
    <w:rsid w:val="00CC4DAE"/>
    <w:rsid w:val="00CC4E33"/>
    <w:rsid w:val="00CC4EBF"/>
    <w:rsid w:val="00CC4F24"/>
    <w:rsid w:val="00CC4F42"/>
    <w:rsid w:val="00CC4F4F"/>
    <w:rsid w:val="00CC4F99"/>
    <w:rsid w:val="00CC501C"/>
    <w:rsid w:val="00CC50F9"/>
    <w:rsid w:val="00CC513E"/>
    <w:rsid w:val="00CC5161"/>
    <w:rsid w:val="00CC51AB"/>
    <w:rsid w:val="00CC52EC"/>
    <w:rsid w:val="00CC5306"/>
    <w:rsid w:val="00CC55EB"/>
    <w:rsid w:val="00CC5652"/>
    <w:rsid w:val="00CC56E2"/>
    <w:rsid w:val="00CC56F7"/>
    <w:rsid w:val="00CC573D"/>
    <w:rsid w:val="00CC57F1"/>
    <w:rsid w:val="00CC58E9"/>
    <w:rsid w:val="00CC5A17"/>
    <w:rsid w:val="00CC5AEA"/>
    <w:rsid w:val="00CC5C7E"/>
    <w:rsid w:val="00CC5CAB"/>
    <w:rsid w:val="00CC5CB7"/>
    <w:rsid w:val="00CC5CFA"/>
    <w:rsid w:val="00CC5D88"/>
    <w:rsid w:val="00CC5E51"/>
    <w:rsid w:val="00CC5F83"/>
    <w:rsid w:val="00CC5FDA"/>
    <w:rsid w:val="00CC6145"/>
    <w:rsid w:val="00CC6157"/>
    <w:rsid w:val="00CC615F"/>
    <w:rsid w:val="00CC6176"/>
    <w:rsid w:val="00CC61D7"/>
    <w:rsid w:val="00CC6270"/>
    <w:rsid w:val="00CC62E0"/>
    <w:rsid w:val="00CC6397"/>
    <w:rsid w:val="00CC6412"/>
    <w:rsid w:val="00CC64F9"/>
    <w:rsid w:val="00CC6547"/>
    <w:rsid w:val="00CC6565"/>
    <w:rsid w:val="00CC6642"/>
    <w:rsid w:val="00CC66B9"/>
    <w:rsid w:val="00CC6967"/>
    <w:rsid w:val="00CC6A99"/>
    <w:rsid w:val="00CC6B48"/>
    <w:rsid w:val="00CC6B50"/>
    <w:rsid w:val="00CC6D5A"/>
    <w:rsid w:val="00CC6D85"/>
    <w:rsid w:val="00CC6E0B"/>
    <w:rsid w:val="00CC6E15"/>
    <w:rsid w:val="00CC6E33"/>
    <w:rsid w:val="00CC6F22"/>
    <w:rsid w:val="00CC6F5A"/>
    <w:rsid w:val="00CC6FC8"/>
    <w:rsid w:val="00CC706E"/>
    <w:rsid w:val="00CC7210"/>
    <w:rsid w:val="00CC72C7"/>
    <w:rsid w:val="00CC7515"/>
    <w:rsid w:val="00CC751D"/>
    <w:rsid w:val="00CC774B"/>
    <w:rsid w:val="00CC77D1"/>
    <w:rsid w:val="00CC7A4C"/>
    <w:rsid w:val="00CC7B44"/>
    <w:rsid w:val="00CC7BC2"/>
    <w:rsid w:val="00CC7C16"/>
    <w:rsid w:val="00CC7C8C"/>
    <w:rsid w:val="00CC7D2C"/>
    <w:rsid w:val="00CC7E1D"/>
    <w:rsid w:val="00CC7E6D"/>
    <w:rsid w:val="00CC7EFF"/>
    <w:rsid w:val="00CD003F"/>
    <w:rsid w:val="00CD00C9"/>
    <w:rsid w:val="00CD01F8"/>
    <w:rsid w:val="00CD0246"/>
    <w:rsid w:val="00CD0266"/>
    <w:rsid w:val="00CD0281"/>
    <w:rsid w:val="00CD02E7"/>
    <w:rsid w:val="00CD0313"/>
    <w:rsid w:val="00CD0327"/>
    <w:rsid w:val="00CD0333"/>
    <w:rsid w:val="00CD046D"/>
    <w:rsid w:val="00CD0595"/>
    <w:rsid w:val="00CD0641"/>
    <w:rsid w:val="00CD0665"/>
    <w:rsid w:val="00CD0673"/>
    <w:rsid w:val="00CD073A"/>
    <w:rsid w:val="00CD0797"/>
    <w:rsid w:val="00CD07C5"/>
    <w:rsid w:val="00CD0886"/>
    <w:rsid w:val="00CD08A9"/>
    <w:rsid w:val="00CD090E"/>
    <w:rsid w:val="00CD0972"/>
    <w:rsid w:val="00CD0A92"/>
    <w:rsid w:val="00CD0AA3"/>
    <w:rsid w:val="00CD0B33"/>
    <w:rsid w:val="00CD0B5C"/>
    <w:rsid w:val="00CD0C85"/>
    <w:rsid w:val="00CD0D23"/>
    <w:rsid w:val="00CD0D99"/>
    <w:rsid w:val="00CD0E82"/>
    <w:rsid w:val="00CD0EF0"/>
    <w:rsid w:val="00CD0FD3"/>
    <w:rsid w:val="00CD0FEC"/>
    <w:rsid w:val="00CD1051"/>
    <w:rsid w:val="00CD10E5"/>
    <w:rsid w:val="00CD12BA"/>
    <w:rsid w:val="00CD12F4"/>
    <w:rsid w:val="00CD1300"/>
    <w:rsid w:val="00CD1487"/>
    <w:rsid w:val="00CD155F"/>
    <w:rsid w:val="00CD158E"/>
    <w:rsid w:val="00CD15CD"/>
    <w:rsid w:val="00CD1736"/>
    <w:rsid w:val="00CD17F8"/>
    <w:rsid w:val="00CD189E"/>
    <w:rsid w:val="00CD18C4"/>
    <w:rsid w:val="00CD1A07"/>
    <w:rsid w:val="00CD1AB3"/>
    <w:rsid w:val="00CD1B5A"/>
    <w:rsid w:val="00CD1C8D"/>
    <w:rsid w:val="00CD1DA5"/>
    <w:rsid w:val="00CD1EAE"/>
    <w:rsid w:val="00CD1F75"/>
    <w:rsid w:val="00CD1FDE"/>
    <w:rsid w:val="00CD2059"/>
    <w:rsid w:val="00CD20A7"/>
    <w:rsid w:val="00CD2215"/>
    <w:rsid w:val="00CD2380"/>
    <w:rsid w:val="00CD2396"/>
    <w:rsid w:val="00CD2397"/>
    <w:rsid w:val="00CD266F"/>
    <w:rsid w:val="00CD278D"/>
    <w:rsid w:val="00CD279E"/>
    <w:rsid w:val="00CD2830"/>
    <w:rsid w:val="00CD2919"/>
    <w:rsid w:val="00CD29E5"/>
    <w:rsid w:val="00CD2A1E"/>
    <w:rsid w:val="00CD2A8C"/>
    <w:rsid w:val="00CD2BEB"/>
    <w:rsid w:val="00CD2EAA"/>
    <w:rsid w:val="00CD2F17"/>
    <w:rsid w:val="00CD2F5B"/>
    <w:rsid w:val="00CD30AD"/>
    <w:rsid w:val="00CD30B7"/>
    <w:rsid w:val="00CD31A3"/>
    <w:rsid w:val="00CD32C3"/>
    <w:rsid w:val="00CD32FE"/>
    <w:rsid w:val="00CD33C2"/>
    <w:rsid w:val="00CD3481"/>
    <w:rsid w:val="00CD34BF"/>
    <w:rsid w:val="00CD36AD"/>
    <w:rsid w:val="00CD36FC"/>
    <w:rsid w:val="00CD37B0"/>
    <w:rsid w:val="00CD37D4"/>
    <w:rsid w:val="00CD37F3"/>
    <w:rsid w:val="00CD3801"/>
    <w:rsid w:val="00CD3862"/>
    <w:rsid w:val="00CD3904"/>
    <w:rsid w:val="00CD3A14"/>
    <w:rsid w:val="00CD3B04"/>
    <w:rsid w:val="00CD3CFF"/>
    <w:rsid w:val="00CD3D69"/>
    <w:rsid w:val="00CD3E3C"/>
    <w:rsid w:val="00CD3EAB"/>
    <w:rsid w:val="00CD40F9"/>
    <w:rsid w:val="00CD416A"/>
    <w:rsid w:val="00CD4179"/>
    <w:rsid w:val="00CD461D"/>
    <w:rsid w:val="00CD4674"/>
    <w:rsid w:val="00CD471A"/>
    <w:rsid w:val="00CD47AB"/>
    <w:rsid w:val="00CD4822"/>
    <w:rsid w:val="00CD489F"/>
    <w:rsid w:val="00CD48B9"/>
    <w:rsid w:val="00CD48E7"/>
    <w:rsid w:val="00CD4A18"/>
    <w:rsid w:val="00CD4AAC"/>
    <w:rsid w:val="00CD4AB3"/>
    <w:rsid w:val="00CD4BBE"/>
    <w:rsid w:val="00CD4CD5"/>
    <w:rsid w:val="00CD4DF4"/>
    <w:rsid w:val="00CD4DFC"/>
    <w:rsid w:val="00CD4EF5"/>
    <w:rsid w:val="00CD4F05"/>
    <w:rsid w:val="00CD4F3A"/>
    <w:rsid w:val="00CD4F67"/>
    <w:rsid w:val="00CD4FCD"/>
    <w:rsid w:val="00CD502C"/>
    <w:rsid w:val="00CD5113"/>
    <w:rsid w:val="00CD5298"/>
    <w:rsid w:val="00CD5316"/>
    <w:rsid w:val="00CD5374"/>
    <w:rsid w:val="00CD550A"/>
    <w:rsid w:val="00CD550E"/>
    <w:rsid w:val="00CD5663"/>
    <w:rsid w:val="00CD5834"/>
    <w:rsid w:val="00CD58E6"/>
    <w:rsid w:val="00CD5A35"/>
    <w:rsid w:val="00CD5C54"/>
    <w:rsid w:val="00CD5D8D"/>
    <w:rsid w:val="00CD5D9A"/>
    <w:rsid w:val="00CD5E40"/>
    <w:rsid w:val="00CD5E5B"/>
    <w:rsid w:val="00CD603C"/>
    <w:rsid w:val="00CD6046"/>
    <w:rsid w:val="00CD615A"/>
    <w:rsid w:val="00CD6273"/>
    <w:rsid w:val="00CD63BC"/>
    <w:rsid w:val="00CD6525"/>
    <w:rsid w:val="00CD6565"/>
    <w:rsid w:val="00CD67E6"/>
    <w:rsid w:val="00CD6870"/>
    <w:rsid w:val="00CD688F"/>
    <w:rsid w:val="00CD690B"/>
    <w:rsid w:val="00CD69DE"/>
    <w:rsid w:val="00CD6AC7"/>
    <w:rsid w:val="00CD6C36"/>
    <w:rsid w:val="00CD6D99"/>
    <w:rsid w:val="00CD6E94"/>
    <w:rsid w:val="00CD6E96"/>
    <w:rsid w:val="00CD6E9E"/>
    <w:rsid w:val="00CD6F7B"/>
    <w:rsid w:val="00CD6F9D"/>
    <w:rsid w:val="00CD701A"/>
    <w:rsid w:val="00CD735B"/>
    <w:rsid w:val="00CD7366"/>
    <w:rsid w:val="00CD736C"/>
    <w:rsid w:val="00CD73C9"/>
    <w:rsid w:val="00CD74CE"/>
    <w:rsid w:val="00CD75E2"/>
    <w:rsid w:val="00CD786E"/>
    <w:rsid w:val="00CD7923"/>
    <w:rsid w:val="00CD79C5"/>
    <w:rsid w:val="00CD79C9"/>
    <w:rsid w:val="00CD7A05"/>
    <w:rsid w:val="00CD7B00"/>
    <w:rsid w:val="00CD7B41"/>
    <w:rsid w:val="00CD7B8B"/>
    <w:rsid w:val="00CD7C09"/>
    <w:rsid w:val="00CD7DA4"/>
    <w:rsid w:val="00CD7E5C"/>
    <w:rsid w:val="00CD7EC0"/>
    <w:rsid w:val="00CD7F51"/>
    <w:rsid w:val="00CE0070"/>
    <w:rsid w:val="00CE0182"/>
    <w:rsid w:val="00CE0190"/>
    <w:rsid w:val="00CE0246"/>
    <w:rsid w:val="00CE03CC"/>
    <w:rsid w:val="00CE045B"/>
    <w:rsid w:val="00CE060B"/>
    <w:rsid w:val="00CE060D"/>
    <w:rsid w:val="00CE06DC"/>
    <w:rsid w:val="00CE0714"/>
    <w:rsid w:val="00CE0914"/>
    <w:rsid w:val="00CE09AC"/>
    <w:rsid w:val="00CE0A67"/>
    <w:rsid w:val="00CE0B77"/>
    <w:rsid w:val="00CE0D68"/>
    <w:rsid w:val="00CE0DD9"/>
    <w:rsid w:val="00CE0E32"/>
    <w:rsid w:val="00CE0F59"/>
    <w:rsid w:val="00CE0FDC"/>
    <w:rsid w:val="00CE0FE9"/>
    <w:rsid w:val="00CE1168"/>
    <w:rsid w:val="00CE1361"/>
    <w:rsid w:val="00CE13F4"/>
    <w:rsid w:val="00CE146F"/>
    <w:rsid w:val="00CE14A8"/>
    <w:rsid w:val="00CE14B5"/>
    <w:rsid w:val="00CE14E7"/>
    <w:rsid w:val="00CE1631"/>
    <w:rsid w:val="00CE173E"/>
    <w:rsid w:val="00CE174D"/>
    <w:rsid w:val="00CE1763"/>
    <w:rsid w:val="00CE1953"/>
    <w:rsid w:val="00CE19C5"/>
    <w:rsid w:val="00CE1B00"/>
    <w:rsid w:val="00CE1B64"/>
    <w:rsid w:val="00CE1B9F"/>
    <w:rsid w:val="00CE1C3E"/>
    <w:rsid w:val="00CE1CC6"/>
    <w:rsid w:val="00CE1D84"/>
    <w:rsid w:val="00CE1DE9"/>
    <w:rsid w:val="00CE1F24"/>
    <w:rsid w:val="00CE1F3B"/>
    <w:rsid w:val="00CE1F69"/>
    <w:rsid w:val="00CE1F81"/>
    <w:rsid w:val="00CE1FF0"/>
    <w:rsid w:val="00CE1FFE"/>
    <w:rsid w:val="00CE20E0"/>
    <w:rsid w:val="00CE215D"/>
    <w:rsid w:val="00CE21CA"/>
    <w:rsid w:val="00CE21F6"/>
    <w:rsid w:val="00CE2286"/>
    <w:rsid w:val="00CE22DA"/>
    <w:rsid w:val="00CE2370"/>
    <w:rsid w:val="00CE23DC"/>
    <w:rsid w:val="00CE2401"/>
    <w:rsid w:val="00CE2425"/>
    <w:rsid w:val="00CE26A4"/>
    <w:rsid w:val="00CE28E6"/>
    <w:rsid w:val="00CE29C8"/>
    <w:rsid w:val="00CE2A18"/>
    <w:rsid w:val="00CE2A79"/>
    <w:rsid w:val="00CE2B29"/>
    <w:rsid w:val="00CE2B82"/>
    <w:rsid w:val="00CE2CBA"/>
    <w:rsid w:val="00CE2CD8"/>
    <w:rsid w:val="00CE2CE6"/>
    <w:rsid w:val="00CE2D39"/>
    <w:rsid w:val="00CE2F21"/>
    <w:rsid w:val="00CE2FCA"/>
    <w:rsid w:val="00CE2FE7"/>
    <w:rsid w:val="00CE314D"/>
    <w:rsid w:val="00CE3175"/>
    <w:rsid w:val="00CE324D"/>
    <w:rsid w:val="00CE3315"/>
    <w:rsid w:val="00CE3335"/>
    <w:rsid w:val="00CE336F"/>
    <w:rsid w:val="00CE345B"/>
    <w:rsid w:val="00CE3616"/>
    <w:rsid w:val="00CE3661"/>
    <w:rsid w:val="00CE370C"/>
    <w:rsid w:val="00CE376A"/>
    <w:rsid w:val="00CE37D5"/>
    <w:rsid w:val="00CE3835"/>
    <w:rsid w:val="00CE3874"/>
    <w:rsid w:val="00CE39D0"/>
    <w:rsid w:val="00CE3AE4"/>
    <w:rsid w:val="00CE3CED"/>
    <w:rsid w:val="00CE3F9B"/>
    <w:rsid w:val="00CE4321"/>
    <w:rsid w:val="00CE4371"/>
    <w:rsid w:val="00CE4450"/>
    <w:rsid w:val="00CE4454"/>
    <w:rsid w:val="00CE44D8"/>
    <w:rsid w:val="00CE45A7"/>
    <w:rsid w:val="00CE463F"/>
    <w:rsid w:val="00CE4681"/>
    <w:rsid w:val="00CE46F3"/>
    <w:rsid w:val="00CE47D6"/>
    <w:rsid w:val="00CE4919"/>
    <w:rsid w:val="00CE4971"/>
    <w:rsid w:val="00CE4A15"/>
    <w:rsid w:val="00CE4A60"/>
    <w:rsid w:val="00CE4B83"/>
    <w:rsid w:val="00CE4C6E"/>
    <w:rsid w:val="00CE4CE2"/>
    <w:rsid w:val="00CE4D5D"/>
    <w:rsid w:val="00CE4DD1"/>
    <w:rsid w:val="00CE4DF2"/>
    <w:rsid w:val="00CE4EB8"/>
    <w:rsid w:val="00CE4F6B"/>
    <w:rsid w:val="00CE4F73"/>
    <w:rsid w:val="00CE4F75"/>
    <w:rsid w:val="00CE4F85"/>
    <w:rsid w:val="00CE5193"/>
    <w:rsid w:val="00CE51B8"/>
    <w:rsid w:val="00CE52A4"/>
    <w:rsid w:val="00CE5366"/>
    <w:rsid w:val="00CE5412"/>
    <w:rsid w:val="00CE545F"/>
    <w:rsid w:val="00CE553B"/>
    <w:rsid w:val="00CE553E"/>
    <w:rsid w:val="00CE55E1"/>
    <w:rsid w:val="00CE56FA"/>
    <w:rsid w:val="00CE585F"/>
    <w:rsid w:val="00CE5861"/>
    <w:rsid w:val="00CE58AA"/>
    <w:rsid w:val="00CE5976"/>
    <w:rsid w:val="00CE59C6"/>
    <w:rsid w:val="00CE5C13"/>
    <w:rsid w:val="00CE5C53"/>
    <w:rsid w:val="00CE5D84"/>
    <w:rsid w:val="00CE5DD3"/>
    <w:rsid w:val="00CE5ECD"/>
    <w:rsid w:val="00CE5EFF"/>
    <w:rsid w:val="00CE6013"/>
    <w:rsid w:val="00CE6223"/>
    <w:rsid w:val="00CE629C"/>
    <w:rsid w:val="00CE6460"/>
    <w:rsid w:val="00CE6537"/>
    <w:rsid w:val="00CE666A"/>
    <w:rsid w:val="00CE67A8"/>
    <w:rsid w:val="00CE693A"/>
    <w:rsid w:val="00CE6942"/>
    <w:rsid w:val="00CE6B38"/>
    <w:rsid w:val="00CE6B4F"/>
    <w:rsid w:val="00CE6BF8"/>
    <w:rsid w:val="00CE6C9D"/>
    <w:rsid w:val="00CE6D88"/>
    <w:rsid w:val="00CE6E88"/>
    <w:rsid w:val="00CE6F2D"/>
    <w:rsid w:val="00CE70B8"/>
    <w:rsid w:val="00CE71D3"/>
    <w:rsid w:val="00CE721D"/>
    <w:rsid w:val="00CE7314"/>
    <w:rsid w:val="00CE73DB"/>
    <w:rsid w:val="00CE73FE"/>
    <w:rsid w:val="00CE74CF"/>
    <w:rsid w:val="00CE750E"/>
    <w:rsid w:val="00CE7527"/>
    <w:rsid w:val="00CE7591"/>
    <w:rsid w:val="00CE75BF"/>
    <w:rsid w:val="00CE7698"/>
    <w:rsid w:val="00CE76DA"/>
    <w:rsid w:val="00CE7721"/>
    <w:rsid w:val="00CE779A"/>
    <w:rsid w:val="00CE7816"/>
    <w:rsid w:val="00CE78D6"/>
    <w:rsid w:val="00CE792C"/>
    <w:rsid w:val="00CE7985"/>
    <w:rsid w:val="00CE79D3"/>
    <w:rsid w:val="00CE7A0D"/>
    <w:rsid w:val="00CE7B3F"/>
    <w:rsid w:val="00CE7B7C"/>
    <w:rsid w:val="00CE7BA1"/>
    <w:rsid w:val="00CE7BCA"/>
    <w:rsid w:val="00CE7C50"/>
    <w:rsid w:val="00CE7C7C"/>
    <w:rsid w:val="00CE7DA4"/>
    <w:rsid w:val="00CE7FAD"/>
    <w:rsid w:val="00CE7FE9"/>
    <w:rsid w:val="00CF003E"/>
    <w:rsid w:val="00CF0070"/>
    <w:rsid w:val="00CF00FD"/>
    <w:rsid w:val="00CF0490"/>
    <w:rsid w:val="00CF04AD"/>
    <w:rsid w:val="00CF0623"/>
    <w:rsid w:val="00CF06CD"/>
    <w:rsid w:val="00CF08A2"/>
    <w:rsid w:val="00CF08B4"/>
    <w:rsid w:val="00CF0900"/>
    <w:rsid w:val="00CF0989"/>
    <w:rsid w:val="00CF0A7C"/>
    <w:rsid w:val="00CF0B3D"/>
    <w:rsid w:val="00CF0BBC"/>
    <w:rsid w:val="00CF0D05"/>
    <w:rsid w:val="00CF1021"/>
    <w:rsid w:val="00CF11B9"/>
    <w:rsid w:val="00CF134C"/>
    <w:rsid w:val="00CF167C"/>
    <w:rsid w:val="00CF168E"/>
    <w:rsid w:val="00CF1702"/>
    <w:rsid w:val="00CF1795"/>
    <w:rsid w:val="00CF18C7"/>
    <w:rsid w:val="00CF18E5"/>
    <w:rsid w:val="00CF194E"/>
    <w:rsid w:val="00CF19FC"/>
    <w:rsid w:val="00CF1AC7"/>
    <w:rsid w:val="00CF1BD3"/>
    <w:rsid w:val="00CF1C91"/>
    <w:rsid w:val="00CF1CC8"/>
    <w:rsid w:val="00CF1CCE"/>
    <w:rsid w:val="00CF1F95"/>
    <w:rsid w:val="00CF1FF7"/>
    <w:rsid w:val="00CF2016"/>
    <w:rsid w:val="00CF20B5"/>
    <w:rsid w:val="00CF2366"/>
    <w:rsid w:val="00CF2393"/>
    <w:rsid w:val="00CF242B"/>
    <w:rsid w:val="00CF24D5"/>
    <w:rsid w:val="00CF261F"/>
    <w:rsid w:val="00CF2732"/>
    <w:rsid w:val="00CF274D"/>
    <w:rsid w:val="00CF2785"/>
    <w:rsid w:val="00CF27F3"/>
    <w:rsid w:val="00CF28D9"/>
    <w:rsid w:val="00CF2A28"/>
    <w:rsid w:val="00CF2A3C"/>
    <w:rsid w:val="00CF2A4B"/>
    <w:rsid w:val="00CF2A6C"/>
    <w:rsid w:val="00CF2B15"/>
    <w:rsid w:val="00CF2BF6"/>
    <w:rsid w:val="00CF2D05"/>
    <w:rsid w:val="00CF2E40"/>
    <w:rsid w:val="00CF2E47"/>
    <w:rsid w:val="00CF2E67"/>
    <w:rsid w:val="00CF2FB4"/>
    <w:rsid w:val="00CF304C"/>
    <w:rsid w:val="00CF3053"/>
    <w:rsid w:val="00CF308B"/>
    <w:rsid w:val="00CF30A7"/>
    <w:rsid w:val="00CF30BA"/>
    <w:rsid w:val="00CF30CB"/>
    <w:rsid w:val="00CF30CE"/>
    <w:rsid w:val="00CF318B"/>
    <w:rsid w:val="00CF31C2"/>
    <w:rsid w:val="00CF3289"/>
    <w:rsid w:val="00CF32FA"/>
    <w:rsid w:val="00CF3384"/>
    <w:rsid w:val="00CF33F6"/>
    <w:rsid w:val="00CF35C6"/>
    <w:rsid w:val="00CF3788"/>
    <w:rsid w:val="00CF38E4"/>
    <w:rsid w:val="00CF3917"/>
    <w:rsid w:val="00CF395E"/>
    <w:rsid w:val="00CF3973"/>
    <w:rsid w:val="00CF39F9"/>
    <w:rsid w:val="00CF3A53"/>
    <w:rsid w:val="00CF3AAA"/>
    <w:rsid w:val="00CF3AD1"/>
    <w:rsid w:val="00CF3BD3"/>
    <w:rsid w:val="00CF3C1E"/>
    <w:rsid w:val="00CF3E3A"/>
    <w:rsid w:val="00CF3FB0"/>
    <w:rsid w:val="00CF40BF"/>
    <w:rsid w:val="00CF40D3"/>
    <w:rsid w:val="00CF40EF"/>
    <w:rsid w:val="00CF41CB"/>
    <w:rsid w:val="00CF424A"/>
    <w:rsid w:val="00CF43E8"/>
    <w:rsid w:val="00CF4451"/>
    <w:rsid w:val="00CF459F"/>
    <w:rsid w:val="00CF468E"/>
    <w:rsid w:val="00CF4752"/>
    <w:rsid w:val="00CF486C"/>
    <w:rsid w:val="00CF48A5"/>
    <w:rsid w:val="00CF4900"/>
    <w:rsid w:val="00CF4A08"/>
    <w:rsid w:val="00CF4A17"/>
    <w:rsid w:val="00CF4A5C"/>
    <w:rsid w:val="00CF4B4D"/>
    <w:rsid w:val="00CF4BE1"/>
    <w:rsid w:val="00CF4CC9"/>
    <w:rsid w:val="00CF4D49"/>
    <w:rsid w:val="00CF4DC7"/>
    <w:rsid w:val="00CF4DD2"/>
    <w:rsid w:val="00CF4F21"/>
    <w:rsid w:val="00CF4FEE"/>
    <w:rsid w:val="00CF50EA"/>
    <w:rsid w:val="00CF539B"/>
    <w:rsid w:val="00CF53E2"/>
    <w:rsid w:val="00CF53F1"/>
    <w:rsid w:val="00CF5555"/>
    <w:rsid w:val="00CF5583"/>
    <w:rsid w:val="00CF5649"/>
    <w:rsid w:val="00CF572C"/>
    <w:rsid w:val="00CF5799"/>
    <w:rsid w:val="00CF57E8"/>
    <w:rsid w:val="00CF580A"/>
    <w:rsid w:val="00CF5855"/>
    <w:rsid w:val="00CF589E"/>
    <w:rsid w:val="00CF58DE"/>
    <w:rsid w:val="00CF5972"/>
    <w:rsid w:val="00CF5B2B"/>
    <w:rsid w:val="00CF5BD6"/>
    <w:rsid w:val="00CF5C0A"/>
    <w:rsid w:val="00CF5C4E"/>
    <w:rsid w:val="00CF5C9A"/>
    <w:rsid w:val="00CF5D3C"/>
    <w:rsid w:val="00CF5D4E"/>
    <w:rsid w:val="00CF5D79"/>
    <w:rsid w:val="00CF5E40"/>
    <w:rsid w:val="00CF5ECC"/>
    <w:rsid w:val="00CF608A"/>
    <w:rsid w:val="00CF6184"/>
    <w:rsid w:val="00CF61A8"/>
    <w:rsid w:val="00CF6261"/>
    <w:rsid w:val="00CF63F3"/>
    <w:rsid w:val="00CF64FD"/>
    <w:rsid w:val="00CF6635"/>
    <w:rsid w:val="00CF6901"/>
    <w:rsid w:val="00CF69BA"/>
    <w:rsid w:val="00CF69CA"/>
    <w:rsid w:val="00CF6A24"/>
    <w:rsid w:val="00CF6A31"/>
    <w:rsid w:val="00CF6BF3"/>
    <w:rsid w:val="00CF6C46"/>
    <w:rsid w:val="00CF6C81"/>
    <w:rsid w:val="00CF6DCB"/>
    <w:rsid w:val="00CF6EA9"/>
    <w:rsid w:val="00CF70D2"/>
    <w:rsid w:val="00CF7155"/>
    <w:rsid w:val="00CF7169"/>
    <w:rsid w:val="00CF720B"/>
    <w:rsid w:val="00CF722C"/>
    <w:rsid w:val="00CF7235"/>
    <w:rsid w:val="00CF7237"/>
    <w:rsid w:val="00CF7266"/>
    <w:rsid w:val="00CF72D4"/>
    <w:rsid w:val="00CF735D"/>
    <w:rsid w:val="00CF7387"/>
    <w:rsid w:val="00CF742A"/>
    <w:rsid w:val="00CF7468"/>
    <w:rsid w:val="00CF7562"/>
    <w:rsid w:val="00CF7609"/>
    <w:rsid w:val="00CF794B"/>
    <w:rsid w:val="00CF7A1C"/>
    <w:rsid w:val="00CF7A37"/>
    <w:rsid w:val="00CF7A78"/>
    <w:rsid w:val="00CF7AAF"/>
    <w:rsid w:val="00CF7B49"/>
    <w:rsid w:val="00CF7CEA"/>
    <w:rsid w:val="00CF7D75"/>
    <w:rsid w:val="00CF7D9F"/>
    <w:rsid w:val="00D00005"/>
    <w:rsid w:val="00D000A7"/>
    <w:rsid w:val="00D001E4"/>
    <w:rsid w:val="00D002E7"/>
    <w:rsid w:val="00D003A2"/>
    <w:rsid w:val="00D003C3"/>
    <w:rsid w:val="00D003D7"/>
    <w:rsid w:val="00D00421"/>
    <w:rsid w:val="00D004E9"/>
    <w:rsid w:val="00D00514"/>
    <w:rsid w:val="00D005F4"/>
    <w:rsid w:val="00D006D0"/>
    <w:rsid w:val="00D00757"/>
    <w:rsid w:val="00D007E1"/>
    <w:rsid w:val="00D007F0"/>
    <w:rsid w:val="00D00890"/>
    <w:rsid w:val="00D00B79"/>
    <w:rsid w:val="00D00B7C"/>
    <w:rsid w:val="00D00BBD"/>
    <w:rsid w:val="00D00C86"/>
    <w:rsid w:val="00D00E3C"/>
    <w:rsid w:val="00D00E68"/>
    <w:rsid w:val="00D00F0F"/>
    <w:rsid w:val="00D00FF2"/>
    <w:rsid w:val="00D011B5"/>
    <w:rsid w:val="00D0121C"/>
    <w:rsid w:val="00D0128D"/>
    <w:rsid w:val="00D012BC"/>
    <w:rsid w:val="00D01359"/>
    <w:rsid w:val="00D0135B"/>
    <w:rsid w:val="00D01362"/>
    <w:rsid w:val="00D0145F"/>
    <w:rsid w:val="00D0146E"/>
    <w:rsid w:val="00D014EC"/>
    <w:rsid w:val="00D0150B"/>
    <w:rsid w:val="00D01557"/>
    <w:rsid w:val="00D01670"/>
    <w:rsid w:val="00D01816"/>
    <w:rsid w:val="00D0182A"/>
    <w:rsid w:val="00D019D7"/>
    <w:rsid w:val="00D01D1D"/>
    <w:rsid w:val="00D01D29"/>
    <w:rsid w:val="00D01DA7"/>
    <w:rsid w:val="00D01F40"/>
    <w:rsid w:val="00D0204B"/>
    <w:rsid w:val="00D021AC"/>
    <w:rsid w:val="00D0223A"/>
    <w:rsid w:val="00D0224B"/>
    <w:rsid w:val="00D02383"/>
    <w:rsid w:val="00D023D9"/>
    <w:rsid w:val="00D02481"/>
    <w:rsid w:val="00D02514"/>
    <w:rsid w:val="00D02538"/>
    <w:rsid w:val="00D0255F"/>
    <w:rsid w:val="00D02583"/>
    <w:rsid w:val="00D027CC"/>
    <w:rsid w:val="00D029F6"/>
    <w:rsid w:val="00D02A26"/>
    <w:rsid w:val="00D02ADC"/>
    <w:rsid w:val="00D02B23"/>
    <w:rsid w:val="00D02B90"/>
    <w:rsid w:val="00D02BD1"/>
    <w:rsid w:val="00D02CF9"/>
    <w:rsid w:val="00D02E94"/>
    <w:rsid w:val="00D02EF8"/>
    <w:rsid w:val="00D03082"/>
    <w:rsid w:val="00D03088"/>
    <w:rsid w:val="00D03189"/>
    <w:rsid w:val="00D032A1"/>
    <w:rsid w:val="00D0340A"/>
    <w:rsid w:val="00D03732"/>
    <w:rsid w:val="00D03743"/>
    <w:rsid w:val="00D03757"/>
    <w:rsid w:val="00D03773"/>
    <w:rsid w:val="00D03828"/>
    <w:rsid w:val="00D038BF"/>
    <w:rsid w:val="00D03ABB"/>
    <w:rsid w:val="00D03B13"/>
    <w:rsid w:val="00D03BD5"/>
    <w:rsid w:val="00D03C77"/>
    <w:rsid w:val="00D03CF9"/>
    <w:rsid w:val="00D03D10"/>
    <w:rsid w:val="00D03D4B"/>
    <w:rsid w:val="00D03E11"/>
    <w:rsid w:val="00D03EC4"/>
    <w:rsid w:val="00D03EDF"/>
    <w:rsid w:val="00D03FC1"/>
    <w:rsid w:val="00D0400A"/>
    <w:rsid w:val="00D04199"/>
    <w:rsid w:val="00D0419A"/>
    <w:rsid w:val="00D041B5"/>
    <w:rsid w:val="00D04257"/>
    <w:rsid w:val="00D042F0"/>
    <w:rsid w:val="00D0431C"/>
    <w:rsid w:val="00D04394"/>
    <w:rsid w:val="00D0447E"/>
    <w:rsid w:val="00D0448C"/>
    <w:rsid w:val="00D04512"/>
    <w:rsid w:val="00D046BE"/>
    <w:rsid w:val="00D04724"/>
    <w:rsid w:val="00D04756"/>
    <w:rsid w:val="00D04834"/>
    <w:rsid w:val="00D04945"/>
    <w:rsid w:val="00D04A59"/>
    <w:rsid w:val="00D04B42"/>
    <w:rsid w:val="00D04B4C"/>
    <w:rsid w:val="00D04B89"/>
    <w:rsid w:val="00D04BFB"/>
    <w:rsid w:val="00D04D4A"/>
    <w:rsid w:val="00D04DD8"/>
    <w:rsid w:val="00D04E51"/>
    <w:rsid w:val="00D04F38"/>
    <w:rsid w:val="00D05267"/>
    <w:rsid w:val="00D05395"/>
    <w:rsid w:val="00D053E8"/>
    <w:rsid w:val="00D0546B"/>
    <w:rsid w:val="00D054BC"/>
    <w:rsid w:val="00D05666"/>
    <w:rsid w:val="00D057BF"/>
    <w:rsid w:val="00D058D7"/>
    <w:rsid w:val="00D058EB"/>
    <w:rsid w:val="00D0590C"/>
    <w:rsid w:val="00D0598D"/>
    <w:rsid w:val="00D0599D"/>
    <w:rsid w:val="00D05A3D"/>
    <w:rsid w:val="00D05AD2"/>
    <w:rsid w:val="00D05BCC"/>
    <w:rsid w:val="00D05C3F"/>
    <w:rsid w:val="00D05C49"/>
    <w:rsid w:val="00D05C91"/>
    <w:rsid w:val="00D05CC7"/>
    <w:rsid w:val="00D05D5F"/>
    <w:rsid w:val="00D05E1D"/>
    <w:rsid w:val="00D05E2B"/>
    <w:rsid w:val="00D05F09"/>
    <w:rsid w:val="00D05F0A"/>
    <w:rsid w:val="00D05F0D"/>
    <w:rsid w:val="00D05F0F"/>
    <w:rsid w:val="00D05FB2"/>
    <w:rsid w:val="00D0601E"/>
    <w:rsid w:val="00D06131"/>
    <w:rsid w:val="00D06192"/>
    <w:rsid w:val="00D061F3"/>
    <w:rsid w:val="00D06255"/>
    <w:rsid w:val="00D062E0"/>
    <w:rsid w:val="00D0630F"/>
    <w:rsid w:val="00D06590"/>
    <w:rsid w:val="00D06691"/>
    <w:rsid w:val="00D066ED"/>
    <w:rsid w:val="00D067BD"/>
    <w:rsid w:val="00D069D1"/>
    <w:rsid w:val="00D06A26"/>
    <w:rsid w:val="00D06AD3"/>
    <w:rsid w:val="00D06B20"/>
    <w:rsid w:val="00D06B25"/>
    <w:rsid w:val="00D06BC6"/>
    <w:rsid w:val="00D06C31"/>
    <w:rsid w:val="00D06CF6"/>
    <w:rsid w:val="00D06D19"/>
    <w:rsid w:val="00D06EAD"/>
    <w:rsid w:val="00D06EB9"/>
    <w:rsid w:val="00D06FD5"/>
    <w:rsid w:val="00D07054"/>
    <w:rsid w:val="00D07058"/>
    <w:rsid w:val="00D070DE"/>
    <w:rsid w:val="00D07100"/>
    <w:rsid w:val="00D0715E"/>
    <w:rsid w:val="00D07293"/>
    <w:rsid w:val="00D072CB"/>
    <w:rsid w:val="00D073EC"/>
    <w:rsid w:val="00D07527"/>
    <w:rsid w:val="00D07906"/>
    <w:rsid w:val="00D07944"/>
    <w:rsid w:val="00D07972"/>
    <w:rsid w:val="00D079D8"/>
    <w:rsid w:val="00D07AB5"/>
    <w:rsid w:val="00D07B3D"/>
    <w:rsid w:val="00D07DB3"/>
    <w:rsid w:val="00D07E10"/>
    <w:rsid w:val="00D07E11"/>
    <w:rsid w:val="00D07ED4"/>
    <w:rsid w:val="00D07F12"/>
    <w:rsid w:val="00D07F39"/>
    <w:rsid w:val="00D07FE7"/>
    <w:rsid w:val="00D101DB"/>
    <w:rsid w:val="00D101F9"/>
    <w:rsid w:val="00D1030C"/>
    <w:rsid w:val="00D1041F"/>
    <w:rsid w:val="00D1047A"/>
    <w:rsid w:val="00D1047F"/>
    <w:rsid w:val="00D104A3"/>
    <w:rsid w:val="00D10570"/>
    <w:rsid w:val="00D10582"/>
    <w:rsid w:val="00D10624"/>
    <w:rsid w:val="00D1067A"/>
    <w:rsid w:val="00D106D0"/>
    <w:rsid w:val="00D107BE"/>
    <w:rsid w:val="00D109A2"/>
    <w:rsid w:val="00D10B85"/>
    <w:rsid w:val="00D10BAB"/>
    <w:rsid w:val="00D10C3C"/>
    <w:rsid w:val="00D10D74"/>
    <w:rsid w:val="00D10E29"/>
    <w:rsid w:val="00D10F41"/>
    <w:rsid w:val="00D10F49"/>
    <w:rsid w:val="00D11151"/>
    <w:rsid w:val="00D111B2"/>
    <w:rsid w:val="00D112D2"/>
    <w:rsid w:val="00D112DA"/>
    <w:rsid w:val="00D1144D"/>
    <w:rsid w:val="00D1150E"/>
    <w:rsid w:val="00D116B1"/>
    <w:rsid w:val="00D116D8"/>
    <w:rsid w:val="00D11734"/>
    <w:rsid w:val="00D117F7"/>
    <w:rsid w:val="00D1180C"/>
    <w:rsid w:val="00D11811"/>
    <w:rsid w:val="00D1194E"/>
    <w:rsid w:val="00D11A55"/>
    <w:rsid w:val="00D11A71"/>
    <w:rsid w:val="00D11C2C"/>
    <w:rsid w:val="00D11C76"/>
    <w:rsid w:val="00D11C82"/>
    <w:rsid w:val="00D11D34"/>
    <w:rsid w:val="00D11FA7"/>
    <w:rsid w:val="00D120D6"/>
    <w:rsid w:val="00D12107"/>
    <w:rsid w:val="00D1212E"/>
    <w:rsid w:val="00D1214F"/>
    <w:rsid w:val="00D12375"/>
    <w:rsid w:val="00D123D0"/>
    <w:rsid w:val="00D124D3"/>
    <w:rsid w:val="00D124D8"/>
    <w:rsid w:val="00D124E5"/>
    <w:rsid w:val="00D12706"/>
    <w:rsid w:val="00D1291A"/>
    <w:rsid w:val="00D12964"/>
    <w:rsid w:val="00D12C46"/>
    <w:rsid w:val="00D12C9D"/>
    <w:rsid w:val="00D12D97"/>
    <w:rsid w:val="00D12DC9"/>
    <w:rsid w:val="00D12DEE"/>
    <w:rsid w:val="00D12E4B"/>
    <w:rsid w:val="00D12F10"/>
    <w:rsid w:val="00D130F3"/>
    <w:rsid w:val="00D131A0"/>
    <w:rsid w:val="00D1324F"/>
    <w:rsid w:val="00D13310"/>
    <w:rsid w:val="00D133E5"/>
    <w:rsid w:val="00D13497"/>
    <w:rsid w:val="00D13597"/>
    <w:rsid w:val="00D135EE"/>
    <w:rsid w:val="00D13637"/>
    <w:rsid w:val="00D136B0"/>
    <w:rsid w:val="00D1372D"/>
    <w:rsid w:val="00D137F8"/>
    <w:rsid w:val="00D1381F"/>
    <w:rsid w:val="00D1395B"/>
    <w:rsid w:val="00D13A4C"/>
    <w:rsid w:val="00D13C34"/>
    <w:rsid w:val="00D13D3A"/>
    <w:rsid w:val="00D13D84"/>
    <w:rsid w:val="00D13EC7"/>
    <w:rsid w:val="00D13F88"/>
    <w:rsid w:val="00D13FB7"/>
    <w:rsid w:val="00D14040"/>
    <w:rsid w:val="00D14187"/>
    <w:rsid w:val="00D143C5"/>
    <w:rsid w:val="00D14470"/>
    <w:rsid w:val="00D14518"/>
    <w:rsid w:val="00D14564"/>
    <w:rsid w:val="00D146CD"/>
    <w:rsid w:val="00D14754"/>
    <w:rsid w:val="00D14A37"/>
    <w:rsid w:val="00D14B7E"/>
    <w:rsid w:val="00D14BE9"/>
    <w:rsid w:val="00D14C83"/>
    <w:rsid w:val="00D14D45"/>
    <w:rsid w:val="00D14E51"/>
    <w:rsid w:val="00D150BD"/>
    <w:rsid w:val="00D150FC"/>
    <w:rsid w:val="00D1519C"/>
    <w:rsid w:val="00D1529B"/>
    <w:rsid w:val="00D15380"/>
    <w:rsid w:val="00D154DB"/>
    <w:rsid w:val="00D15691"/>
    <w:rsid w:val="00D15766"/>
    <w:rsid w:val="00D15837"/>
    <w:rsid w:val="00D158AF"/>
    <w:rsid w:val="00D158BD"/>
    <w:rsid w:val="00D1592A"/>
    <w:rsid w:val="00D15B34"/>
    <w:rsid w:val="00D15B68"/>
    <w:rsid w:val="00D15C0F"/>
    <w:rsid w:val="00D15D3B"/>
    <w:rsid w:val="00D15DEC"/>
    <w:rsid w:val="00D15E5B"/>
    <w:rsid w:val="00D15ECA"/>
    <w:rsid w:val="00D1600C"/>
    <w:rsid w:val="00D16085"/>
    <w:rsid w:val="00D160AA"/>
    <w:rsid w:val="00D160AE"/>
    <w:rsid w:val="00D160C6"/>
    <w:rsid w:val="00D160CC"/>
    <w:rsid w:val="00D1620A"/>
    <w:rsid w:val="00D1620B"/>
    <w:rsid w:val="00D16226"/>
    <w:rsid w:val="00D1629C"/>
    <w:rsid w:val="00D16389"/>
    <w:rsid w:val="00D163AA"/>
    <w:rsid w:val="00D16405"/>
    <w:rsid w:val="00D164CB"/>
    <w:rsid w:val="00D16591"/>
    <w:rsid w:val="00D165EE"/>
    <w:rsid w:val="00D166E6"/>
    <w:rsid w:val="00D166FB"/>
    <w:rsid w:val="00D1673B"/>
    <w:rsid w:val="00D167DF"/>
    <w:rsid w:val="00D167F6"/>
    <w:rsid w:val="00D16855"/>
    <w:rsid w:val="00D1694D"/>
    <w:rsid w:val="00D169AB"/>
    <w:rsid w:val="00D16A2E"/>
    <w:rsid w:val="00D16BB6"/>
    <w:rsid w:val="00D16C5E"/>
    <w:rsid w:val="00D16CDF"/>
    <w:rsid w:val="00D16DBF"/>
    <w:rsid w:val="00D16DC7"/>
    <w:rsid w:val="00D16F44"/>
    <w:rsid w:val="00D16F98"/>
    <w:rsid w:val="00D170D3"/>
    <w:rsid w:val="00D170ED"/>
    <w:rsid w:val="00D1712F"/>
    <w:rsid w:val="00D17217"/>
    <w:rsid w:val="00D1721C"/>
    <w:rsid w:val="00D17225"/>
    <w:rsid w:val="00D17264"/>
    <w:rsid w:val="00D172E2"/>
    <w:rsid w:val="00D17332"/>
    <w:rsid w:val="00D173C1"/>
    <w:rsid w:val="00D1754F"/>
    <w:rsid w:val="00D1770F"/>
    <w:rsid w:val="00D177B7"/>
    <w:rsid w:val="00D177E0"/>
    <w:rsid w:val="00D17869"/>
    <w:rsid w:val="00D17AFA"/>
    <w:rsid w:val="00D17B3F"/>
    <w:rsid w:val="00D17BE8"/>
    <w:rsid w:val="00D17C94"/>
    <w:rsid w:val="00D17DB3"/>
    <w:rsid w:val="00D17DBD"/>
    <w:rsid w:val="00D17F4C"/>
    <w:rsid w:val="00D17FCA"/>
    <w:rsid w:val="00D20085"/>
    <w:rsid w:val="00D20120"/>
    <w:rsid w:val="00D2017D"/>
    <w:rsid w:val="00D2029F"/>
    <w:rsid w:val="00D20386"/>
    <w:rsid w:val="00D2057A"/>
    <w:rsid w:val="00D208BE"/>
    <w:rsid w:val="00D20A69"/>
    <w:rsid w:val="00D20A97"/>
    <w:rsid w:val="00D20AD8"/>
    <w:rsid w:val="00D20B0C"/>
    <w:rsid w:val="00D20C09"/>
    <w:rsid w:val="00D20CAD"/>
    <w:rsid w:val="00D20CBA"/>
    <w:rsid w:val="00D20D7B"/>
    <w:rsid w:val="00D20F34"/>
    <w:rsid w:val="00D20FB4"/>
    <w:rsid w:val="00D20FC2"/>
    <w:rsid w:val="00D2118D"/>
    <w:rsid w:val="00D21569"/>
    <w:rsid w:val="00D2157D"/>
    <w:rsid w:val="00D215E1"/>
    <w:rsid w:val="00D217D4"/>
    <w:rsid w:val="00D21832"/>
    <w:rsid w:val="00D21A63"/>
    <w:rsid w:val="00D21AC5"/>
    <w:rsid w:val="00D21BED"/>
    <w:rsid w:val="00D21DC3"/>
    <w:rsid w:val="00D21DD0"/>
    <w:rsid w:val="00D21EFC"/>
    <w:rsid w:val="00D220CD"/>
    <w:rsid w:val="00D2212E"/>
    <w:rsid w:val="00D222EC"/>
    <w:rsid w:val="00D22345"/>
    <w:rsid w:val="00D22453"/>
    <w:rsid w:val="00D22458"/>
    <w:rsid w:val="00D224EA"/>
    <w:rsid w:val="00D2265A"/>
    <w:rsid w:val="00D22668"/>
    <w:rsid w:val="00D226A5"/>
    <w:rsid w:val="00D22729"/>
    <w:rsid w:val="00D22789"/>
    <w:rsid w:val="00D227A6"/>
    <w:rsid w:val="00D2282E"/>
    <w:rsid w:val="00D228B2"/>
    <w:rsid w:val="00D228E8"/>
    <w:rsid w:val="00D22984"/>
    <w:rsid w:val="00D22A1A"/>
    <w:rsid w:val="00D22A36"/>
    <w:rsid w:val="00D22AF7"/>
    <w:rsid w:val="00D22AF8"/>
    <w:rsid w:val="00D22B87"/>
    <w:rsid w:val="00D22BAA"/>
    <w:rsid w:val="00D22C13"/>
    <w:rsid w:val="00D22C51"/>
    <w:rsid w:val="00D22D16"/>
    <w:rsid w:val="00D22D9E"/>
    <w:rsid w:val="00D22DE6"/>
    <w:rsid w:val="00D22F41"/>
    <w:rsid w:val="00D22F9B"/>
    <w:rsid w:val="00D22FE9"/>
    <w:rsid w:val="00D23022"/>
    <w:rsid w:val="00D230C3"/>
    <w:rsid w:val="00D2317C"/>
    <w:rsid w:val="00D231FA"/>
    <w:rsid w:val="00D232EE"/>
    <w:rsid w:val="00D2338C"/>
    <w:rsid w:val="00D23393"/>
    <w:rsid w:val="00D235EA"/>
    <w:rsid w:val="00D2376A"/>
    <w:rsid w:val="00D23886"/>
    <w:rsid w:val="00D23A3D"/>
    <w:rsid w:val="00D23DBE"/>
    <w:rsid w:val="00D23E7D"/>
    <w:rsid w:val="00D23EE2"/>
    <w:rsid w:val="00D23F47"/>
    <w:rsid w:val="00D24083"/>
    <w:rsid w:val="00D240F3"/>
    <w:rsid w:val="00D24192"/>
    <w:rsid w:val="00D241D3"/>
    <w:rsid w:val="00D2425A"/>
    <w:rsid w:val="00D2429A"/>
    <w:rsid w:val="00D24452"/>
    <w:rsid w:val="00D244F4"/>
    <w:rsid w:val="00D24713"/>
    <w:rsid w:val="00D247E5"/>
    <w:rsid w:val="00D248E2"/>
    <w:rsid w:val="00D249FF"/>
    <w:rsid w:val="00D24A46"/>
    <w:rsid w:val="00D24B0D"/>
    <w:rsid w:val="00D24B1D"/>
    <w:rsid w:val="00D24BAB"/>
    <w:rsid w:val="00D24BB5"/>
    <w:rsid w:val="00D24E95"/>
    <w:rsid w:val="00D24EB6"/>
    <w:rsid w:val="00D252F2"/>
    <w:rsid w:val="00D255D4"/>
    <w:rsid w:val="00D257A9"/>
    <w:rsid w:val="00D2585A"/>
    <w:rsid w:val="00D25881"/>
    <w:rsid w:val="00D258A6"/>
    <w:rsid w:val="00D258CE"/>
    <w:rsid w:val="00D2590A"/>
    <w:rsid w:val="00D259E1"/>
    <w:rsid w:val="00D25A1F"/>
    <w:rsid w:val="00D25A2A"/>
    <w:rsid w:val="00D25B0A"/>
    <w:rsid w:val="00D25B21"/>
    <w:rsid w:val="00D25BB5"/>
    <w:rsid w:val="00D25CB3"/>
    <w:rsid w:val="00D25CBC"/>
    <w:rsid w:val="00D25E18"/>
    <w:rsid w:val="00D25EB8"/>
    <w:rsid w:val="00D25F3A"/>
    <w:rsid w:val="00D25FFA"/>
    <w:rsid w:val="00D26040"/>
    <w:rsid w:val="00D2616B"/>
    <w:rsid w:val="00D2616D"/>
    <w:rsid w:val="00D2623E"/>
    <w:rsid w:val="00D26259"/>
    <w:rsid w:val="00D26319"/>
    <w:rsid w:val="00D263B8"/>
    <w:rsid w:val="00D264FF"/>
    <w:rsid w:val="00D2658B"/>
    <w:rsid w:val="00D265D1"/>
    <w:rsid w:val="00D266A1"/>
    <w:rsid w:val="00D2670D"/>
    <w:rsid w:val="00D2674F"/>
    <w:rsid w:val="00D267BF"/>
    <w:rsid w:val="00D268B0"/>
    <w:rsid w:val="00D269B4"/>
    <w:rsid w:val="00D269BE"/>
    <w:rsid w:val="00D26B41"/>
    <w:rsid w:val="00D26DF3"/>
    <w:rsid w:val="00D26E2D"/>
    <w:rsid w:val="00D26F8B"/>
    <w:rsid w:val="00D2712A"/>
    <w:rsid w:val="00D271D7"/>
    <w:rsid w:val="00D27390"/>
    <w:rsid w:val="00D27397"/>
    <w:rsid w:val="00D273CE"/>
    <w:rsid w:val="00D2749B"/>
    <w:rsid w:val="00D27579"/>
    <w:rsid w:val="00D2757C"/>
    <w:rsid w:val="00D275A8"/>
    <w:rsid w:val="00D276C1"/>
    <w:rsid w:val="00D277F7"/>
    <w:rsid w:val="00D2783F"/>
    <w:rsid w:val="00D2784A"/>
    <w:rsid w:val="00D27950"/>
    <w:rsid w:val="00D27973"/>
    <w:rsid w:val="00D27976"/>
    <w:rsid w:val="00D27B3A"/>
    <w:rsid w:val="00D27B85"/>
    <w:rsid w:val="00D27C8A"/>
    <w:rsid w:val="00D27CFD"/>
    <w:rsid w:val="00D27DD9"/>
    <w:rsid w:val="00D27E8D"/>
    <w:rsid w:val="00D27FF7"/>
    <w:rsid w:val="00D30096"/>
    <w:rsid w:val="00D300D2"/>
    <w:rsid w:val="00D3015B"/>
    <w:rsid w:val="00D30200"/>
    <w:rsid w:val="00D303CE"/>
    <w:rsid w:val="00D30432"/>
    <w:rsid w:val="00D3056E"/>
    <w:rsid w:val="00D306D5"/>
    <w:rsid w:val="00D30744"/>
    <w:rsid w:val="00D3076F"/>
    <w:rsid w:val="00D30791"/>
    <w:rsid w:val="00D3084B"/>
    <w:rsid w:val="00D308E3"/>
    <w:rsid w:val="00D30A58"/>
    <w:rsid w:val="00D30AFF"/>
    <w:rsid w:val="00D30BAD"/>
    <w:rsid w:val="00D30C2E"/>
    <w:rsid w:val="00D30D94"/>
    <w:rsid w:val="00D30DD5"/>
    <w:rsid w:val="00D30FA8"/>
    <w:rsid w:val="00D30FD5"/>
    <w:rsid w:val="00D311AC"/>
    <w:rsid w:val="00D311E8"/>
    <w:rsid w:val="00D3122B"/>
    <w:rsid w:val="00D313DB"/>
    <w:rsid w:val="00D31430"/>
    <w:rsid w:val="00D31443"/>
    <w:rsid w:val="00D31460"/>
    <w:rsid w:val="00D314B5"/>
    <w:rsid w:val="00D31519"/>
    <w:rsid w:val="00D315BA"/>
    <w:rsid w:val="00D3168B"/>
    <w:rsid w:val="00D3169B"/>
    <w:rsid w:val="00D316B0"/>
    <w:rsid w:val="00D317D6"/>
    <w:rsid w:val="00D319DC"/>
    <w:rsid w:val="00D31AEE"/>
    <w:rsid w:val="00D31B11"/>
    <w:rsid w:val="00D31C8F"/>
    <w:rsid w:val="00D31D20"/>
    <w:rsid w:val="00D31D39"/>
    <w:rsid w:val="00D31EB1"/>
    <w:rsid w:val="00D31F20"/>
    <w:rsid w:val="00D31F29"/>
    <w:rsid w:val="00D32007"/>
    <w:rsid w:val="00D3200B"/>
    <w:rsid w:val="00D3217F"/>
    <w:rsid w:val="00D321D9"/>
    <w:rsid w:val="00D32231"/>
    <w:rsid w:val="00D32270"/>
    <w:rsid w:val="00D32379"/>
    <w:rsid w:val="00D32408"/>
    <w:rsid w:val="00D32435"/>
    <w:rsid w:val="00D3251F"/>
    <w:rsid w:val="00D327D9"/>
    <w:rsid w:val="00D32875"/>
    <w:rsid w:val="00D3288E"/>
    <w:rsid w:val="00D3292B"/>
    <w:rsid w:val="00D329D3"/>
    <w:rsid w:val="00D32A17"/>
    <w:rsid w:val="00D32A21"/>
    <w:rsid w:val="00D32A3E"/>
    <w:rsid w:val="00D32A6D"/>
    <w:rsid w:val="00D32A95"/>
    <w:rsid w:val="00D32B17"/>
    <w:rsid w:val="00D32CD0"/>
    <w:rsid w:val="00D32FA0"/>
    <w:rsid w:val="00D32FB0"/>
    <w:rsid w:val="00D3303F"/>
    <w:rsid w:val="00D33084"/>
    <w:rsid w:val="00D33142"/>
    <w:rsid w:val="00D3315A"/>
    <w:rsid w:val="00D3316F"/>
    <w:rsid w:val="00D331B3"/>
    <w:rsid w:val="00D331D2"/>
    <w:rsid w:val="00D331F0"/>
    <w:rsid w:val="00D332A5"/>
    <w:rsid w:val="00D33396"/>
    <w:rsid w:val="00D33427"/>
    <w:rsid w:val="00D334C7"/>
    <w:rsid w:val="00D33598"/>
    <w:rsid w:val="00D33798"/>
    <w:rsid w:val="00D338F6"/>
    <w:rsid w:val="00D33931"/>
    <w:rsid w:val="00D33A3A"/>
    <w:rsid w:val="00D33AEE"/>
    <w:rsid w:val="00D33C9A"/>
    <w:rsid w:val="00D33CF8"/>
    <w:rsid w:val="00D33DF6"/>
    <w:rsid w:val="00D33E08"/>
    <w:rsid w:val="00D33E7A"/>
    <w:rsid w:val="00D33F04"/>
    <w:rsid w:val="00D3402A"/>
    <w:rsid w:val="00D341AE"/>
    <w:rsid w:val="00D3420C"/>
    <w:rsid w:val="00D3422C"/>
    <w:rsid w:val="00D342BC"/>
    <w:rsid w:val="00D342E5"/>
    <w:rsid w:val="00D3433B"/>
    <w:rsid w:val="00D345EF"/>
    <w:rsid w:val="00D34601"/>
    <w:rsid w:val="00D3485B"/>
    <w:rsid w:val="00D3498E"/>
    <w:rsid w:val="00D349CD"/>
    <w:rsid w:val="00D34A0A"/>
    <w:rsid w:val="00D34CCC"/>
    <w:rsid w:val="00D34DAC"/>
    <w:rsid w:val="00D35090"/>
    <w:rsid w:val="00D35113"/>
    <w:rsid w:val="00D3515D"/>
    <w:rsid w:val="00D35410"/>
    <w:rsid w:val="00D3552F"/>
    <w:rsid w:val="00D3562D"/>
    <w:rsid w:val="00D35699"/>
    <w:rsid w:val="00D356F7"/>
    <w:rsid w:val="00D35770"/>
    <w:rsid w:val="00D35937"/>
    <w:rsid w:val="00D35959"/>
    <w:rsid w:val="00D359E1"/>
    <w:rsid w:val="00D35C54"/>
    <w:rsid w:val="00D35E43"/>
    <w:rsid w:val="00D35E45"/>
    <w:rsid w:val="00D35FB2"/>
    <w:rsid w:val="00D36113"/>
    <w:rsid w:val="00D36136"/>
    <w:rsid w:val="00D36251"/>
    <w:rsid w:val="00D36335"/>
    <w:rsid w:val="00D363BD"/>
    <w:rsid w:val="00D366F9"/>
    <w:rsid w:val="00D3670C"/>
    <w:rsid w:val="00D36722"/>
    <w:rsid w:val="00D368F1"/>
    <w:rsid w:val="00D3697A"/>
    <w:rsid w:val="00D36994"/>
    <w:rsid w:val="00D36A50"/>
    <w:rsid w:val="00D36B0A"/>
    <w:rsid w:val="00D36CF7"/>
    <w:rsid w:val="00D36DB3"/>
    <w:rsid w:val="00D36DBC"/>
    <w:rsid w:val="00D36E50"/>
    <w:rsid w:val="00D36EB4"/>
    <w:rsid w:val="00D36FCD"/>
    <w:rsid w:val="00D37107"/>
    <w:rsid w:val="00D371C1"/>
    <w:rsid w:val="00D371D1"/>
    <w:rsid w:val="00D371E4"/>
    <w:rsid w:val="00D372C5"/>
    <w:rsid w:val="00D3731D"/>
    <w:rsid w:val="00D37359"/>
    <w:rsid w:val="00D374AC"/>
    <w:rsid w:val="00D374C7"/>
    <w:rsid w:val="00D3753F"/>
    <w:rsid w:val="00D37663"/>
    <w:rsid w:val="00D37684"/>
    <w:rsid w:val="00D378DE"/>
    <w:rsid w:val="00D378EA"/>
    <w:rsid w:val="00D37919"/>
    <w:rsid w:val="00D3791F"/>
    <w:rsid w:val="00D379F7"/>
    <w:rsid w:val="00D37A65"/>
    <w:rsid w:val="00D37A71"/>
    <w:rsid w:val="00D37A8B"/>
    <w:rsid w:val="00D37AB0"/>
    <w:rsid w:val="00D37CAB"/>
    <w:rsid w:val="00D37DDC"/>
    <w:rsid w:val="00D37DFA"/>
    <w:rsid w:val="00D37EEB"/>
    <w:rsid w:val="00D37F4A"/>
    <w:rsid w:val="00D37FA6"/>
    <w:rsid w:val="00D402A7"/>
    <w:rsid w:val="00D403FB"/>
    <w:rsid w:val="00D40432"/>
    <w:rsid w:val="00D40555"/>
    <w:rsid w:val="00D405EA"/>
    <w:rsid w:val="00D405EB"/>
    <w:rsid w:val="00D4060B"/>
    <w:rsid w:val="00D40768"/>
    <w:rsid w:val="00D40776"/>
    <w:rsid w:val="00D409B4"/>
    <w:rsid w:val="00D40B04"/>
    <w:rsid w:val="00D40B28"/>
    <w:rsid w:val="00D40D85"/>
    <w:rsid w:val="00D40F58"/>
    <w:rsid w:val="00D40F6E"/>
    <w:rsid w:val="00D41096"/>
    <w:rsid w:val="00D410DD"/>
    <w:rsid w:val="00D41178"/>
    <w:rsid w:val="00D412CC"/>
    <w:rsid w:val="00D414BE"/>
    <w:rsid w:val="00D414D4"/>
    <w:rsid w:val="00D4154E"/>
    <w:rsid w:val="00D415CC"/>
    <w:rsid w:val="00D41600"/>
    <w:rsid w:val="00D41654"/>
    <w:rsid w:val="00D416F0"/>
    <w:rsid w:val="00D4171A"/>
    <w:rsid w:val="00D41754"/>
    <w:rsid w:val="00D41887"/>
    <w:rsid w:val="00D4195D"/>
    <w:rsid w:val="00D4196F"/>
    <w:rsid w:val="00D41976"/>
    <w:rsid w:val="00D41978"/>
    <w:rsid w:val="00D41990"/>
    <w:rsid w:val="00D419DC"/>
    <w:rsid w:val="00D41A2F"/>
    <w:rsid w:val="00D41A32"/>
    <w:rsid w:val="00D41A6C"/>
    <w:rsid w:val="00D41A73"/>
    <w:rsid w:val="00D41A82"/>
    <w:rsid w:val="00D41BD7"/>
    <w:rsid w:val="00D41C0B"/>
    <w:rsid w:val="00D41C86"/>
    <w:rsid w:val="00D41CA9"/>
    <w:rsid w:val="00D41D8C"/>
    <w:rsid w:val="00D41DB6"/>
    <w:rsid w:val="00D41DBC"/>
    <w:rsid w:val="00D41E30"/>
    <w:rsid w:val="00D41FB2"/>
    <w:rsid w:val="00D4200B"/>
    <w:rsid w:val="00D4215A"/>
    <w:rsid w:val="00D42165"/>
    <w:rsid w:val="00D42307"/>
    <w:rsid w:val="00D4231F"/>
    <w:rsid w:val="00D42478"/>
    <w:rsid w:val="00D42533"/>
    <w:rsid w:val="00D42987"/>
    <w:rsid w:val="00D429A0"/>
    <w:rsid w:val="00D42EA1"/>
    <w:rsid w:val="00D42EE1"/>
    <w:rsid w:val="00D42F25"/>
    <w:rsid w:val="00D42F50"/>
    <w:rsid w:val="00D43105"/>
    <w:rsid w:val="00D431F3"/>
    <w:rsid w:val="00D43220"/>
    <w:rsid w:val="00D4328A"/>
    <w:rsid w:val="00D43362"/>
    <w:rsid w:val="00D43407"/>
    <w:rsid w:val="00D434B7"/>
    <w:rsid w:val="00D434C6"/>
    <w:rsid w:val="00D43553"/>
    <w:rsid w:val="00D4358D"/>
    <w:rsid w:val="00D435A8"/>
    <w:rsid w:val="00D435BD"/>
    <w:rsid w:val="00D43700"/>
    <w:rsid w:val="00D43826"/>
    <w:rsid w:val="00D438DA"/>
    <w:rsid w:val="00D43B00"/>
    <w:rsid w:val="00D43C19"/>
    <w:rsid w:val="00D43C65"/>
    <w:rsid w:val="00D43CE1"/>
    <w:rsid w:val="00D43EC7"/>
    <w:rsid w:val="00D43F69"/>
    <w:rsid w:val="00D43F90"/>
    <w:rsid w:val="00D4411A"/>
    <w:rsid w:val="00D441DD"/>
    <w:rsid w:val="00D44239"/>
    <w:rsid w:val="00D442CC"/>
    <w:rsid w:val="00D4433F"/>
    <w:rsid w:val="00D44363"/>
    <w:rsid w:val="00D44491"/>
    <w:rsid w:val="00D4451B"/>
    <w:rsid w:val="00D44534"/>
    <w:rsid w:val="00D4465F"/>
    <w:rsid w:val="00D447A9"/>
    <w:rsid w:val="00D447E1"/>
    <w:rsid w:val="00D44939"/>
    <w:rsid w:val="00D44A41"/>
    <w:rsid w:val="00D44AA1"/>
    <w:rsid w:val="00D44AE1"/>
    <w:rsid w:val="00D44BAE"/>
    <w:rsid w:val="00D44CC3"/>
    <w:rsid w:val="00D44E01"/>
    <w:rsid w:val="00D44E05"/>
    <w:rsid w:val="00D44E34"/>
    <w:rsid w:val="00D44E7F"/>
    <w:rsid w:val="00D44EDF"/>
    <w:rsid w:val="00D44F04"/>
    <w:rsid w:val="00D44FFF"/>
    <w:rsid w:val="00D45110"/>
    <w:rsid w:val="00D451F2"/>
    <w:rsid w:val="00D4521D"/>
    <w:rsid w:val="00D4529D"/>
    <w:rsid w:val="00D455B5"/>
    <w:rsid w:val="00D4568F"/>
    <w:rsid w:val="00D459A0"/>
    <w:rsid w:val="00D459E3"/>
    <w:rsid w:val="00D45A6F"/>
    <w:rsid w:val="00D45A96"/>
    <w:rsid w:val="00D45AD6"/>
    <w:rsid w:val="00D45B34"/>
    <w:rsid w:val="00D45B9C"/>
    <w:rsid w:val="00D45BE2"/>
    <w:rsid w:val="00D45D6B"/>
    <w:rsid w:val="00D45DD5"/>
    <w:rsid w:val="00D45F79"/>
    <w:rsid w:val="00D4600E"/>
    <w:rsid w:val="00D46109"/>
    <w:rsid w:val="00D46129"/>
    <w:rsid w:val="00D461D6"/>
    <w:rsid w:val="00D46500"/>
    <w:rsid w:val="00D46585"/>
    <w:rsid w:val="00D46618"/>
    <w:rsid w:val="00D46624"/>
    <w:rsid w:val="00D466DD"/>
    <w:rsid w:val="00D4679D"/>
    <w:rsid w:val="00D467B7"/>
    <w:rsid w:val="00D4684C"/>
    <w:rsid w:val="00D4691B"/>
    <w:rsid w:val="00D4697A"/>
    <w:rsid w:val="00D469FB"/>
    <w:rsid w:val="00D46A35"/>
    <w:rsid w:val="00D46B82"/>
    <w:rsid w:val="00D46BB4"/>
    <w:rsid w:val="00D46C14"/>
    <w:rsid w:val="00D46C1D"/>
    <w:rsid w:val="00D46C2A"/>
    <w:rsid w:val="00D46D80"/>
    <w:rsid w:val="00D46E7A"/>
    <w:rsid w:val="00D46F22"/>
    <w:rsid w:val="00D46F6E"/>
    <w:rsid w:val="00D47094"/>
    <w:rsid w:val="00D470FD"/>
    <w:rsid w:val="00D4721F"/>
    <w:rsid w:val="00D4730E"/>
    <w:rsid w:val="00D4740E"/>
    <w:rsid w:val="00D47454"/>
    <w:rsid w:val="00D4758E"/>
    <w:rsid w:val="00D475EA"/>
    <w:rsid w:val="00D47634"/>
    <w:rsid w:val="00D47650"/>
    <w:rsid w:val="00D4778F"/>
    <w:rsid w:val="00D47820"/>
    <w:rsid w:val="00D47847"/>
    <w:rsid w:val="00D47939"/>
    <w:rsid w:val="00D47962"/>
    <w:rsid w:val="00D47974"/>
    <w:rsid w:val="00D47A0A"/>
    <w:rsid w:val="00D47A14"/>
    <w:rsid w:val="00D47AC2"/>
    <w:rsid w:val="00D47B5A"/>
    <w:rsid w:val="00D47B86"/>
    <w:rsid w:val="00D47C53"/>
    <w:rsid w:val="00D47C5C"/>
    <w:rsid w:val="00D47D1D"/>
    <w:rsid w:val="00D47D53"/>
    <w:rsid w:val="00D47D5C"/>
    <w:rsid w:val="00D47DF4"/>
    <w:rsid w:val="00D47EA6"/>
    <w:rsid w:val="00D47FB8"/>
    <w:rsid w:val="00D5023B"/>
    <w:rsid w:val="00D50241"/>
    <w:rsid w:val="00D5035D"/>
    <w:rsid w:val="00D5039A"/>
    <w:rsid w:val="00D505B2"/>
    <w:rsid w:val="00D5062C"/>
    <w:rsid w:val="00D50640"/>
    <w:rsid w:val="00D506EA"/>
    <w:rsid w:val="00D507EB"/>
    <w:rsid w:val="00D508FA"/>
    <w:rsid w:val="00D50926"/>
    <w:rsid w:val="00D5094A"/>
    <w:rsid w:val="00D509F7"/>
    <w:rsid w:val="00D50AD1"/>
    <w:rsid w:val="00D50AE8"/>
    <w:rsid w:val="00D50B44"/>
    <w:rsid w:val="00D50D18"/>
    <w:rsid w:val="00D50D52"/>
    <w:rsid w:val="00D50DF3"/>
    <w:rsid w:val="00D50E54"/>
    <w:rsid w:val="00D50ED7"/>
    <w:rsid w:val="00D5104A"/>
    <w:rsid w:val="00D51067"/>
    <w:rsid w:val="00D512CB"/>
    <w:rsid w:val="00D513DF"/>
    <w:rsid w:val="00D51593"/>
    <w:rsid w:val="00D51686"/>
    <w:rsid w:val="00D5177B"/>
    <w:rsid w:val="00D517D9"/>
    <w:rsid w:val="00D517E6"/>
    <w:rsid w:val="00D518BF"/>
    <w:rsid w:val="00D519A7"/>
    <w:rsid w:val="00D519F1"/>
    <w:rsid w:val="00D51A70"/>
    <w:rsid w:val="00D51B54"/>
    <w:rsid w:val="00D51B8B"/>
    <w:rsid w:val="00D51BC7"/>
    <w:rsid w:val="00D51CD6"/>
    <w:rsid w:val="00D51D54"/>
    <w:rsid w:val="00D51E5E"/>
    <w:rsid w:val="00D520D1"/>
    <w:rsid w:val="00D520F4"/>
    <w:rsid w:val="00D52400"/>
    <w:rsid w:val="00D5251C"/>
    <w:rsid w:val="00D52537"/>
    <w:rsid w:val="00D52562"/>
    <w:rsid w:val="00D5270E"/>
    <w:rsid w:val="00D5284B"/>
    <w:rsid w:val="00D5298E"/>
    <w:rsid w:val="00D529B4"/>
    <w:rsid w:val="00D52A7A"/>
    <w:rsid w:val="00D52B17"/>
    <w:rsid w:val="00D52CC9"/>
    <w:rsid w:val="00D52D32"/>
    <w:rsid w:val="00D52E35"/>
    <w:rsid w:val="00D5322C"/>
    <w:rsid w:val="00D532A4"/>
    <w:rsid w:val="00D532E1"/>
    <w:rsid w:val="00D53357"/>
    <w:rsid w:val="00D5335C"/>
    <w:rsid w:val="00D53558"/>
    <w:rsid w:val="00D535AB"/>
    <w:rsid w:val="00D535C0"/>
    <w:rsid w:val="00D53652"/>
    <w:rsid w:val="00D53686"/>
    <w:rsid w:val="00D53914"/>
    <w:rsid w:val="00D5391F"/>
    <w:rsid w:val="00D5397C"/>
    <w:rsid w:val="00D53C8E"/>
    <w:rsid w:val="00D53CD5"/>
    <w:rsid w:val="00D53D90"/>
    <w:rsid w:val="00D54020"/>
    <w:rsid w:val="00D5411D"/>
    <w:rsid w:val="00D54146"/>
    <w:rsid w:val="00D541FF"/>
    <w:rsid w:val="00D542D4"/>
    <w:rsid w:val="00D5433F"/>
    <w:rsid w:val="00D5440F"/>
    <w:rsid w:val="00D544C3"/>
    <w:rsid w:val="00D54652"/>
    <w:rsid w:val="00D54877"/>
    <w:rsid w:val="00D54970"/>
    <w:rsid w:val="00D54A1C"/>
    <w:rsid w:val="00D54A6F"/>
    <w:rsid w:val="00D54A88"/>
    <w:rsid w:val="00D54AE7"/>
    <w:rsid w:val="00D54B17"/>
    <w:rsid w:val="00D54B31"/>
    <w:rsid w:val="00D54B7F"/>
    <w:rsid w:val="00D54BD0"/>
    <w:rsid w:val="00D54DC3"/>
    <w:rsid w:val="00D54F1B"/>
    <w:rsid w:val="00D54F31"/>
    <w:rsid w:val="00D55028"/>
    <w:rsid w:val="00D551E3"/>
    <w:rsid w:val="00D55314"/>
    <w:rsid w:val="00D55324"/>
    <w:rsid w:val="00D5532D"/>
    <w:rsid w:val="00D553DD"/>
    <w:rsid w:val="00D554E0"/>
    <w:rsid w:val="00D5552E"/>
    <w:rsid w:val="00D556BA"/>
    <w:rsid w:val="00D55852"/>
    <w:rsid w:val="00D55990"/>
    <w:rsid w:val="00D559D2"/>
    <w:rsid w:val="00D559E1"/>
    <w:rsid w:val="00D55B3E"/>
    <w:rsid w:val="00D55B7F"/>
    <w:rsid w:val="00D55C7C"/>
    <w:rsid w:val="00D55CEC"/>
    <w:rsid w:val="00D55CF7"/>
    <w:rsid w:val="00D55CFB"/>
    <w:rsid w:val="00D55E26"/>
    <w:rsid w:val="00D55E3F"/>
    <w:rsid w:val="00D560DD"/>
    <w:rsid w:val="00D5610C"/>
    <w:rsid w:val="00D56300"/>
    <w:rsid w:val="00D56352"/>
    <w:rsid w:val="00D56361"/>
    <w:rsid w:val="00D563AB"/>
    <w:rsid w:val="00D56442"/>
    <w:rsid w:val="00D56473"/>
    <w:rsid w:val="00D564AE"/>
    <w:rsid w:val="00D56534"/>
    <w:rsid w:val="00D565EF"/>
    <w:rsid w:val="00D5686E"/>
    <w:rsid w:val="00D5692B"/>
    <w:rsid w:val="00D569AF"/>
    <w:rsid w:val="00D569BD"/>
    <w:rsid w:val="00D56A09"/>
    <w:rsid w:val="00D56C53"/>
    <w:rsid w:val="00D56DF1"/>
    <w:rsid w:val="00D56E8C"/>
    <w:rsid w:val="00D56F50"/>
    <w:rsid w:val="00D56FE7"/>
    <w:rsid w:val="00D57046"/>
    <w:rsid w:val="00D57246"/>
    <w:rsid w:val="00D5728D"/>
    <w:rsid w:val="00D572B9"/>
    <w:rsid w:val="00D57372"/>
    <w:rsid w:val="00D573D9"/>
    <w:rsid w:val="00D57453"/>
    <w:rsid w:val="00D5759E"/>
    <w:rsid w:val="00D576C8"/>
    <w:rsid w:val="00D5786B"/>
    <w:rsid w:val="00D57980"/>
    <w:rsid w:val="00D57A04"/>
    <w:rsid w:val="00D57AA2"/>
    <w:rsid w:val="00D57ACC"/>
    <w:rsid w:val="00D57AD1"/>
    <w:rsid w:val="00D57D80"/>
    <w:rsid w:val="00D57D8C"/>
    <w:rsid w:val="00D57F5C"/>
    <w:rsid w:val="00D57F9C"/>
    <w:rsid w:val="00D60058"/>
    <w:rsid w:val="00D60107"/>
    <w:rsid w:val="00D60174"/>
    <w:rsid w:val="00D60184"/>
    <w:rsid w:val="00D601FC"/>
    <w:rsid w:val="00D60378"/>
    <w:rsid w:val="00D6057C"/>
    <w:rsid w:val="00D605C0"/>
    <w:rsid w:val="00D605C8"/>
    <w:rsid w:val="00D609BC"/>
    <w:rsid w:val="00D60A95"/>
    <w:rsid w:val="00D60B56"/>
    <w:rsid w:val="00D60B9D"/>
    <w:rsid w:val="00D60BA9"/>
    <w:rsid w:val="00D60CE5"/>
    <w:rsid w:val="00D60D59"/>
    <w:rsid w:val="00D60F43"/>
    <w:rsid w:val="00D61092"/>
    <w:rsid w:val="00D610FC"/>
    <w:rsid w:val="00D611A4"/>
    <w:rsid w:val="00D61250"/>
    <w:rsid w:val="00D6135B"/>
    <w:rsid w:val="00D6152E"/>
    <w:rsid w:val="00D61580"/>
    <w:rsid w:val="00D615B2"/>
    <w:rsid w:val="00D61648"/>
    <w:rsid w:val="00D6171D"/>
    <w:rsid w:val="00D6175A"/>
    <w:rsid w:val="00D617B0"/>
    <w:rsid w:val="00D618C4"/>
    <w:rsid w:val="00D61962"/>
    <w:rsid w:val="00D61AAB"/>
    <w:rsid w:val="00D61B2D"/>
    <w:rsid w:val="00D61D26"/>
    <w:rsid w:val="00D61D4B"/>
    <w:rsid w:val="00D61DD0"/>
    <w:rsid w:val="00D61FB9"/>
    <w:rsid w:val="00D61FFC"/>
    <w:rsid w:val="00D6202C"/>
    <w:rsid w:val="00D62117"/>
    <w:rsid w:val="00D621E9"/>
    <w:rsid w:val="00D622B7"/>
    <w:rsid w:val="00D62331"/>
    <w:rsid w:val="00D623CD"/>
    <w:rsid w:val="00D62422"/>
    <w:rsid w:val="00D62539"/>
    <w:rsid w:val="00D62552"/>
    <w:rsid w:val="00D62584"/>
    <w:rsid w:val="00D625C5"/>
    <w:rsid w:val="00D626A6"/>
    <w:rsid w:val="00D62B6F"/>
    <w:rsid w:val="00D62BCF"/>
    <w:rsid w:val="00D62DF3"/>
    <w:rsid w:val="00D62F33"/>
    <w:rsid w:val="00D62F76"/>
    <w:rsid w:val="00D62F85"/>
    <w:rsid w:val="00D63138"/>
    <w:rsid w:val="00D6314A"/>
    <w:rsid w:val="00D631B8"/>
    <w:rsid w:val="00D631E0"/>
    <w:rsid w:val="00D63250"/>
    <w:rsid w:val="00D635EB"/>
    <w:rsid w:val="00D63645"/>
    <w:rsid w:val="00D63675"/>
    <w:rsid w:val="00D638A2"/>
    <w:rsid w:val="00D638D3"/>
    <w:rsid w:val="00D6399E"/>
    <w:rsid w:val="00D639F7"/>
    <w:rsid w:val="00D63A07"/>
    <w:rsid w:val="00D63A0C"/>
    <w:rsid w:val="00D63A41"/>
    <w:rsid w:val="00D63C35"/>
    <w:rsid w:val="00D63C4E"/>
    <w:rsid w:val="00D63C87"/>
    <w:rsid w:val="00D63CA3"/>
    <w:rsid w:val="00D63D50"/>
    <w:rsid w:val="00D63EB4"/>
    <w:rsid w:val="00D63EB6"/>
    <w:rsid w:val="00D64092"/>
    <w:rsid w:val="00D6409C"/>
    <w:rsid w:val="00D641E7"/>
    <w:rsid w:val="00D64277"/>
    <w:rsid w:val="00D64316"/>
    <w:rsid w:val="00D6432D"/>
    <w:rsid w:val="00D6436F"/>
    <w:rsid w:val="00D6441F"/>
    <w:rsid w:val="00D64497"/>
    <w:rsid w:val="00D644A5"/>
    <w:rsid w:val="00D6450D"/>
    <w:rsid w:val="00D64576"/>
    <w:rsid w:val="00D6457F"/>
    <w:rsid w:val="00D64598"/>
    <w:rsid w:val="00D645CC"/>
    <w:rsid w:val="00D645D7"/>
    <w:rsid w:val="00D6460A"/>
    <w:rsid w:val="00D64697"/>
    <w:rsid w:val="00D646DD"/>
    <w:rsid w:val="00D647E8"/>
    <w:rsid w:val="00D64801"/>
    <w:rsid w:val="00D64911"/>
    <w:rsid w:val="00D64AAD"/>
    <w:rsid w:val="00D64C0F"/>
    <w:rsid w:val="00D64C9D"/>
    <w:rsid w:val="00D64D93"/>
    <w:rsid w:val="00D64DC3"/>
    <w:rsid w:val="00D64E6A"/>
    <w:rsid w:val="00D64F67"/>
    <w:rsid w:val="00D65018"/>
    <w:rsid w:val="00D6503B"/>
    <w:rsid w:val="00D65108"/>
    <w:rsid w:val="00D65128"/>
    <w:rsid w:val="00D651EC"/>
    <w:rsid w:val="00D65237"/>
    <w:rsid w:val="00D653D9"/>
    <w:rsid w:val="00D65437"/>
    <w:rsid w:val="00D65618"/>
    <w:rsid w:val="00D657BB"/>
    <w:rsid w:val="00D65862"/>
    <w:rsid w:val="00D658D8"/>
    <w:rsid w:val="00D658E1"/>
    <w:rsid w:val="00D659E7"/>
    <w:rsid w:val="00D65A09"/>
    <w:rsid w:val="00D65A29"/>
    <w:rsid w:val="00D65B0B"/>
    <w:rsid w:val="00D65BC2"/>
    <w:rsid w:val="00D65C0A"/>
    <w:rsid w:val="00D65CFE"/>
    <w:rsid w:val="00D65D2E"/>
    <w:rsid w:val="00D65F35"/>
    <w:rsid w:val="00D65F6A"/>
    <w:rsid w:val="00D65FF0"/>
    <w:rsid w:val="00D66084"/>
    <w:rsid w:val="00D660B8"/>
    <w:rsid w:val="00D66172"/>
    <w:rsid w:val="00D66176"/>
    <w:rsid w:val="00D6621C"/>
    <w:rsid w:val="00D662FA"/>
    <w:rsid w:val="00D664C3"/>
    <w:rsid w:val="00D6656B"/>
    <w:rsid w:val="00D6657F"/>
    <w:rsid w:val="00D66604"/>
    <w:rsid w:val="00D666B8"/>
    <w:rsid w:val="00D666E7"/>
    <w:rsid w:val="00D66737"/>
    <w:rsid w:val="00D66882"/>
    <w:rsid w:val="00D668A8"/>
    <w:rsid w:val="00D6691B"/>
    <w:rsid w:val="00D66ADF"/>
    <w:rsid w:val="00D66DD6"/>
    <w:rsid w:val="00D66F2E"/>
    <w:rsid w:val="00D66FBB"/>
    <w:rsid w:val="00D670C7"/>
    <w:rsid w:val="00D6719F"/>
    <w:rsid w:val="00D6739C"/>
    <w:rsid w:val="00D67470"/>
    <w:rsid w:val="00D67577"/>
    <w:rsid w:val="00D67686"/>
    <w:rsid w:val="00D676EF"/>
    <w:rsid w:val="00D6777C"/>
    <w:rsid w:val="00D67808"/>
    <w:rsid w:val="00D6790D"/>
    <w:rsid w:val="00D679F9"/>
    <w:rsid w:val="00D67A55"/>
    <w:rsid w:val="00D67AE7"/>
    <w:rsid w:val="00D67B38"/>
    <w:rsid w:val="00D67B7A"/>
    <w:rsid w:val="00D67CFC"/>
    <w:rsid w:val="00D67F32"/>
    <w:rsid w:val="00D67FA4"/>
    <w:rsid w:val="00D67FAE"/>
    <w:rsid w:val="00D702CD"/>
    <w:rsid w:val="00D702F5"/>
    <w:rsid w:val="00D70386"/>
    <w:rsid w:val="00D70805"/>
    <w:rsid w:val="00D70B7D"/>
    <w:rsid w:val="00D70B95"/>
    <w:rsid w:val="00D70CCB"/>
    <w:rsid w:val="00D70CF9"/>
    <w:rsid w:val="00D710C7"/>
    <w:rsid w:val="00D710CE"/>
    <w:rsid w:val="00D7127E"/>
    <w:rsid w:val="00D71288"/>
    <w:rsid w:val="00D7136C"/>
    <w:rsid w:val="00D71384"/>
    <w:rsid w:val="00D713AE"/>
    <w:rsid w:val="00D71535"/>
    <w:rsid w:val="00D715C8"/>
    <w:rsid w:val="00D7168B"/>
    <w:rsid w:val="00D717AB"/>
    <w:rsid w:val="00D71868"/>
    <w:rsid w:val="00D718CD"/>
    <w:rsid w:val="00D718FC"/>
    <w:rsid w:val="00D71984"/>
    <w:rsid w:val="00D71D78"/>
    <w:rsid w:val="00D71D8D"/>
    <w:rsid w:val="00D71E42"/>
    <w:rsid w:val="00D71E98"/>
    <w:rsid w:val="00D71E9A"/>
    <w:rsid w:val="00D71EE7"/>
    <w:rsid w:val="00D71FA4"/>
    <w:rsid w:val="00D720CF"/>
    <w:rsid w:val="00D720FC"/>
    <w:rsid w:val="00D72237"/>
    <w:rsid w:val="00D72289"/>
    <w:rsid w:val="00D722D4"/>
    <w:rsid w:val="00D72347"/>
    <w:rsid w:val="00D723C4"/>
    <w:rsid w:val="00D72426"/>
    <w:rsid w:val="00D7245E"/>
    <w:rsid w:val="00D72495"/>
    <w:rsid w:val="00D7261E"/>
    <w:rsid w:val="00D72641"/>
    <w:rsid w:val="00D7265C"/>
    <w:rsid w:val="00D72684"/>
    <w:rsid w:val="00D726F0"/>
    <w:rsid w:val="00D727D3"/>
    <w:rsid w:val="00D72BF9"/>
    <w:rsid w:val="00D72C87"/>
    <w:rsid w:val="00D72C98"/>
    <w:rsid w:val="00D72CF9"/>
    <w:rsid w:val="00D72CFC"/>
    <w:rsid w:val="00D72D8F"/>
    <w:rsid w:val="00D72D93"/>
    <w:rsid w:val="00D72DAA"/>
    <w:rsid w:val="00D72E0C"/>
    <w:rsid w:val="00D72FE9"/>
    <w:rsid w:val="00D73017"/>
    <w:rsid w:val="00D73107"/>
    <w:rsid w:val="00D7312D"/>
    <w:rsid w:val="00D731BB"/>
    <w:rsid w:val="00D7345B"/>
    <w:rsid w:val="00D7346B"/>
    <w:rsid w:val="00D7358A"/>
    <w:rsid w:val="00D735C3"/>
    <w:rsid w:val="00D735E6"/>
    <w:rsid w:val="00D737C6"/>
    <w:rsid w:val="00D73909"/>
    <w:rsid w:val="00D73939"/>
    <w:rsid w:val="00D73A27"/>
    <w:rsid w:val="00D73BA4"/>
    <w:rsid w:val="00D73BD8"/>
    <w:rsid w:val="00D73C58"/>
    <w:rsid w:val="00D73C95"/>
    <w:rsid w:val="00D73CFB"/>
    <w:rsid w:val="00D73D13"/>
    <w:rsid w:val="00D73D2E"/>
    <w:rsid w:val="00D73EA6"/>
    <w:rsid w:val="00D73ECE"/>
    <w:rsid w:val="00D73F0A"/>
    <w:rsid w:val="00D73F75"/>
    <w:rsid w:val="00D741A6"/>
    <w:rsid w:val="00D741B2"/>
    <w:rsid w:val="00D742AE"/>
    <w:rsid w:val="00D742B9"/>
    <w:rsid w:val="00D743DD"/>
    <w:rsid w:val="00D7468E"/>
    <w:rsid w:val="00D746AE"/>
    <w:rsid w:val="00D74989"/>
    <w:rsid w:val="00D74C1F"/>
    <w:rsid w:val="00D74C31"/>
    <w:rsid w:val="00D74D62"/>
    <w:rsid w:val="00D74D87"/>
    <w:rsid w:val="00D74E3E"/>
    <w:rsid w:val="00D74EB3"/>
    <w:rsid w:val="00D7505F"/>
    <w:rsid w:val="00D750EF"/>
    <w:rsid w:val="00D751C0"/>
    <w:rsid w:val="00D7524C"/>
    <w:rsid w:val="00D75264"/>
    <w:rsid w:val="00D75398"/>
    <w:rsid w:val="00D7551E"/>
    <w:rsid w:val="00D75540"/>
    <w:rsid w:val="00D75637"/>
    <w:rsid w:val="00D75707"/>
    <w:rsid w:val="00D757D3"/>
    <w:rsid w:val="00D7581E"/>
    <w:rsid w:val="00D7596D"/>
    <w:rsid w:val="00D759AA"/>
    <w:rsid w:val="00D759EB"/>
    <w:rsid w:val="00D75A90"/>
    <w:rsid w:val="00D75AC9"/>
    <w:rsid w:val="00D75B8C"/>
    <w:rsid w:val="00D75CB5"/>
    <w:rsid w:val="00D75D33"/>
    <w:rsid w:val="00D75D47"/>
    <w:rsid w:val="00D75F0C"/>
    <w:rsid w:val="00D75FD7"/>
    <w:rsid w:val="00D75FEA"/>
    <w:rsid w:val="00D7604B"/>
    <w:rsid w:val="00D760AD"/>
    <w:rsid w:val="00D7611B"/>
    <w:rsid w:val="00D76208"/>
    <w:rsid w:val="00D76278"/>
    <w:rsid w:val="00D7628E"/>
    <w:rsid w:val="00D762A8"/>
    <w:rsid w:val="00D76309"/>
    <w:rsid w:val="00D763C2"/>
    <w:rsid w:val="00D763F1"/>
    <w:rsid w:val="00D763FA"/>
    <w:rsid w:val="00D76428"/>
    <w:rsid w:val="00D76454"/>
    <w:rsid w:val="00D7646B"/>
    <w:rsid w:val="00D764AD"/>
    <w:rsid w:val="00D766F8"/>
    <w:rsid w:val="00D76765"/>
    <w:rsid w:val="00D7681A"/>
    <w:rsid w:val="00D76845"/>
    <w:rsid w:val="00D76897"/>
    <w:rsid w:val="00D76927"/>
    <w:rsid w:val="00D76A9B"/>
    <w:rsid w:val="00D76AC7"/>
    <w:rsid w:val="00D76AEB"/>
    <w:rsid w:val="00D76BEF"/>
    <w:rsid w:val="00D76CD1"/>
    <w:rsid w:val="00D76DA7"/>
    <w:rsid w:val="00D76DE5"/>
    <w:rsid w:val="00D76DF4"/>
    <w:rsid w:val="00D76DFF"/>
    <w:rsid w:val="00D76E14"/>
    <w:rsid w:val="00D76E81"/>
    <w:rsid w:val="00D76EEF"/>
    <w:rsid w:val="00D76F0B"/>
    <w:rsid w:val="00D76F91"/>
    <w:rsid w:val="00D76FCD"/>
    <w:rsid w:val="00D76FE2"/>
    <w:rsid w:val="00D76FEA"/>
    <w:rsid w:val="00D77088"/>
    <w:rsid w:val="00D77316"/>
    <w:rsid w:val="00D7739F"/>
    <w:rsid w:val="00D77454"/>
    <w:rsid w:val="00D777EB"/>
    <w:rsid w:val="00D77835"/>
    <w:rsid w:val="00D779A8"/>
    <w:rsid w:val="00D77A95"/>
    <w:rsid w:val="00D77B6C"/>
    <w:rsid w:val="00D77B72"/>
    <w:rsid w:val="00D77BB1"/>
    <w:rsid w:val="00D77C04"/>
    <w:rsid w:val="00D77C27"/>
    <w:rsid w:val="00D77CC9"/>
    <w:rsid w:val="00D77CEB"/>
    <w:rsid w:val="00D77DC9"/>
    <w:rsid w:val="00D77E05"/>
    <w:rsid w:val="00D77E13"/>
    <w:rsid w:val="00D8002F"/>
    <w:rsid w:val="00D80185"/>
    <w:rsid w:val="00D80228"/>
    <w:rsid w:val="00D8028D"/>
    <w:rsid w:val="00D8029A"/>
    <w:rsid w:val="00D80323"/>
    <w:rsid w:val="00D80339"/>
    <w:rsid w:val="00D80379"/>
    <w:rsid w:val="00D80460"/>
    <w:rsid w:val="00D8057F"/>
    <w:rsid w:val="00D806DE"/>
    <w:rsid w:val="00D806EC"/>
    <w:rsid w:val="00D80778"/>
    <w:rsid w:val="00D807BD"/>
    <w:rsid w:val="00D8083F"/>
    <w:rsid w:val="00D80A2D"/>
    <w:rsid w:val="00D80A98"/>
    <w:rsid w:val="00D80ADA"/>
    <w:rsid w:val="00D80AE1"/>
    <w:rsid w:val="00D80C8B"/>
    <w:rsid w:val="00D80CDA"/>
    <w:rsid w:val="00D80D0D"/>
    <w:rsid w:val="00D80D5F"/>
    <w:rsid w:val="00D80DCD"/>
    <w:rsid w:val="00D80F19"/>
    <w:rsid w:val="00D80F68"/>
    <w:rsid w:val="00D80FC4"/>
    <w:rsid w:val="00D80FE1"/>
    <w:rsid w:val="00D81097"/>
    <w:rsid w:val="00D81201"/>
    <w:rsid w:val="00D812C7"/>
    <w:rsid w:val="00D81666"/>
    <w:rsid w:val="00D816DB"/>
    <w:rsid w:val="00D817C2"/>
    <w:rsid w:val="00D817CE"/>
    <w:rsid w:val="00D817EA"/>
    <w:rsid w:val="00D8186D"/>
    <w:rsid w:val="00D818F8"/>
    <w:rsid w:val="00D81AB6"/>
    <w:rsid w:val="00D81B3E"/>
    <w:rsid w:val="00D81C09"/>
    <w:rsid w:val="00D81F22"/>
    <w:rsid w:val="00D81FA5"/>
    <w:rsid w:val="00D82084"/>
    <w:rsid w:val="00D8228C"/>
    <w:rsid w:val="00D8231D"/>
    <w:rsid w:val="00D82473"/>
    <w:rsid w:val="00D82639"/>
    <w:rsid w:val="00D826CE"/>
    <w:rsid w:val="00D827C3"/>
    <w:rsid w:val="00D82901"/>
    <w:rsid w:val="00D82962"/>
    <w:rsid w:val="00D829B2"/>
    <w:rsid w:val="00D82ABB"/>
    <w:rsid w:val="00D82B6F"/>
    <w:rsid w:val="00D82D1B"/>
    <w:rsid w:val="00D82D53"/>
    <w:rsid w:val="00D82D8E"/>
    <w:rsid w:val="00D82D9B"/>
    <w:rsid w:val="00D82DCC"/>
    <w:rsid w:val="00D83127"/>
    <w:rsid w:val="00D83131"/>
    <w:rsid w:val="00D83233"/>
    <w:rsid w:val="00D8328F"/>
    <w:rsid w:val="00D8339A"/>
    <w:rsid w:val="00D834AA"/>
    <w:rsid w:val="00D834B2"/>
    <w:rsid w:val="00D83539"/>
    <w:rsid w:val="00D835FC"/>
    <w:rsid w:val="00D837A4"/>
    <w:rsid w:val="00D83817"/>
    <w:rsid w:val="00D83928"/>
    <w:rsid w:val="00D8398B"/>
    <w:rsid w:val="00D83995"/>
    <w:rsid w:val="00D83A06"/>
    <w:rsid w:val="00D83B34"/>
    <w:rsid w:val="00D83B52"/>
    <w:rsid w:val="00D83BA2"/>
    <w:rsid w:val="00D83BB2"/>
    <w:rsid w:val="00D83BC3"/>
    <w:rsid w:val="00D83D6A"/>
    <w:rsid w:val="00D83E54"/>
    <w:rsid w:val="00D83F64"/>
    <w:rsid w:val="00D83FAB"/>
    <w:rsid w:val="00D84060"/>
    <w:rsid w:val="00D84071"/>
    <w:rsid w:val="00D84083"/>
    <w:rsid w:val="00D8435E"/>
    <w:rsid w:val="00D84383"/>
    <w:rsid w:val="00D843F8"/>
    <w:rsid w:val="00D8440D"/>
    <w:rsid w:val="00D8443F"/>
    <w:rsid w:val="00D844E4"/>
    <w:rsid w:val="00D845EF"/>
    <w:rsid w:val="00D84619"/>
    <w:rsid w:val="00D847B7"/>
    <w:rsid w:val="00D8495C"/>
    <w:rsid w:val="00D849A2"/>
    <w:rsid w:val="00D849AB"/>
    <w:rsid w:val="00D84A1C"/>
    <w:rsid w:val="00D84B5B"/>
    <w:rsid w:val="00D84B7B"/>
    <w:rsid w:val="00D84CD4"/>
    <w:rsid w:val="00D84CF7"/>
    <w:rsid w:val="00D84FAC"/>
    <w:rsid w:val="00D84FFB"/>
    <w:rsid w:val="00D85026"/>
    <w:rsid w:val="00D85285"/>
    <w:rsid w:val="00D8530B"/>
    <w:rsid w:val="00D85323"/>
    <w:rsid w:val="00D85419"/>
    <w:rsid w:val="00D8545D"/>
    <w:rsid w:val="00D854E6"/>
    <w:rsid w:val="00D8553A"/>
    <w:rsid w:val="00D855B3"/>
    <w:rsid w:val="00D85661"/>
    <w:rsid w:val="00D856D2"/>
    <w:rsid w:val="00D857D2"/>
    <w:rsid w:val="00D857DC"/>
    <w:rsid w:val="00D858AE"/>
    <w:rsid w:val="00D8598A"/>
    <w:rsid w:val="00D85A5B"/>
    <w:rsid w:val="00D85A62"/>
    <w:rsid w:val="00D85ABE"/>
    <w:rsid w:val="00D85B56"/>
    <w:rsid w:val="00D85B5A"/>
    <w:rsid w:val="00D85C74"/>
    <w:rsid w:val="00D85D4B"/>
    <w:rsid w:val="00D85D51"/>
    <w:rsid w:val="00D85D9D"/>
    <w:rsid w:val="00D85E6B"/>
    <w:rsid w:val="00D85ED4"/>
    <w:rsid w:val="00D85F8C"/>
    <w:rsid w:val="00D86136"/>
    <w:rsid w:val="00D86182"/>
    <w:rsid w:val="00D861EC"/>
    <w:rsid w:val="00D862BB"/>
    <w:rsid w:val="00D86516"/>
    <w:rsid w:val="00D8662C"/>
    <w:rsid w:val="00D8667D"/>
    <w:rsid w:val="00D8668D"/>
    <w:rsid w:val="00D866CF"/>
    <w:rsid w:val="00D866FF"/>
    <w:rsid w:val="00D86841"/>
    <w:rsid w:val="00D86A6A"/>
    <w:rsid w:val="00D86B49"/>
    <w:rsid w:val="00D86DA8"/>
    <w:rsid w:val="00D86E6A"/>
    <w:rsid w:val="00D86FA8"/>
    <w:rsid w:val="00D8706B"/>
    <w:rsid w:val="00D870BD"/>
    <w:rsid w:val="00D870C2"/>
    <w:rsid w:val="00D87120"/>
    <w:rsid w:val="00D87238"/>
    <w:rsid w:val="00D8737A"/>
    <w:rsid w:val="00D874B4"/>
    <w:rsid w:val="00D874D3"/>
    <w:rsid w:val="00D87722"/>
    <w:rsid w:val="00D8785B"/>
    <w:rsid w:val="00D879C6"/>
    <w:rsid w:val="00D87A4C"/>
    <w:rsid w:val="00D87A59"/>
    <w:rsid w:val="00D87AD6"/>
    <w:rsid w:val="00D87C3C"/>
    <w:rsid w:val="00D87CAA"/>
    <w:rsid w:val="00D87CAE"/>
    <w:rsid w:val="00D87CE2"/>
    <w:rsid w:val="00D87DA7"/>
    <w:rsid w:val="00D87FAC"/>
    <w:rsid w:val="00D87FED"/>
    <w:rsid w:val="00D90086"/>
    <w:rsid w:val="00D9020C"/>
    <w:rsid w:val="00D9025B"/>
    <w:rsid w:val="00D90358"/>
    <w:rsid w:val="00D9036E"/>
    <w:rsid w:val="00D903A7"/>
    <w:rsid w:val="00D9045B"/>
    <w:rsid w:val="00D904F7"/>
    <w:rsid w:val="00D90543"/>
    <w:rsid w:val="00D905DA"/>
    <w:rsid w:val="00D9065A"/>
    <w:rsid w:val="00D9067C"/>
    <w:rsid w:val="00D906AF"/>
    <w:rsid w:val="00D90859"/>
    <w:rsid w:val="00D90927"/>
    <w:rsid w:val="00D9097F"/>
    <w:rsid w:val="00D909F2"/>
    <w:rsid w:val="00D90C0E"/>
    <w:rsid w:val="00D90CA1"/>
    <w:rsid w:val="00D90D4C"/>
    <w:rsid w:val="00D90E1B"/>
    <w:rsid w:val="00D90E2E"/>
    <w:rsid w:val="00D90E67"/>
    <w:rsid w:val="00D90EE1"/>
    <w:rsid w:val="00D90F1C"/>
    <w:rsid w:val="00D910D0"/>
    <w:rsid w:val="00D911C7"/>
    <w:rsid w:val="00D91232"/>
    <w:rsid w:val="00D91326"/>
    <w:rsid w:val="00D91697"/>
    <w:rsid w:val="00D916A5"/>
    <w:rsid w:val="00D916C7"/>
    <w:rsid w:val="00D91708"/>
    <w:rsid w:val="00D91733"/>
    <w:rsid w:val="00D91830"/>
    <w:rsid w:val="00D91840"/>
    <w:rsid w:val="00D91A92"/>
    <w:rsid w:val="00D91BC1"/>
    <w:rsid w:val="00D91C65"/>
    <w:rsid w:val="00D91CD5"/>
    <w:rsid w:val="00D91D5F"/>
    <w:rsid w:val="00D91DDA"/>
    <w:rsid w:val="00D91E1A"/>
    <w:rsid w:val="00D91F83"/>
    <w:rsid w:val="00D921D0"/>
    <w:rsid w:val="00D9220E"/>
    <w:rsid w:val="00D923E9"/>
    <w:rsid w:val="00D92452"/>
    <w:rsid w:val="00D925E9"/>
    <w:rsid w:val="00D925F6"/>
    <w:rsid w:val="00D92783"/>
    <w:rsid w:val="00D927D5"/>
    <w:rsid w:val="00D92809"/>
    <w:rsid w:val="00D92830"/>
    <w:rsid w:val="00D928AA"/>
    <w:rsid w:val="00D9291E"/>
    <w:rsid w:val="00D929BA"/>
    <w:rsid w:val="00D929EB"/>
    <w:rsid w:val="00D92A3A"/>
    <w:rsid w:val="00D92BF5"/>
    <w:rsid w:val="00D92C2C"/>
    <w:rsid w:val="00D92C96"/>
    <w:rsid w:val="00D92CAE"/>
    <w:rsid w:val="00D92CDE"/>
    <w:rsid w:val="00D92DC6"/>
    <w:rsid w:val="00D92F83"/>
    <w:rsid w:val="00D92FE0"/>
    <w:rsid w:val="00D93009"/>
    <w:rsid w:val="00D93107"/>
    <w:rsid w:val="00D9329E"/>
    <w:rsid w:val="00D9333E"/>
    <w:rsid w:val="00D93347"/>
    <w:rsid w:val="00D933B5"/>
    <w:rsid w:val="00D933EF"/>
    <w:rsid w:val="00D9355F"/>
    <w:rsid w:val="00D93683"/>
    <w:rsid w:val="00D93707"/>
    <w:rsid w:val="00D938BC"/>
    <w:rsid w:val="00D93B38"/>
    <w:rsid w:val="00D93C48"/>
    <w:rsid w:val="00D93E79"/>
    <w:rsid w:val="00D93EBF"/>
    <w:rsid w:val="00D93EFC"/>
    <w:rsid w:val="00D93F38"/>
    <w:rsid w:val="00D93F66"/>
    <w:rsid w:val="00D9413D"/>
    <w:rsid w:val="00D94150"/>
    <w:rsid w:val="00D94160"/>
    <w:rsid w:val="00D94404"/>
    <w:rsid w:val="00D944D5"/>
    <w:rsid w:val="00D9456F"/>
    <w:rsid w:val="00D945C8"/>
    <w:rsid w:val="00D9466D"/>
    <w:rsid w:val="00D946A1"/>
    <w:rsid w:val="00D946B7"/>
    <w:rsid w:val="00D94826"/>
    <w:rsid w:val="00D9492C"/>
    <w:rsid w:val="00D94979"/>
    <w:rsid w:val="00D94A71"/>
    <w:rsid w:val="00D94B88"/>
    <w:rsid w:val="00D94B97"/>
    <w:rsid w:val="00D94BBB"/>
    <w:rsid w:val="00D94CA2"/>
    <w:rsid w:val="00D94D6D"/>
    <w:rsid w:val="00D94E53"/>
    <w:rsid w:val="00D94F80"/>
    <w:rsid w:val="00D94FA9"/>
    <w:rsid w:val="00D94FAB"/>
    <w:rsid w:val="00D95085"/>
    <w:rsid w:val="00D95150"/>
    <w:rsid w:val="00D951D6"/>
    <w:rsid w:val="00D95325"/>
    <w:rsid w:val="00D9532D"/>
    <w:rsid w:val="00D9533C"/>
    <w:rsid w:val="00D9557E"/>
    <w:rsid w:val="00D95587"/>
    <w:rsid w:val="00D9558B"/>
    <w:rsid w:val="00D95657"/>
    <w:rsid w:val="00D95819"/>
    <w:rsid w:val="00D9593E"/>
    <w:rsid w:val="00D9597B"/>
    <w:rsid w:val="00D959C4"/>
    <w:rsid w:val="00D959DD"/>
    <w:rsid w:val="00D95B57"/>
    <w:rsid w:val="00D95B77"/>
    <w:rsid w:val="00D95D0F"/>
    <w:rsid w:val="00D95D22"/>
    <w:rsid w:val="00D95D73"/>
    <w:rsid w:val="00D95DA8"/>
    <w:rsid w:val="00D95DD3"/>
    <w:rsid w:val="00D95F0A"/>
    <w:rsid w:val="00D95FA3"/>
    <w:rsid w:val="00D95FAC"/>
    <w:rsid w:val="00D95FC4"/>
    <w:rsid w:val="00D96039"/>
    <w:rsid w:val="00D96087"/>
    <w:rsid w:val="00D961EC"/>
    <w:rsid w:val="00D96257"/>
    <w:rsid w:val="00D96367"/>
    <w:rsid w:val="00D96452"/>
    <w:rsid w:val="00D964E1"/>
    <w:rsid w:val="00D965B2"/>
    <w:rsid w:val="00D965B7"/>
    <w:rsid w:val="00D966A0"/>
    <w:rsid w:val="00D967E3"/>
    <w:rsid w:val="00D96821"/>
    <w:rsid w:val="00D96A0A"/>
    <w:rsid w:val="00D96A83"/>
    <w:rsid w:val="00D96B17"/>
    <w:rsid w:val="00D96BFD"/>
    <w:rsid w:val="00D96CEB"/>
    <w:rsid w:val="00D96D3D"/>
    <w:rsid w:val="00D96DD9"/>
    <w:rsid w:val="00D96DEC"/>
    <w:rsid w:val="00D9702A"/>
    <w:rsid w:val="00D9703B"/>
    <w:rsid w:val="00D9721E"/>
    <w:rsid w:val="00D97304"/>
    <w:rsid w:val="00D975A9"/>
    <w:rsid w:val="00D97637"/>
    <w:rsid w:val="00D976AE"/>
    <w:rsid w:val="00D976F1"/>
    <w:rsid w:val="00D97736"/>
    <w:rsid w:val="00D97803"/>
    <w:rsid w:val="00D97864"/>
    <w:rsid w:val="00D97886"/>
    <w:rsid w:val="00D979B0"/>
    <w:rsid w:val="00D979E7"/>
    <w:rsid w:val="00D979EB"/>
    <w:rsid w:val="00D97A4F"/>
    <w:rsid w:val="00D97B22"/>
    <w:rsid w:val="00D97C6C"/>
    <w:rsid w:val="00D97D63"/>
    <w:rsid w:val="00D97DCD"/>
    <w:rsid w:val="00D97DFD"/>
    <w:rsid w:val="00D97EB2"/>
    <w:rsid w:val="00D97EDA"/>
    <w:rsid w:val="00D97F6D"/>
    <w:rsid w:val="00D97F7E"/>
    <w:rsid w:val="00D97F81"/>
    <w:rsid w:val="00DA0009"/>
    <w:rsid w:val="00DA005C"/>
    <w:rsid w:val="00DA01FC"/>
    <w:rsid w:val="00DA02D4"/>
    <w:rsid w:val="00DA0305"/>
    <w:rsid w:val="00DA03E4"/>
    <w:rsid w:val="00DA04BE"/>
    <w:rsid w:val="00DA05C1"/>
    <w:rsid w:val="00DA060A"/>
    <w:rsid w:val="00DA0687"/>
    <w:rsid w:val="00DA06F6"/>
    <w:rsid w:val="00DA0761"/>
    <w:rsid w:val="00DA0A04"/>
    <w:rsid w:val="00DA0AB5"/>
    <w:rsid w:val="00DA0B2E"/>
    <w:rsid w:val="00DA0BF5"/>
    <w:rsid w:val="00DA0D89"/>
    <w:rsid w:val="00DA0DC6"/>
    <w:rsid w:val="00DA0DDE"/>
    <w:rsid w:val="00DA0E23"/>
    <w:rsid w:val="00DA0E52"/>
    <w:rsid w:val="00DA0F98"/>
    <w:rsid w:val="00DA1028"/>
    <w:rsid w:val="00DA11A4"/>
    <w:rsid w:val="00DA1244"/>
    <w:rsid w:val="00DA13AD"/>
    <w:rsid w:val="00DA1473"/>
    <w:rsid w:val="00DA1523"/>
    <w:rsid w:val="00DA15AD"/>
    <w:rsid w:val="00DA16E1"/>
    <w:rsid w:val="00DA173A"/>
    <w:rsid w:val="00DA17EB"/>
    <w:rsid w:val="00DA17F3"/>
    <w:rsid w:val="00DA18AE"/>
    <w:rsid w:val="00DA1A2D"/>
    <w:rsid w:val="00DA1B2C"/>
    <w:rsid w:val="00DA1D24"/>
    <w:rsid w:val="00DA1D82"/>
    <w:rsid w:val="00DA1E35"/>
    <w:rsid w:val="00DA1E7A"/>
    <w:rsid w:val="00DA1FDB"/>
    <w:rsid w:val="00DA1FF3"/>
    <w:rsid w:val="00DA2133"/>
    <w:rsid w:val="00DA2196"/>
    <w:rsid w:val="00DA21B2"/>
    <w:rsid w:val="00DA2238"/>
    <w:rsid w:val="00DA2457"/>
    <w:rsid w:val="00DA25B8"/>
    <w:rsid w:val="00DA25FC"/>
    <w:rsid w:val="00DA26EF"/>
    <w:rsid w:val="00DA2728"/>
    <w:rsid w:val="00DA2741"/>
    <w:rsid w:val="00DA274A"/>
    <w:rsid w:val="00DA283B"/>
    <w:rsid w:val="00DA28A0"/>
    <w:rsid w:val="00DA28CF"/>
    <w:rsid w:val="00DA29E6"/>
    <w:rsid w:val="00DA2A03"/>
    <w:rsid w:val="00DA2B38"/>
    <w:rsid w:val="00DA2B85"/>
    <w:rsid w:val="00DA2C23"/>
    <w:rsid w:val="00DA2C94"/>
    <w:rsid w:val="00DA2DC7"/>
    <w:rsid w:val="00DA2DE9"/>
    <w:rsid w:val="00DA2ED2"/>
    <w:rsid w:val="00DA2F79"/>
    <w:rsid w:val="00DA323E"/>
    <w:rsid w:val="00DA3478"/>
    <w:rsid w:val="00DA348C"/>
    <w:rsid w:val="00DA34AF"/>
    <w:rsid w:val="00DA34CB"/>
    <w:rsid w:val="00DA3514"/>
    <w:rsid w:val="00DA3549"/>
    <w:rsid w:val="00DA36FD"/>
    <w:rsid w:val="00DA3717"/>
    <w:rsid w:val="00DA379C"/>
    <w:rsid w:val="00DA38C2"/>
    <w:rsid w:val="00DA3915"/>
    <w:rsid w:val="00DA3A06"/>
    <w:rsid w:val="00DA3DDE"/>
    <w:rsid w:val="00DA3E4F"/>
    <w:rsid w:val="00DA3F42"/>
    <w:rsid w:val="00DA3FF1"/>
    <w:rsid w:val="00DA3FFB"/>
    <w:rsid w:val="00DA40D1"/>
    <w:rsid w:val="00DA40DC"/>
    <w:rsid w:val="00DA41B3"/>
    <w:rsid w:val="00DA4294"/>
    <w:rsid w:val="00DA436D"/>
    <w:rsid w:val="00DA4449"/>
    <w:rsid w:val="00DA45F4"/>
    <w:rsid w:val="00DA46D3"/>
    <w:rsid w:val="00DA474A"/>
    <w:rsid w:val="00DA47B4"/>
    <w:rsid w:val="00DA4813"/>
    <w:rsid w:val="00DA484E"/>
    <w:rsid w:val="00DA4891"/>
    <w:rsid w:val="00DA4A49"/>
    <w:rsid w:val="00DA4AF4"/>
    <w:rsid w:val="00DA4DED"/>
    <w:rsid w:val="00DA4E57"/>
    <w:rsid w:val="00DA4F11"/>
    <w:rsid w:val="00DA4F91"/>
    <w:rsid w:val="00DA5162"/>
    <w:rsid w:val="00DA51CF"/>
    <w:rsid w:val="00DA540A"/>
    <w:rsid w:val="00DA5420"/>
    <w:rsid w:val="00DA5488"/>
    <w:rsid w:val="00DA5601"/>
    <w:rsid w:val="00DA5637"/>
    <w:rsid w:val="00DA570B"/>
    <w:rsid w:val="00DA57A8"/>
    <w:rsid w:val="00DA58FD"/>
    <w:rsid w:val="00DA5958"/>
    <w:rsid w:val="00DA5A2C"/>
    <w:rsid w:val="00DA5A58"/>
    <w:rsid w:val="00DA5AA4"/>
    <w:rsid w:val="00DA5AC6"/>
    <w:rsid w:val="00DA5B08"/>
    <w:rsid w:val="00DA5B94"/>
    <w:rsid w:val="00DA5CAC"/>
    <w:rsid w:val="00DA5CC6"/>
    <w:rsid w:val="00DA5E2A"/>
    <w:rsid w:val="00DA608D"/>
    <w:rsid w:val="00DA625F"/>
    <w:rsid w:val="00DA6269"/>
    <w:rsid w:val="00DA62D7"/>
    <w:rsid w:val="00DA632B"/>
    <w:rsid w:val="00DA6412"/>
    <w:rsid w:val="00DA6423"/>
    <w:rsid w:val="00DA6565"/>
    <w:rsid w:val="00DA65A7"/>
    <w:rsid w:val="00DA6656"/>
    <w:rsid w:val="00DA66AF"/>
    <w:rsid w:val="00DA6742"/>
    <w:rsid w:val="00DA6930"/>
    <w:rsid w:val="00DA69AC"/>
    <w:rsid w:val="00DA6B31"/>
    <w:rsid w:val="00DA6D0E"/>
    <w:rsid w:val="00DA6D75"/>
    <w:rsid w:val="00DA6F1B"/>
    <w:rsid w:val="00DA7285"/>
    <w:rsid w:val="00DA730A"/>
    <w:rsid w:val="00DA75AB"/>
    <w:rsid w:val="00DA75E3"/>
    <w:rsid w:val="00DA75EA"/>
    <w:rsid w:val="00DA7757"/>
    <w:rsid w:val="00DA7789"/>
    <w:rsid w:val="00DA786A"/>
    <w:rsid w:val="00DA78B9"/>
    <w:rsid w:val="00DA791B"/>
    <w:rsid w:val="00DA7AA0"/>
    <w:rsid w:val="00DA7AAC"/>
    <w:rsid w:val="00DA7AB6"/>
    <w:rsid w:val="00DA7B62"/>
    <w:rsid w:val="00DA7C7E"/>
    <w:rsid w:val="00DA7E59"/>
    <w:rsid w:val="00DA7F1A"/>
    <w:rsid w:val="00DA7F88"/>
    <w:rsid w:val="00DB0040"/>
    <w:rsid w:val="00DB01A1"/>
    <w:rsid w:val="00DB01BA"/>
    <w:rsid w:val="00DB0338"/>
    <w:rsid w:val="00DB035D"/>
    <w:rsid w:val="00DB03AC"/>
    <w:rsid w:val="00DB0462"/>
    <w:rsid w:val="00DB04A9"/>
    <w:rsid w:val="00DB04AC"/>
    <w:rsid w:val="00DB061C"/>
    <w:rsid w:val="00DB0713"/>
    <w:rsid w:val="00DB077E"/>
    <w:rsid w:val="00DB086A"/>
    <w:rsid w:val="00DB0953"/>
    <w:rsid w:val="00DB09F6"/>
    <w:rsid w:val="00DB09F7"/>
    <w:rsid w:val="00DB0A38"/>
    <w:rsid w:val="00DB0ACB"/>
    <w:rsid w:val="00DB0AD2"/>
    <w:rsid w:val="00DB0DAE"/>
    <w:rsid w:val="00DB0DFC"/>
    <w:rsid w:val="00DB0F01"/>
    <w:rsid w:val="00DB0F22"/>
    <w:rsid w:val="00DB0F33"/>
    <w:rsid w:val="00DB0F90"/>
    <w:rsid w:val="00DB10E8"/>
    <w:rsid w:val="00DB125A"/>
    <w:rsid w:val="00DB12B1"/>
    <w:rsid w:val="00DB1315"/>
    <w:rsid w:val="00DB1328"/>
    <w:rsid w:val="00DB1417"/>
    <w:rsid w:val="00DB1500"/>
    <w:rsid w:val="00DB15A7"/>
    <w:rsid w:val="00DB15D0"/>
    <w:rsid w:val="00DB162A"/>
    <w:rsid w:val="00DB169A"/>
    <w:rsid w:val="00DB16CF"/>
    <w:rsid w:val="00DB1745"/>
    <w:rsid w:val="00DB17F1"/>
    <w:rsid w:val="00DB182D"/>
    <w:rsid w:val="00DB18FB"/>
    <w:rsid w:val="00DB1A92"/>
    <w:rsid w:val="00DB1B22"/>
    <w:rsid w:val="00DB1D68"/>
    <w:rsid w:val="00DB1E7C"/>
    <w:rsid w:val="00DB1EB1"/>
    <w:rsid w:val="00DB1F00"/>
    <w:rsid w:val="00DB1FA2"/>
    <w:rsid w:val="00DB2074"/>
    <w:rsid w:val="00DB20DD"/>
    <w:rsid w:val="00DB217D"/>
    <w:rsid w:val="00DB218D"/>
    <w:rsid w:val="00DB2280"/>
    <w:rsid w:val="00DB2293"/>
    <w:rsid w:val="00DB2312"/>
    <w:rsid w:val="00DB234F"/>
    <w:rsid w:val="00DB2389"/>
    <w:rsid w:val="00DB2432"/>
    <w:rsid w:val="00DB24BF"/>
    <w:rsid w:val="00DB24D2"/>
    <w:rsid w:val="00DB256B"/>
    <w:rsid w:val="00DB27E7"/>
    <w:rsid w:val="00DB2878"/>
    <w:rsid w:val="00DB2917"/>
    <w:rsid w:val="00DB29DD"/>
    <w:rsid w:val="00DB29E8"/>
    <w:rsid w:val="00DB2AD6"/>
    <w:rsid w:val="00DB2B88"/>
    <w:rsid w:val="00DB2B97"/>
    <w:rsid w:val="00DB2CCC"/>
    <w:rsid w:val="00DB2CDE"/>
    <w:rsid w:val="00DB2D4F"/>
    <w:rsid w:val="00DB2EEE"/>
    <w:rsid w:val="00DB2FC4"/>
    <w:rsid w:val="00DB2FCA"/>
    <w:rsid w:val="00DB2FD2"/>
    <w:rsid w:val="00DB30F9"/>
    <w:rsid w:val="00DB31C3"/>
    <w:rsid w:val="00DB32CB"/>
    <w:rsid w:val="00DB3342"/>
    <w:rsid w:val="00DB3534"/>
    <w:rsid w:val="00DB3542"/>
    <w:rsid w:val="00DB35C6"/>
    <w:rsid w:val="00DB35ED"/>
    <w:rsid w:val="00DB3649"/>
    <w:rsid w:val="00DB377A"/>
    <w:rsid w:val="00DB39CC"/>
    <w:rsid w:val="00DB3AAF"/>
    <w:rsid w:val="00DB3B2B"/>
    <w:rsid w:val="00DB3B62"/>
    <w:rsid w:val="00DB3B7A"/>
    <w:rsid w:val="00DB3C03"/>
    <w:rsid w:val="00DB3D1C"/>
    <w:rsid w:val="00DB3D36"/>
    <w:rsid w:val="00DB3D62"/>
    <w:rsid w:val="00DB3D9F"/>
    <w:rsid w:val="00DB3E83"/>
    <w:rsid w:val="00DB3EB0"/>
    <w:rsid w:val="00DB3F48"/>
    <w:rsid w:val="00DB409B"/>
    <w:rsid w:val="00DB4153"/>
    <w:rsid w:val="00DB4180"/>
    <w:rsid w:val="00DB4233"/>
    <w:rsid w:val="00DB44D7"/>
    <w:rsid w:val="00DB4541"/>
    <w:rsid w:val="00DB4602"/>
    <w:rsid w:val="00DB466F"/>
    <w:rsid w:val="00DB46C5"/>
    <w:rsid w:val="00DB46CD"/>
    <w:rsid w:val="00DB46EF"/>
    <w:rsid w:val="00DB473E"/>
    <w:rsid w:val="00DB4847"/>
    <w:rsid w:val="00DB4992"/>
    <w:rsid w:val="00DB4AC2"/>
    <w:rsid w:val="00DB4B4D"/>
    <w:rsid w:val="00DB4B7F"/>
    <w:rsid w:val="00DB4DBC"/>
    <w:rsid w:val="00DB4E08"/>
    <w:rsid w:val="00DB4ED8"/>
    <w:rsid w:val="00DB4F3C"/>
    <w:rsid w:val="00DB4F92"/>
    <w:rsid w:val="00DB5021"/>
    <w:rsid w:val="00DB50CD"/>
    <w:rsid w:val="00DB5279"/>
    <w:rsid w:val="00DB529C"/>
    <w:rsid w:val="00DB5315"/>
    <w:rsid w:val="00DB5324"/>
    <w:rsid w:val="00DB54B7"/>
    <w:rsid w:val="00DB55EF"/>
    <w:rsid w:val="00DB5A28"/>
    <w:rsid w:val="00DB5ACA"/>
    <w:rsid w:val="00DB5B97"/>
    <w:rsid w:val="00DB5CB7"/>
    <w:rsid w:val="00DB5CE2"/>
    <w:rsid w:val="00DB5D44"/>
    <w:rsid w:val="00DB5FBB"/>
    <w:rsid w:val="00DB602A"/>
    <w:rsid w:val="00DB611E"/>
    <w:rsid w:val="00DB615E"/>
    <w:rsid w:val="00DB61DB"/>
    <w:rsid w:val="00DB6244"/>
    <w:rsid w:val="00DB6251"/>
    <w:rsid w:val="00DB62B9"/>
    <w:rsid w:val="00DB638B"/>
    <w:rsid w:val="00DB63EB"/>
    <w:rsid w:val="00DB65C3"/>
    <w:rsid w:val="00DB65C7"/>
    <w:rsid w:val="00DB6611"/>
    <w:rsid w:val="00DB6759"/>
    <w:rsid w:val="00DB6917"/>
    <w:rsid w:val="00DB69AC"/>
    <w:rsid w:val="00DB6A0A"/>
    <w:rsid w:val="00DB6B9B"/>
    <w:rsid w:val="00DB6C6B"/>
    <w:rsid w:val="00DB6EC4"/>
    <w:rsid w:val="00DB6FF9"/>
    <w:rsid w:val="00DB7074"/>
    <w:rsid w:val="00DB7084"/>
    <w:rsid w:val="00DB7098"/>
    <w:rsid w:val="00DB7187"/>
    <w:rsid w:val="00DB7363"/>
    <w:rsid w:val="00DB73D5"/>
    <w:rsid w:val="00DB73E3"/>
    <w:rsid w:val="00DB741F"/>
    <w:rsid w:val="00DB7477"/>
    <w:rsid w:val="00DB7491"/>
    <w:rsid w:val="00DB74B3"/>
    <w:rsid w:val="00DB74E6"/>
    <w:rsid w:val="00DB7569"/>
    <w:rsid w:val="00DB75B3"/>
    <w:rsid w:val="00DB76E1"/>
    <w:rsid w:val="00DB76FF"/>
    <w:rsid w:val="00DB77A4"/>
    <w:rsid w:val="00DB77C7"/>
    <w:rsid w:val="00DB77E6"/>
    <w:rsid w:val="00DB79B7"/>
    <w:rsid w:val="00DB79C6"/>
    <w:rsid w:val="00DB7A38"/>
    <w:rsid w:val="00DB7AC5"/>
    <w:rsid w:val="00DB7BE6"/>
    <w:rsid w:val="00DB7C52"/>
    <w:rsid w:val="00DB7CAD"/>
    <w:rsid w:val="00DB7D57"/>
    <w:rsid w:val="00DB7D91"/>
    <w:rsid w:val="00DB7E78"/>
    <w:rsid w:val="00DB7E83"/>
    <w:rsid w:val="00DB7E91"/>
    <w:rsid w:val="00DB7FD9"/>
    <w:rsid w:val="00DC001D"/>
    <w:rsid w:val="00DC00AE"/>
    <w:rsid w:val="00DC00E1"/>
    <w:rsid w:val="00DC02D3"/>
    <w:rsid w:val="00DC045A"/>
    <w:rsid w:val="00DC0539"/>
    <w:rsid w:val="00DC0549"/>
    <w:rsid w:val="00DC06D3"/>
    <w:rsid w:val="00DC06F7"/>
    <w:rsid w:val="00DC0725"/>
    <w:rsid w:val="00DC07E1"/>
    <w:rsid w:val="00DC085B"/>
    <w:rsid w:val="00DC091B"/>
    <w:rsid w:val="00DC0A69"/>
    <w:rsid w:val="00DC0B6E"/>
    <w:rsid w:val="00DC0C8A"/>
    <w:rsid w:val="00DC0CA5"/>
    <w:rsid w:val="00DC0CD2"/>
    <w:rsid w:val="00DC0CEB"/>
    <w:rsid w:val="00DC0E4F"/>
    <w:rsid w:val="00DC0EE0"/>
    <w:rsid w:val="00DC0F9C"/>
    <w:rsid w:val="00DC1034"/>
    <w:rsid w:val="00DC103D"/>
    <w:rsid w:val="00DC1124"/>
    <w:rsid w:val="00DC1183"/>
    <w:rsid w:val="00DC1219"/>
    <w:rsid w:val="00DC13CD"/>
    <w:rsid w:val="00DC146F"/>
    <w:rsid w:val="00DC150F"/>
    <w:rsid w:val="00DC1571"/>
    <w:rsid w:val="00DC15D9"/>
    <w:rsid w:val="00DC15EC"/>
    <w:rsid w:val="00DC171C"/>
    <w:rsid w:val="00DC178D"/>
    <w:rsid w:val="00DC18A7"/>
    <w:rsid w:val="00DC18BF"/>
    <w:rsid w:val="00DC193F"/>
    <w:rsid w:val="00DC19DE"/>
    <w:rsid w:val="00DC1AC8"/>
    <w:rsid w:val="00DC1B04"/>
    <w:rsid w:val="00DC1E26"/>
    <w:rsid w:val="00DC2035"/>
    <w:rsid w:val="00DC204E"/>
    <w:rsid w:val="00DC20C3"/>
    <w:rsid w:val="00DC2183"/>
    <w:rsid w:val="00DC250E"/>
    <w:rsid w:val="00DC256C"/>
    <w:rsid w:val="00DC25F2"/>
    <w:rsid w:val="00DC261A"/>
    <w:rsid w:val="00DC2776"/>
    <w:rsid w:val="00DC2786"/>
    <w:rsid w:val="00DC27D4"/>
    <w:rsid w:val="00DC2821"/>
    <w:rsid w:val="00DC285E"/>
    <w:rsid w:val="00DC2878"/>
    <w:rsid w:val="00DC29C6"/>
    <w:rsid w:val="00DC2A68"/>
    <w:rsid w:val="00DC2B59"/>
    <w:rsid w:val="00DC2BA5"/>
    <w:rsid w:val="00DC2BB6"/>
    <w:rsid w:val="00DC2C70"/>
    <w:rsid w:val="00DC2CFB"/>
    <w:rsid w:val="00DC2D39"/>
    <w:rsid w:val="00DC2DC5"/>
    <w:rsid w:val="00DC2F15"/>
    <w:rsid w:val="00DC2FCD"/>
    <w:rsid w:val="00DC30FD"/>
    <w:rsid w:val="00DC3178"/>
    <w:rsid w:val="00DC32B6"/>
    <w:rsid w:val="00DC32FF"/>
    <w:rsid w:val="00DC3383"/>
    <w:rsid w:val="00DC347D"/>
    <w:rsid w:val="00DC3540"/>
    <w:rsid w:val="00DC3569"/>
    <w:rsid w:val="00DC35A9"/>
    <w:rsid w:val="00DC3624"/>
    <w:rsid w:val="00DC3711"/>
    <w:rsid w:val="00DC37F0"/>
    <w:rsid w:val="00DC3A46"/>
    <w:rsid w:val="00DC3AB3"/>
    <w:rsid w:val="00DC3BA5"/>
    <w:rsid w:val="00DC3BCA"/>
    <w:rsid w:val="00DC3BE7"/>
    <w:rsid w:val="00DC3D5F"/>
    <w:rsid w:val="00DC3E5E"/>
    <w:rsid w:val="00DC3ECB"/>
    <w:rsid w:val="00DC3F62"/>
    <w:rsid w:val="00DC3F64"/>
    <w:rsid w:val="00DC4135"/>
    <w:rsid w:val="00DC4402"/>
    <w:rsid w:val="00DC4456"/>
    <w:rsid w:val="00DC44FD"/>
    <w:rsid w:val="00DC45DC"/>
    <w:rsid w:val="00DC47D5"/>
    <w:rsid w:val="00DC483D"/>
    <w:rsid w:val="00DC4843"/>
    <w:rsid w:val="00DC491A"/>
    <w:rsid w:val="00DC49BB"/>
    <w:rsid w:val="00DC49CC"/>
    <w:rsid w:val="00DC49CF"/>
    <w:rsid w:val="00DC4BE3"/>
    <w:rsid w:val="00DC4CC2"/>
    <w:rsid w:val="00DC4D7E"/>
    <w:rsid w:val="00DC4EE5"/>
    <w:rsid w:val="00DC4EEB"/>
    <w:rsid w:val="00DC4F36"/>
    <w:rsid w:val="00DC4F83"/>
    <w:rsid w:val="00DC4F9F"/>
    <w:rsid w:val="00DC5005"/>
    <w:rsid w:val="00DC513F"/>
    <w:rsid w:val="00DC51B6"/>
    <w:rsid w:val="00DC522C"/>
    <w:rsid w:val="00DC528E"/>
    <w:rsid w:val="00DC532B"/>
    <w:rsid w:val="00DC5402"/>
    <w:rsid w:val="00DC540F"/>
    <w:rsid w:val="00DC5411"/>
    <w:rsid w:val="00DC5589"/>
    <w:rsid w:val="00DC567F"/>
    <w:rsid w:val="00DC56B5"/>
    <w:rsid w:val="00DC596F"/>
    <w:rsid w:val="00DC5A12"/>
    <w:rsid w:val="00DC5AA0"/>
    <w:rsid w:val="00DC5B9B"/>
    <w:rsid w:val="00DC5E05"/>
    <w:rsid w:val="00DC5E76"/>
    <w:rsid w:val="00DC5EC6"/>
    <w:rsid w:val="00DC5ECF"/>
    <w:rsid w:val="00DC5FAA"/>
    <w:rsid w:val="00DC5FB1"/>
    <w:rsid w:val="00DC5FF4"/>
    <w:rsid w:val="00DC6017"/>
    <w:rsid w:val="00DC610A"/>
    <w:rsid w:val="00DC6198"/>
    <w:rsid w:val="00DC62A9"/>
    <w:rsid w:val="00DC6327"/>
    <w:rsid w:val="00DC6457"/>
    <w:rsid w:val="00DC66A9"/>
    <w:rsid w:val="00DC6788"/>
    <w:rsid w:val="00DC67F7"/>
    <w:rsid w:val="00DC6856"/>
    <w:rsid w:val="00DC6875"/>
    <w:rsid w:val="00DC6C00"/>
    <w:rsid w:val="00DC6C10"/>
    <w:rsid w:val="00DC6C48"/>
    <w:rsid w:val="00DC6DEE"/>
    <w:rsid w:val="00DC6E74"/>
    <w:rsid w:val="00DC7043"/>
    <w:rsid w:val="00DC70D3"/>
    <w:rsid w:val="00DC7103"/>
    <w:rsid w:val="00DC7111"/>
    <w:rsid w:val="00DC7126"/>
    <w:rsid w:val="00DC7389"/>
    <w:rsid w:val="00DC73CD"/>
    <w:rsid w:val="00DC73DB"/>
    <w:rsid w:val="00DC7590"/>
    <w:rsid w:val="00DC75EF"/>
    <w:rsid w:val="00DC768B"/>
    <w:rsid w:val="00DC769C"/>
    <w:rsid w:val="00DC775C"/>
    <w:rsid w:val="00DC77B3"/>
    <w:rsid w:val="00DC7812"/>
    <w:rsid w:val="00DC7878"/>
    <w:rsid w:val="00DC794B"/>
    <w:rsid w:val="00DC7B29"/>
    <w:rsid w:val="00DC7BA3"/>
    <w:rsid w:val="00DC7C33"/>
    <w:rsid w:val="00DC7C8A"/>
    <w:rsid w:val="00DC7CA6"/>
    <w:rsid w:val="00DC7CC4"/>
    <w:rsid w:val="00DC7DAA"/>
    <w:rsid w:val="00DC7E68"/>
    <w:rsid w:val="00DC7EB8"/>
    <w:rsid w:val="00DC7F7A"/>
    <w:rsid w:val="00DC7F9A"/>
    <w:rsid w:val="00DD002A"/>
    <w:rsid w:val="00DD00CE"/>
    <w:rsid w:val="00DD02F6"/>
    <w:rsid w:val="00DD04B0"/>
    <w:rsid w:val="00DD04E4"/>
    <w:rsid w:val="00DD05E5"/>
    <w:rsid w:val="00DD05E7"/>
    <w:rsid w:val="00DD0657"/>
    <w:rsid w:val="00DD086A"/>
    <w:rsid w:val="00DD0BA5"/>
    <w:rsid w:val="00DD0BEA"/>
    <w:rsid w:val="00DD0C09"/>
    <w:rsid w:val="00DD0D34"/>
    <w:rsid w:val="00DD0D88"/>
    <w:rsid w:val="00DD0DD9"/>
    <w:rsid w:val="00DD0F14"/>
    <w:rsid w:val="00DD0F71"/>
    <w:rsid w:val="00DD0F94"/>
    <w:rsid w:val="00DD0FAD"/>
    <w:rsid w:val="00DD0FEF"/>
    <w:rsid w:val="00DD0FF3"/>
    <w:rsid w:val="00DD1012"/>
    <w:rsid w:val="00DD10C4"/>
    <w:rsid w:val="00DD111E"/>
    <w:rsid w:val="00DD130F"/>
    <w:rsid w:val="00DD13DF"/>
    <w:rsid w:val="00DD144A"/>
    <w:rsid w:val="00DD144F"/>
    <w:rsid w:val="00DD14BE"/>
    <w:rsid w:val="00DD15D5"/>
    <w:rsid w:val="00DD1743"/>
    <w:rsid w:val="00DD18C4"/>
    <w:rsid w:val="00DD18D8"/>
    <w:rsid w:val="00DD1985"/>
    <w:rsid w:val="00DD19ED"/>
    <w:rsid w:val="00DD1B63"/>
    <w:rsid w:val="00DD1CA5"/>
    <w:rsid w:val="00DD1D0D"/>
    <w:rsid w:val="00DD1EF8"/>
    <w:rsid w:val="00DD2038"/>
    <w:rsid w:val="00DD20A6"/>
    <w:rsid w:val="00DD2142"/>
    <w:rsid w:val="00DD2197"/>
    <w:rsid w:val="00DD22A7"/>
    <w:rsid w:val="00DD22D6"/>
    <w:rsid w:val="00DD2360"/>
    <w:rsid w:val="00DD2522"/>
    <w:rsid w:val="00DD2640"/>
    <w:rsid w:val="00DD2893"/>
    <w:rsid w:val="00DD290B"/>
    <w:rsid w:val="00DD2945"/>
    <w:rsid w:val="00DD2A87"/>
    <w:rsid w:val="00DD2ADC"/>
    <w:rsid w:val="00DD2B0F"/>
    <w:rsid w:val="00DD2B16"/>
    <w:rsid w:val="00DD2B78"/>
    <w:rsid w:val="00DD2C6A"/>
    <w:rsid w:val="00DD2E63"/>
    <w:rsid w:val="00DD2E96"/>
    <w:rsid w:val="00DD3050"/>
    <w:rsid w:val="00DD3104"/>
    <w:rsid w:val="00DD3132"/>
    <w:rsid w:val="00DD31C1"/>
    <w:rsid w:val="00DD31DC"/>
    <w:rsid w:val="00DD3250"/>
    <w:rsid w:val="00DD32DF"/>
    <w:rsid w:val="00DD3331"/>
    <w:rsid w:val="00DD3382"/>
    <w:rsid w:val="00DD3410"/>
    <w:rsid w:val="00DD3417"/>
    <w:rsid w:val="00DD34DB"/>
    <w:rsid w:val="00DD356D"/>
    <w:rsid w:val="00DD35DB"/>
    <w:rsid w:val="00DD3779"/>
    <w:rsid w:val="00DD381A"/>
    <w:rsid w:val="00DD383C"/>
    <w:rsid w:val="00DD38AC"/>
    <w:rsid w:val="00DD38B2"/>
    <w:rsid w:val="00DD3A52"/>
    <w:rsid w:val="00DD3B40"/>
    <w:rsid w:val="00DD3B61"/>
    <w:rsid w:val="00DD3C67"/>
    <w:rsid w:val="00DD3CF8"/>
    <w:rsid w:val="00DD3D10"/>
    <w:rsid w:val="00DD3D11"/>
    <w:rsid w:val="00DD3D7B"/>
    <w:rsid w:val="00DD3F4C"/>
    <w:rsid w:val="00DD3F53"/>
    <w:rsid w:val="00DD418D"/>
    <w:rsid w:val="00DD442C"/>
    <w:rsid w:val="00DD4543"/>
    <w:rsid w:val="00DD457E"/>
    <w:rsid w:val="00DD45C4"/>
    <w:rsid w:val="00DD45EE"/>
    <w:rsid w:val="00DD4638"/>
    <w:rsid w:val="00DD4640"/>
    <w:rsid w:val="00DD46B6"/>
    <w:rsid w:val="00DD4714"/>
    <w:rsid w:val="00DD472A"/>
    <w:rsid w:val="00DD486C"/>
    <w:rsid w:val="00DD490D"/>
    <w:rsid w:val="00DD4939"/>
    <w:rsid w:val="00DD4A0A"/>
    <w:rsid w:val="00DD4AFD"/>
    <w:rsid w:val="00DD4B1F"/>
    <w:rsid w:val="00DD4B29"/>
    <w:rsid w:val="00DD4B6A"/>
    <w:rsid w:val="00DD4CA4"/>
    <w:rsid w:val="00DD4DAA"/>
    <w:rsid w:val="00DD4DD8"/>
    <w:rsid w:val="00DD4FAE"/>
    <w:rsid w:val="00DD510F"/>
    <w:rsid w:val="00DD5200"/>
    <w:rsid w:val="00DD52B4"/>
    <w:rsid w:val="00DD52EC"/>
    <w:rsid w:val="00DD5308"/>
    <w:rsid w:val="00DD5335"/>
    <w:rsid w:val="00DD541E"/>
    <w:rsid w:val="00DD5495"/>
    <w:rsid w:val="00DD5551"/>
    <w:rsid w:val="00DD5653"/>
    <w:rsid w:val="00DD5689"/>
    <w:rsid w:val="00DD56F2"/>
    <w:rsid w:val="00DD574F"/>
    <w:rsid w:val="00DD58DF"/>
    <w:rsid w:val="00DD5916"/>
    <w:rsid w:val="00DD5AC9"/>
    <w:rsid w:val="00DD5B6B"/>
    <w:rsid w:val="00DD5BC5"/>
    <w:rsid w:val="00DD5C74"/>
    <w:rsid w:val="00DD5CA0"/>
    <w:rsid w:val="00DD5DB6"/>
    <w:rsid w:val="00DD5EA1"/>
    <w:rsid w:val="00DD5F01"/>
    <w:rsid w:val="00DD5FF8"/>
    <w:rsid w:val="00DD6049"/>
    <w:rsid w:val="00DD6089"/>
    <w:rsid w:val="00DD6179"/>
    <w:rsid w:val="00DD6390"/>
    <w:rsid w:val="00DD649A"/>
    <w:rsid w:val="00DD654B"/>
    <w:rsid w:val="00DD6921"/>
    <w:rsid w:val="00DD69EA"/>
    <w:rsid w:val="00DD6BBE"/>
    <w:rsid w:val="00DD6C22"/>
    <w:rsid w:val="00DD6C3F"/>
    <w:rsid w:val="00DD6C67"/>
    <w:rsid w:val="00DD6CC5"/>
    <w:rsid w:val="00DD6D9F"/>
    <w:rsid w:val="00DD6DA8"/>
    <w:rsid w:val="00DD6DED"/>
    <w:rsid w:val="00DD6E3A"/>
    <w:rsid w:val="00DD6EDF"/>
    <w:rsid w:val="00DD6F35"/>
    <w:rsid w:val="00DD6F98"/>
    <w:rsid w:val="00DD703E"/>
    <w:rsid w:val="00DD70CB"/>
    <w:rsid w:val="00DD74A2"/>
    <w:rsid w:val="00DD74AE"/>
    <w:rsid w:val="00DD75C0"/>
    <w:rsid w:val="00DD760A"/>
    <w:rsid w:val="00DD76E2"/>
    <w:rsid w:val="00DD77AC"/>
    <w:rsid w:val="00DD77DD"/>
    <w:rsid w:val="00DD7886"/>
    <w:rsid w:val="00DD79B9"/>
    <w:rsid w:val="00DD7A8A"/>
    <w:rsid w:val="00DD7AA2"/>
    <w:rsid w:val="00DD7AB5"/>
    <w:rsid w:val="00DD7AF6"/>
    <w:rsid w:val="00DD7B67"/>
    <w:rsid w:val="00DD7B83"/>
    <w:rsid w:val="00DD7BA2"/>
    <w:rsid w:val="00DD7BC1"/>
    <w:rsid w:val="00DD7BC6"/>
    <w:rsid w:val="00DD7C05"/>
    <w:rsid w:val="00DD7CB1"/>
    <w:rsid w:val="00DD7D17"/>
    <w:rsid w:val="00DD7DF0"/>
    <w:rsid w:val="00DD7DF8"/>
    <w:rsid w:val="00DD7F54"/>
    <w:rsid w:val="00DE014E"/>
    <w:rsid w:val="00DE0220"/>
    <w:rsid w:val="00DE0258"/>
    <w:rsid w:val="00DE026A"/>
    <w:rsid w:val="00DE0299"/>
    <w:rsid w:val="00DE039E"/>
    <w:rsid w:val="00DE03D2"/>
    <w:rsid w:val="00DE049C"/>
    <w:rsid w:val="00DE05A4"/>
    <w:rsid w:val="00DE05E5"/>
    <w:rsid w:val="00DE05FC"/>
    <w:rsid w:val="00DE067B"/>
    <w:rsid w:val="00DE071A"/>
    <w:rsid w:val="00DE07C5"/>
    <w:rsid w:val="00DE0827"/>
    <w:rsid w:val="00DE090B"/>
    <w:rsid w:val="00DE0A1E"/>
    <w:rsid w:val="00DE0B46"/>
    <w:rsid w:val="00DE0B9B"/>
    <w:rsid w:val="00DE0D0A"/>
    <w:rsid w:val="00DE0DB8"/>
    <w:rsid w:val="00DE1029"/>
    <w:rsid w:val="00DE10A9"/>
    <w:rsid w:val="00DE10B1"/>
    <w:rsid w:val="00DE1275"/>
    <w:rsid w:val="00DE12E6"/>
    <w:rsid w:val="00DE12EC"/>
    <w:rsid w:val="00DE1408"/>
    <w:rsid w:val="00DE1568"/>
    <w:rsid w:val="00DE1606"/>
    <w:rsid w:val="00DE1741"/>
    <w:rsid w:val="00DE175B"/>
    <w:rsid w:val="00DE1770"/>
    <w:rsid w:val="00DE17C2"/>
    <w:rsid w:val="00DE17FD"/>
    <w:rsid w:val="00DE188D"/>
    <w:rsid w:val="00DE18A8"/>
    <w:rsid w:val="00DE18F7"/>
    <w:rsid w:val="00DE18F9"/>
    <w:rsid w:val="00DE19B6"/>
    <w:rsid w:val="00DE19CA"/>
    <w:rsid w:val="00DE1B06"/>
    <w:rsid w:val="00DE1B83"/>
    <w:rsid w:val="00DE1B84"/>
    <w:rsid w:val="00DE1CED"/>
    <w:rsid w:val="00DE1DA9"/>
    <w:rsid w:val="00DE1E40"/>
    <w:rsid w:val="00DE1E6F"/>
    <w:rsid w:val="00DE1ECF"/>
    <w:rsid w:val="00DE1F4E"/>
    <w:rsid w:val="00DE1FB3"/>
    <w:rsid w:val="00DE2122"/>
    <w:rsid w:val="00DE2163"/>
    <w:rsid w:val="00DE2210"/>
    <w:rsid w:val="00DE2285"/>
    <w:rsid w:val="00DE23A3"/>
    <w:rsid w:val="00DE23A4"/>
    <w:rsid w:val="00DE24ED"/>
    <w:rsid w:val="00DE268F"/>
    <w:rsid w:val="00DE2696"/>
    <w:rsid w:val="00DE270D"/>
    <w:rsid w:val="00DE27FA"/>
    <w:rsid w:val="00DE2910"/>
    <w:rsid w:val="00DE293E"/>
    <w:rsid w:val="00DE29BB"/>
    <w:rsid w:val="00DE2A3B"/>
    <w:rsid w:val="00DE2A44"/>
    <w:rsid w:val="00DE2B2C"/>
    <w:rsid w:val="00DE2B47"/>
    <w:rsid w:val="00DE2BB6"/>
    <w:rsid w:val="00DE2BE5"/>
    <w:rsid w:val="00DE2D58"/>
    <w:rsid w:val="00DE2E37"/>
    <w:rsid w:val="00DE2E49"/>
    <w:rsid w:val="00DE2EA9"/>
    <w:rsid w:val="00DE2F4B"/>
    <w:rsid w:val="00DE2F80"/>
    <w:rsid w:val="00DE30AB"/>
    <w:rsid w:val="00DE30D6"/>
    <w:rsid w:val="00DE3342"/>
    <w:rsid w:val="00DE33F4"/>
    <w:rsid w:val="00DE3710"/>
    <w:rsid w:val="00DE3726"/>
    <w:rsid w:val="00DE3756"/>
    <w:rsid w:val="00DE3794"/>
    <w:rsid w:val="00DE379C"/>
    <w:rsid w:val="00DE38C2"/>
    <w:rsid w:val="00DE39A1"/>
    <w:rsid w:val="00DE3B09"/>
    <w:rsid w:val="00DE3B38"/>
    <w:rsid w:val="00DE3B4D"/>
    <w:rsid w:val="00DE3B96"/>
    <w:rsid w:val="00DE3BB5"/>
    <w:rsid w:val="00DE3CA6"/>
    <w:rsid w:val="00DE3D88"/>
    <w:rsid w:val="00DE3F33"/>
    <w:rsid w:val="00DE3F66"/>
    <w:rsid w:val="00DE3F6B"/>
    <w:rsid w:val="00DE41C6"/>
    <w:rsid w:val="00DE4431"/>
    <w:rsid w:val="00DE444B"/>
    <w:rsid w:val="00DE456A"/>
    <w:rsid w:val="00DE4589"/>
    <w:rsid w:val="00DE464B"/>
    <w:rsid w:val="00DE465C"/>
    <w:rsid w:val="00DE475A"/>
    <w:rsid w:val="00DE47EF"/>
    <w:rsid w:val="00DE47FC"/>
    <w:rsid w:val="00DE4975"/>
    <w:rsid w:val="00DE4997"/>
    <w:rsid w:val="00DE49EB"/>
    <w:rsid w:val="00DE4B27"/>
    <w:rsid w:val="00DE4BDA"/>
    <w:rsid w:val="00DE4D71"/>
    <w:rsid w:val="00DE4ED0"/>
    <w:rsid w:val="00DE4ED7"/>
    <w:rsid w:val="00DE4EEF"/>
    <w:rsid w:val="00DE4FE8"/>
    <w:rsid w:val="00DE5078"/>
    <w:rsid w:val="00DE5094"/>
    <w:rsid w:val="00DE5175"/>
    <w:rsid w:val="00DE5198"/>
    <w:rsid w:val="00DE51CD"/>
    <w:rsid w:val="00DE5303"/>
    <w:rsid w:val="00DE5340"/>
    <w:rsid w:val="00DE55A1"/>
    <w:rsid w:val="00DE55A3"/>
    <w:rsid w:val="00DE55DC"/>
    <w:rsid w:val="00DE56A8"/>
    <w:rsid w:val="00DE5779"/>
    <w:rsid w:val="00DE5822"/>
    <w:rsid w:val="00DE5898"/>
    <w:rsid w:val="00DE59E4"/>
    <w:rsid w:val="00DE5A82"/>
    <w:rsid w:val="00DE5A93"/>
    <w:rsid w:val="00DE5BCC"/>
    <w:rsid w:val="00DE5C83"/>
    <w:rsid w:val="00DE5CC8"/>
    <w:rsid w:val="00DE5DF0"/>
    <w:rsid w:val="00DE5F59"/>
    <w:rsid w:val="00DE5FB1"/>
    <w:rsid w:val="00DE5FBE"/>
    <w:rsid w:val="00DE6012"/>
    <w:rsid w:val="00DE6032"/>
    <w:rsid w:val="00DE6155"/>
    <w:rsid w:val="00DE644B"/>
    <w:rsid w:val="00DE6456"/>
    <w:rsid w:val="00DE6513"/>
    <w:rsid w:val="00DE6734"/>
    <w:rsid w:val="00DE677B"/>
    <w:rsid w:val="00DE6829"/>
    <w:rsid w:val="00DE68BB"/>
    <w:rsid w:val="00DE68E9"/>
    <w:rsid w:val="00DE69BB"/>
    <w:rsid w:val="00DE6A21"/>
    <w:rsid w:val="00DE6B30"/>
    <w:rsid w:val="00DE6B9F"/>
    <w:rsid w:val="00DE6C8B"/>
    <w:rsid w:val="00DE6D6A"/>
    <w:rsid w:val="00DE6DDF"/>
    <w:rsid w:val="00DE6F49"/>
    <w:rsid w:val="00DE713E"/>
    <w:rsid w:val="00DE7208"/>
    <w:rsid w:val="00DE73DC"/>
    <w:rsid w:val="00DE7449"/>
    <w:rsid w:val="00DE744C"/>
    <w:rsid w:val="00DE76F3"/>
    <w:rsid w:val="00DE7857"/>
    <w:rsid w:val="00DE78B2"/>
    <w:rsid w:val="00DE78CA"/>
    <w:rsid w:val="00DE7927"/>
    <w:rsid w:val="00DE7A65"/>
    <w:rsid w:val="00DE7AC8"/>
    <w:rsid w:val="00DE7B5F"/>
    <w:rsid w:val="00DE7C37"/>
    <w:rsid w:val="00DE7C75"/>
    <w:rsid w:val="00DE7D9D"/>
    <w:rsid w:val="00DE7DF9"/>
    <w:rsid w:val="00DE7E56"/>
    <w:rsid w:val="00DE7E6F"/>
    <w:rsid w:val="00DE7E86"/>
    <w:rsid w:val="00DF0027"/>
    <w:rsid w:val="00DF003C"/>
    <w:rsid w:val="00DF016D"/>
    <w:rsid w:val="00DF01B6"/>
    <w:rsid w:val="00DF01EF"/>
    <w:rsid w:val="00DF0329"/>
    <w:rsid w:val="00DF058D"/>
    <w:rsid w:val="00DF05C4"/>
    <w:rsid w:val="00DF0663"/>
    <w:rsid w:val="00DF06BB"/>
    <w:rsid w:val="00DF073D"/>
    <w:rsid w:val="00DF086C"/>
    <w:rsid w:val="00DF089F"/>
    <w:rsid w:val="00DF0A6B"/>
    <w:rsid w:val="00DF0A6C"/>
    <w:rsid w:val="00DF0AE7"/>
    <w:rsid w:val="00DF0B25"/>
    <w:rsid w:val="00DF0B6B"/>
    <w:rsid w:val="00DF1109"/>
    <w:rsid w:val="00DF125E"/>
    <w:rsid w:val="00DF1300"/>
    <w:rsid w:val="00DF1304"/>
    <w:rsid w:val="00DF13AB"/>
    <w:rsid w:val="00DF13BA"/>
    <w:rsid w:val="00DF1439"/>
    <w:rsid w:val="00DF1514"/>
    <w:rsid w:val="00DF1837"/>
    <w:rsid w:val="00DF18BD"/>
    <w:rsid w:val="00DF18D9"/>
    <w:rsid w:val="00DF191F"/>
    <w:rsid w:val="00DF19BA"/>
    <w:rsid w:val="00DF1A2C"/>
    <w:rsid w:val="00DF1AE1"/>
    <w:rsid w:val="00DF1AE4"/>
    <w:rsid w:val="00DF1B68"/>
    <w:rsid w:val="00DF1C90"/>
    <w:rsid w:val="00DF20DF"/>
    <w:rsid w:val="00DF214F"/>
    <w:rsid w:val="00DF2286"/>
    <w:rsid w:val="00DF232E"/>
    <w:rsid w:val="00DF236F"/>
    <w:rsid w:val="00DF23A6"/>
    <w:rsid w:val="00DF2578"/>
    <w:rsid w:val="00DF2667"/>
    <w:rsid w:val="00DF266E"/>
    <w:rsid w:val="00DF2699"/>
    <w:rsid w:val="00DF273A"/>
    <w:rsid w:val="00DF2775"/>
    <w:rsid w:val="00DF27B0"/>
    <w:rsid w:val="00DF2807"/>
    <w:rsid w:val="00DF280A"/>
    <w:rsid w:val="00DF2932"/>
    <w:rsid w:val="00DF2983"/>
    <w:rsid w:val="00DF2AE4"/>
    <w:rsid w:val="00DF2B6A"/>
    <w:rsid w:val="00DF2BF6"/>
    <w:rsid w:val="00DF2C06"/>
    <w:rsid w:val="00DF2C1C"/>
    <w:rsid w:val="00DF2CBF"/>
    <w:rsid w:val="00DF2CFC"/>
    <w:rsid w:val="00DF2D99"/>
    <w:rsid w:val="00DF2E77"/>
    <w:rsid w:val="00DF2EE3"/>
    <w:rsid w:val="00DF2F7A"/>
    <w:rsid w:val="00DF2FD9"/>
    <w:rsid w:val="00DF31AF"/>
    <w:rsid w:val="00DF31E7"/>
    <w:rsid w:val="00DF32A7"/>
    <w:rsid w:val="00DF32E3"/>
    <w:rsid w:val="00DF3430"/>
    <w:rsid w:val="00DF34CB"/>
    <w:rsid w:val="00DF3531"/>
    <w:rsid w:val="00DF357A"/>
    <w:rsid w:val="00DF3634"/>
    <w:rsid w:val="00DF36CF"/>
    <w:rsid w:val="00DF37B2"/>
    <w:rsid w:val="00DF37D9"/>
    <w:rsid w:val="00DF383C"/>
    <w:rsid w:val="00DF3B68"/>
    <w:rsid w:val="00DF3D31"/>
    <w:rsid w:val="00DF3D33"/>
    <w:rsid w:val="00DF3D4F"/>
    <w:rsid w:val="00DF3DCB"/>
    <w:rsid w:val="00DF3E70"/>
    <w:rsid w:val="00DF3EA5"/>
    <w:rsid w:val="00DF3EAF"/>
    <w:rsid w:val="00DF3F25"/>
    <w:rsid w:val="00DF413F"/>
    <w:rsid w:val="00DF41B8"/>
    <w:rsid w:val="00DF41C7"/>
    <w:rsid w:val="00DF446B"/>
    <w:rsid w:val="00DF44BB"/>
    <w:rsid w:val="00DF45D4"/>
    <w:rsid w:val="00DF45DC"/>
    <w:rsid w:val="00DF4638"/>
    <w:rsid w:val="00DF4694"/>
    <w:rsid w:val="00DF4800"/>
    <w:rsid w:val="00DF4858"/>
    <w:rsid w:val="00DF4879"/>
    <w:rsid w:val="00DF48D5"/>
    <w:rsid w:val="00DF48DA"/>
    <w:rsid w:val="00DF4913"/>
    <w:rsid w:val="00DF4ADB"/>
    <w:rsid w:val="00DF4B7C"/>
    <w:rsid w:val="00DF4D60"/>
    <w:rsid w:val="00DF4EA6"/>
    <w:rsid w:val="00DF4F4E"/>
    <w:rsid w:val="00DF4F5B"/>
    <w:rsid w:val="00DF539F"/>
    <w:rsid w:val="00DF53D4"/>
    <w:rsid w:val="00DF540A"/>
    <w:rsid w:val="00DF54DA"/>
    <w:rsid w:val="00DF5641"/>
    <w:rsid w:val="00DF570D"/>
    <w:rsid w:val="00DF575B"/>
    <w:rsid w:val="00DF5891"/>
    <w:rsid w:val="00DF58D1"/>
    <w:rsid w:val="00DF597B"/>
    <w:rsid w:val="00DF59C8"/>
    <w:rsid w:val="00DF59DE"/>
    <w:rsid w:val="00DF5A21"/>
    <w:rsid w:val="00DF5ACA"/>
    <w:rsid w:val="00DF5C35"/>
    <w:rsid w:val="00DF5C54"/>
    <w:rsid w:val="00DF5D21"/>
    <w:rsid w:val="00DF5EC2"/>
    <w:rsid w:val="00DF5F19"/>
    <w:rsid w:val="00DF6046"/>
    <w:rsid w:val="00DF61DE"/>
    <w:rsid w:val="00DF6206"/>
    <w:rsid w:val="00DF62A0"/>
    <w:rsid w:val="00DF62A3"/>
    <w:rsid w:val="00DF62F3"/>
    <w:rsid w:val="00DF640B"/>
    <w:rsid w:val="00DF6429"/>
    <w:rsid w:val="00DF6440"/>
    <w:rsid w:val="00DF649C"/>
    <w:rsid w:val="00DF6529"/>
    <w:rsid w:val="00DF66F4"/>
    <w:rsid w:val="00DF67F8"/>
    <w:rsid w:val="00DF6922"/>
    <w:rsid w:val="00DF6923"/>
    <w:rsid w:val="00DF693C"/>
    <w:rsid w:val="00DF698A"/>
    <w:rsid w:val="00DF698F"/>
    <w:rsid w:val="00DF6A21"/>
    <w:rsid w:val="00DF6A86"/>
    <w:rsid w:val="00DF6B03"/>
    <w:rsid w:val="00DF6B48"/>
    <w:rsid w:val="00DF6B87"/>
    <w:rsid w:val="00DF6BAD"/>
    <w:rsid w:val="00DF6CC6"/>
    <w:rsid w:val="00DF6F3A"/>
    <w:rsid w:val="00DF6F66"/>
    <w:rsid w:val="00DF702B"/>
    <w:rsid w:val="00DF7196"/>
    <w:rsid w:val="00DF720B"/>
    <w:rsid w:val="00DF729E"/>
    <w:rsid w:val="00DF731D"/>
    <w:rsid w:val="00DF7382"/>
    <w:rsid w:val="00DF7417"/>
    <w:rsid w:val="00DF7578"/>
    <w:rsid w:val="00DF76DF"/>
    <w:rsid w:val="00DF7838"/>
    <w:rsid w:val="00DF788D"/>
    <w:rsid w:val="00DF78DB"/>
    <w:rsid w:val="00DF7913"/>
    <w:rsid w:val="00DF7ACE"/>
    <w:rsid w:val="00DF7B88"/>
    <w:rsid w:val="00DF7C18"/>
    <w:rsid w:val="00DF7C1A"/>
    <w:rsid w:val="00DF7C67"/>
    <w:rsid w:val="00DF7D21"/>
    <w:rsid w:val="00DF7D2C"/>
    <w:rsid w:val="00DF7EB5"/>
    <w:rsid w:val="00DF7ED0"/>
    <w:rsid w:val="00DF7ED5"/>
    <w:rsid w:val="00DF7F2D"/>
    <w:rsid w:val="00E000CF"/>
    <w:rsid w:val="00E00166"/>
    <w:rsid w:val="00E001A9"/>
    <w:rsid w:val="00E001D7"/>
    <w:rsid w:val="00E001DB"/>
    <w:rsid w:val="00E0026D"/>
    <w:rsid w:val="00E00308"/>
    <w:rsid w:val="00E00634"/>
    <w:rsid w:val="00E00773"/>
    <w:rsid w:val="00E007B4"/>
    <w:rsid w:val="00E007CC"/>
    <w:rsid w:val="00E008A8"/>
    <w:rsid w:val="00E008E9"/>
    <w:rsid w:val="00E0098A"/>
    <w:rsid w:val="00E009A1"/>
    <w:rsid w:val="00E009F7"/>
    <w:rsid w:val="00E00AD7"/>
    <w:rsid w:val="00E00B5A"/>
    <w:rsid w:val="00E00B74"/>
    <w:rsid w:val="00E00BE0"/>
    <w:rsid w:val="00E00C8C"/>
    <w:rsid w:val="00E00D27"/>
    <w:rsid w:val="00E00D2F"/>
    <w:rsid w:val="00E00E16"/>
    <w:rsid w:val="00E00E17"/>
    <w:rsid w:val="00E00E5D"/>
    <w:rsid w:val="00E00FCD"/>
    <w:rsid w:val="00E00FDB"/>
    <w:rsid w:val="00E011D1"/>
    <w:rsid w:val="00E0123F"/>
    <w:rsid w:val="00E01369"/>
    <w:rsid w:val="00E013F6"/>
    <w:rsid w:val="00E0146C"/>
    <w:rsid w:val="00E01586"/>
    <w:rsid w:val="00E016FE"/>
    <w:rsid w:val="00E01742"/>
    <w:rsid w:val="00E0192D"/>
    <w:rsid w:val="00E01A0B"/>
    <w:rsid w:val="00E01A71"/>
    <w:rsid w:val="00E01C05"/>
    <w:rsid w:val="00E01C7A"/>
    <w:rsid w:val="00E01CDF"/>
    <w:rsid w:val="00E01E1D"/>
    <w:rsid w:val="00E01F57"/>
    <w:rsid w:val="00E01FEE"/>
    <w:rsid w:val="00E02056"/>
    <w:rsid w:val="00E0206A"/>
    <w:rsid w:val="00E0206E"/>
    <w:rsid w:val="00E020AC"/>
    <w:rsid w:val="00E023BB"/>
    <w:rsid w:val="00E023FC"/>
    <w:rsid w:val="00E024D1"/>
    <w:rsid w:val="00E02575"/>
    <w:rsid w:val="00E025EB"/>
    <w:rsid w:val="00E02637"/>
    <w:rsid w:val="00E02845"/>
    <w:rsid w:val="00E02871"/>
    <w:rsid w:val="00E02893"/>
    <w:rsid w:val="00E02935"/>
    <w:rsid w:val="00E02B06"/>
    <w:rsid w:val="00E02C04"/>
    <w:rsid w:val="00E02C4B"/>
    <w:rsid w:val="00E02E33"/>
    <w:rsid w:val="00E02E5C"/>
    <w:rsid w:val="00E02E64"/>
    <w:rsid w:val="00E02F06"/>
    <w:rsid w:val="00E02FA0"/>
    <w:rsid w:val="00E03128"/>
    <w:rsid w:val="00E03170"/>
    <w:rsid w:val="00E031CD"/>
    <w:rsid w:val="00E0328A"/>
    <w:rsid w:val="00E0342A"/>
    <w:rsid w:val="00E03449"/>
    <w:rsid w:val="00E034D5"/>
    <w:rsid w:val="00E035FE"/>
    <w:rsid w:val="00E0363E"/>
    <w:rsid w:val="00E03670"/>
    <w:rsid w:val="00E036C5"/>
    <w:rsid w:val="00E0370F"/>
    <w:rsid w:val="00E03782"/>
    <w:rsid w:val="00E037A8"/>
    <w:rsid w:val="00E037DE"/>
    <w:rsid w:val="00E03952"/>
    <w:rsid w:val="00E0396A"/>
    <w:rsid w:val="00E03A4A"/>
    <w:rsid w:val="00E03AAE"/>
    <w:rsid w:val="00E03ABA"/>
    <w:rsid w:val="00E03B00"/>
    <w:rsid w:val="00E03B2D"/>
    <w:rsid w:val="00E03B5D"/>
    <w:rsid w:val="00E03C00"/>
    <w:rsid w:val="00E03C34"/>
    <w:rsid w:val="00E03CF3"/>
    <w:rsid w:val="00E03D11"/>
    <w:rsid w:val="00E03E0D"/>
    <w:rsid w:val="00E03E1E"/>
    <w:rsid w:val="00E03E32"/>
    <w:rsid w:val="00E03F0A"/>
    <w:rsid w:val="00E03F65"/>
    <w:rsid w:val="00E03F76"/>
    <w:rsid w:val="00E03F85"/>
    <w:rsid w:val="00E03FAC"/>
    <w:rsid w:val="00E04070"/>
    <w:rsid w:val="00E04081"/>
    <w:rsid w:val="00E04143"/>
    <w:rsid w:val="00E0434A"/>
    <w:rsid w:val="00E04433"/>
    <w:rsid w:val="00E0443D"/>
    <w:rsid w:val="00E044AB"/>
    <w:rsid w:val="00E044B9"/>
    <w:rsid w:val="00E0458D"/>
    <w:rsid w:val="00E045BC"/>
    <w:rsid w:val="00E0463E"/>
    <w:rsid w:val="00E046B9"/>
    <w:rsid w:val="00E0470D"/>
    <w:rsid w:val="00E04909"/>
    <w:rsid w:val="00E0490E"/>
    <w:rsid w:val="00E04929"/>
    <w:rsid w:val="00E0496D"/>
    <w:rsid w:val="00E0497B"/>
    <w:rsid w:val="00E04A4D"/>
    <w:rsid w:val="00E04B37"/>
    <w:rsid w:val="00E04B4F"/>
    <w:rsid w:val="00E04CCE"/>
    <w:rsid w:val="00E04E35"/>
    <w:rsid w:val="00E04FBD"/>
    <w:rsid w:val="00E05105"/>
    <w:rsid w:val="00E0515A"/>
    <w:rsid w:val="00E051A2"/>
    <w:rsid w:val="00E052A2"/>
    <w:rsid w:val="00E05372"/>
    <w:rsid w:val="00E0539E"/>
    <w:rsid w:val="00E053E7"/>
    <w:rsid w:val="00E054FA"/>
    <w:rsid w:val="00E05534"/>
    <w:rsid w:val="00E05538"/>
    <w:rsid w:val="00E0554B"/>
    <w:rsid w:val="00E057F4"/>
    <w:rsid w:val="00E05969"/>
    <w:rsid w:val="00E059FE"/>
    <w:rsid w:val="00E05A76"/>
    <w:rsid w:val="00E05BE3"/>
    <w:rsid w:val="00E05C08"/>
    <w:rsid w:val="00E05C97"/>
    <w:rsid w:val="00E05E25"/>
    <w:rsid w:val="00E05EDA"/>
    <w:rsid w:val="00E05F18"/>
    <w:rsid w:val="00E06021"/>
    <w:rsid w:val="00E0603F"/>
    <w:rsid w:val="00E06054"/>
    <w:rsid w:val="00E060BA"/>
    <w:rsid w:val="00E061AF"/>
    <w:rsid w:val="00E06291"/>
    <w:rsid w:val="00E062FD"/>
    <w:rsid w:val="00E06322"/>
    <w:rsid w:val="00E06335"/>
    <w:rsid w:val="00E06425"/>
    <w:rsid w:val="00E064D1"/>
    <w:rsid w:val="00E065BA"/>
    <w:rsid w:val="00E0667D"/>
    <w:rsid w:val="00E0680E"/>
    <w:rsid w:val="00E06873"/>
    <w:rsid w:val="00E068CF"/>
    <w:rsid w:val="00E069DA"/>
    <w:rsid w:val="00E069DC"/>
    <w:rsid w:val="00E06A0D"/>
    <w:rsid w:val="00E06AFF"/>
    <w:rsid w:val="00E06B7F"/>
    <w:rsid w:val="00E06BE6"/>
    <w:rsid w:val="00E06C3F"/>
    <w:rsid w:val="00E06C66"/>
    <w:rsid w:val="00E06C98"/>
    <w:rsid w:val="00E06CC5"/>
    <w:rsid w:val="00E06D41"/>
    <w:rsid w:val="00E06EB4"/>
    <w:rsid w:val="00E06EE9"/>
    <w:rsid w:val="00E06F18"/>
    <w:rsid w:val="00E06F2A"/>
    <w:rsid w:val="00E06FEF"/>
    <w:rsid w:val="00E07120"/>
    <w:rsid w:val="00E07158"/>
    <w:rsid w:val="00E071B2"/>
    <w:rsid w:val="00E071D1"/>
    <w:rsid w:val="00E07253"/>
    <w:rsid w:val="00E07256"/>
    <w:rsid w:val="00E072CB"/>
    <w:rsid w:val="00E073E2"/>
    <w:rsid w:val="00E073F4"/>
    <w:rsid w:val="00E0747B"/>
    <w:rsid w:val="00E07519"/>
    <w:rsid w:val="00E075B4"/>
    <w:rsid w:val="00E0771E"/>
    <w:rsid w:val="00E077E0"/>
    <w:rsid w:val="00E0782A"/>
    <w:rsid w:val="00E079D3"/>
    <w:rsid w:val="00E07A78"/>
    <w:rsid w:val="00E07A8E"/>
    <w:rsid w:val="00E07AF7"/>
    <w:rsid w:val="00E07AFD"/>
    <w:rsid w:val="00E07B66"/>
    <w:rsid w:val="00E07B78"/>
    <w:rsid w:val="00E07BB6"/>
    <w:rsid w:val="00E07BD1"/>
    <w:rsid w:val="00E07C3A"/>
    <w:rsid w:val="00E07DFA"/>
    <w:rsid w:val="00E07E0F"/>
    <w:rsid w:val="00E10044"/>
    <w:rsid w:val="00E101B6"/>
    <w:rsid w:val="00E1026B"/>
    <w:rsid w:val="00E10571"/>
    <w:rsid w:val="00E1080D"/>
    <w:rsid w:val="00E10832"/>
    <w:rsid w:val="00E109C6"/>
    <w:rsid w:val="00E10A51"/>
    <w:rsid w:val="00E10ACF"/>
    <w:rsid w:val="00E10B2C"/>
    <w:rsid w:val="00E10B6C"/>
    <w:rsid w:val="00E10C0E"/>
    <w:rsid w:val="00E10C19"/>
    <w:rsid w:val="00E10C8A"/>
    <w:rsid w:val="00E10CA1"/>
    <w:rsid w:val="00E10D98"/>
    <w:rsid w:val="00E10EB7"/>
    <w:rsid w:val="00E10EF0"/>
    <w:rsid w:val="00E10FB9"/>
    <w:rsid w:val="00E1103B"/>
    <w:rsid w:val="00E113DB"/>
    <w:rsid w:val="00E114FC"/>
    <w:rsid w:val="00E11516"/>
    <w:rsid w:val="00E115FE"/>
    <w:rsid w:val="00E11720"/>
    <w:rsid w:val="00E11849"/>
    <w:rsid w:val="00E11933"/>
    <w:rsid w:val="00E1198C"/>
    <w:rsid w:val="00E11C77"/>
    <w:rsid w:val="00E11CF3"/>
    <w:rsid w:val="00E11D92"/>
    <w:rsid w:val="00E121AF"/>
    <w:rsid w:val="00E12262"/>
    <w:rsid w:val="00E122E0"/>
    <w:rsid w:val="00E1236F"/>
    <w:rsid w:val="00E12381"/>
    <w:rsid w:val="00E123DC"/>
    <w:rsid w:val="00E1245F"/>
    <w:rsid w:val="00E127B4"/>
    <w:rsid w:val="00E1281A"/>
    <w:rsid w:val="00E128C0"/>
    <w:rsid w:val="00E12900"/>
    <w:rsid w:val="00E1292B"/>
    <w:rsid w:val="00E12A47"/>
    <w:rsid w:val="00E12A91"/>
    <w:rsid w:val="00E12B09"/>
    <w:rsid w:val="00E12B22"/>
    <w:rsid w:val="00E12BF5"/>
    <w:rsid w:val="00E12D1D"/>
    <w:rsid w:val="00E12D52"/>
    <w:rsid w:val="00E12E4B"/>
    <w:rsid w:val="00E12F1E"/>
    <w:rsid w:val="00E130A1"/>
    <w:rsid w:val="00E130C5"/>
    <w:rsid w:val="00E13141"/>
    <w:rsid w:val="00E13143"/>
    <w:rsid w:val="00E131DA"/>
    <w:rsid w:val="00E134B6"/>
    <w:rsid w:val="00E134E8"/>
    <w:rsid w:val="00E134EA"/>
    <w:rsid w:val="00E1359D"/>
    <w:rsid w:val="00E1361D"/>
    <w:rsid w:val="00E13629"/>
    <w:rsid w:val="00E13670"/>
    <w:rsid w:val="00E1376D"/>
    <w:rsid w:val="00E1383D"/>
    <w:rsid w:val="00E138B6"/>
    <w:rsid w:val="00E13912"/>
    <w:rsid w:val="00E13A34"/>
    <w:rsid w:val="00E13AFA"/>
    <w:rsid w:val="00E13AFD"/>
    <w:rsid w:val="00E13B4B"/>
    <w:rsid w:val="00E13B55"/>
    <w:rsid w:val="00E13B58"/>
    <w:rsid w:val="00E13BEF"/>
    <w:rsid w:val="00E13C4A"/>
    <w:rsid w:val="00E13C9A"/>
    <w:rsid w:val="00E13D88"/>
    <w:rsid w:val="00E13D9B"/>
    <w:rsid w:val="00E13EDF"/>
    <w:rsid w:val="00E14265"/>
    <w:rsid w:val="00E14276"/>
    <w:rsid w:val="00E142B8"/>
    <w:rsid w:val="00E14303"/>
    <w:rsid w:val="00E14310"/>
    <w:rsid w:val="00E14646"/>
    <w:rsid w:val="00E14683"/>
    <w:rsid w:val="00E146D5"/>
    <w:rsid w:val="00E14714"/>
    <w:rsid w:val="00E1471A"/>
    <w:rsid w:val="00E1472B"/>
    <w:rsid w:val="00E147F0"/>
    <w:rsid w:val="00E14907"/>
    <w:rsid w:val="00E149D6"/>
    <w:rsid w:val="00E14AEB"/>
    <w:rsid w:val="00E14BAC"/>
    <w:rsid w:val="00E14BEA"/>
    <w:rsid w:val="00E14C01"/>
    <w:rsid w:val="00E14D72"/>
    <w:rsid w:val="00E14E08"/>
    <w:rsid w:val="00E14EA7"/>
    <w:rsid w:val="00E14FA0"/>
    <w:rsid w:val="00E15186"/>
    <w:rsid w:val="00E151FF"/>
    <w:rsid w:val="00E152FB"/>
    <w:rsid w:val="00E154D3"/>
    <w:rsid w:val="00E15699"/>
    <w:rsid w:val="00E15763"/>
    <w:rsid w:val="00E157B7"/>
    <w:rsid w:val="00E15994"/>
    <w:rsid w:val="00E15A8E"/>
    <w:rsid w:val="00E15ACE"/>
    <w:rsid w:val="00E15BCB"/>
    <w:rsid w:val="00E15D19"/>
    <w:rsid w:val="00E15EC5"/>
    <w:rsid w:val="00E15FD3"/>
    <w:rsid w:val="00E15FE5"/>
    <w:rsid w:val="00E16075"/>
    <w:rsid w:val="00E1620B"/>
    <w:rsid w:val="00E16221"/>
    <w:rsid w:val="00E162D4"/>
    <w:rsid w:val="00E16462"/>
    <w:rsid w:val="00E164A4"/>
    <w:rsid w:val="00E1662B"/>
    <w:rsid w:val="00E167CB"/>
    <w:rsid w:val="00E16821"/>
    <w:rsid w:val="00E1691A"/>
    <w:rsid w:val="00E16A2A"/>
    <w:rsid w:val="00E16A68"/>
    <w:rsid w:val="00E16AAA"/>
    <w:rsid w:val="00E16B6A"/>
    <w:rsid w:val="00E16C66"/>
    <w:rsid w:val="00E16D3B"/>
    <w:rsid w:val="00E16D73"/>
    <w:rsid w:val="00E16EBD"/>
    <w:rsid w:val="00E16EEA"/>
    <w:rsid w:val="00E16F0D"/>
    <w:rsid w:val="00E1706F"/>
    <w:rsid w:val="00E17087"/>
    <w:rsid w:val="00E170AE"/>
    <w:rsid w:val="00E17104"/>
    <w:rsid w:val="00E1722E"/>
    <w:rsid w:val="00E1736E"/>
    <w:rsid w:val="00E17393"/>
    <w:rsid w:val="00E174A1"/>
    <w:rsid w:val="00E1751C"/>
    <w:rsid w:val="00E1755F"/>
    <w:rsid w:val="00E17647"/>
    <w:rsid w:val="00E17799"/>
    <w:rsid w:val="00E177BE"/>
    <w:rsid w:val="00E1794C"/>
    <w:rsid w:val="00E17992"/>
    <w:rsid w:val="00E17A9A"/>
    <w:rsid w:val="00E17AA2"/>
    <w:rsid w:val="00E17BE2"/>
    <w:rsid w:val="00E17C7A"/>
    <w:rsid w:val="00E17CCB"/>
    <w:rsid w:val="00E17CE7"/>
    <w:rsid w:val="00E17D45"/>
    <w:rsid w:val="00E17DA5"/>
    <w:rsid w:val="00E17E5D"/>
    <w:rsid w:val="00E17E86"/>
    <w:rsid w:val="00E17F29"/>
    <w:rsid w:val="00E2001A"/>
    <w:rsid w:val="00E200C2"/>
    <w:rsid w:val="00E20139"/>
    <w:rsid w:val="00E202B2"/>
    <w:rsid w:val="00E202D6"/>
    <w:rsid w:val="00E2039F"/>
    <w:rsid w:val="00E203FB"/>
    <w:rsid w:val="00E204F9"/>
    <w:rsid w:val="00E20513"/>
    <w:rsid w:val="00E20579"/>
    <w:rsid w:val="00E20728"/>
    <w:rsid w:val="00E2077F"/>
    <w:rsid w:val="00E2095B"/>
    <w:rsid w:val="00E209BF"/>
    <w:rsid w:val="00E20A69"/>
    <w:rsid w:val="00E20AB0"/>
    <w:rsid w:val="00E20B1C"/>
    <w:rsid w:val="00E20C41"/>
    <w:rsid w:val="00E20E45"/>
    <w:rsid w:val="00E20FB8"/>
    <w:rsid w:val="00E21082"/>
    <w:rsid w:val="00E210F0"/>
    <w:rsid w:val="00E21142"/>
    <w:rsid w:val="00E21230"/>
    <w:rsid w:val="00E2137D"/>
    <w:rsid w:val="00E213C7"/>
    <w:rsid w:val="00E2145A"/>
    <w:rsid w:val="00E214CD"/>
    <w:rsid w:val="00E21548"/>
    <w:rsid w:val="00E21637"/>
    <w:rsid w:val="00E21761"/>
    <w:rsid w:val="00E21829"/>
    <w:rsid w:val="00E2185C"/>
    <w:rsid w:val="00E21901"/>
    <w:rsid w:val="00E21938"/>
    <w:rsid w:val="00E219CA"/>
    <w:rsid w:val="00E21AF2"/>
    <w:rsid w:val="00E21B99"/>
    <w:rsid w:val="00E21C7E"/>
    <w:rsid w:val="00E21CBE"/>
    <w:rsid w:val="00E21DE0"/>
    <w:rsid w:val="00E21E55"/>
    <w:rsid w:val="00E21E98"/>
    <w:rsid w:val="00E220B8"/>
    <w:rsid w:val="00E222F3"/>
    <w:rsid w:val="00E2231F"/>
    <w:rsid w:val="00E22341"/>
    <w:rsid w:val="00E2235E"/>
    <w:rsid w:val="00E223E1"/>
    <w:rsid w:val="00E22501"/>
    <w:rsid w:val="00E226B8"/>
    <w:rsid w:val="00E2279E"/>
    <w:rsid w:val="00E227DF"/>
    <w:rsid w:val="00E22872"/>
    <w:rsid w:val="00E22A30"/>
    <w:rsid w:val="00E22AF5"/>
    <w:rsid w:val="00E22B20"/>
    <w:rsid w:val="00E22BEB"/>
    <w:rsid w:val="00E22F74"/>
    <w:rsid w:val="00E22FE5"/>
    <w:rsid w:val="00E2303D"/>
    <w:rsid w:val="00E230AC"/>
    <w:rsid w:val="00E230CA"/>
    <w:rsid w:val="00E2327A"/>
    <w:rsid w:val="00E23343"/>
    <w:rsid w:val="00E23382"/>
    <w:rsid w:val="00E233DE"/>
    <w:rsid w:val="00E234EA"/>
    <w:rsid w:val="00E234F8"/>
    <w:rsid w:val="00E2358F"/>
    <w:rsid w:val="00E235E7"/>
    <w:rsid w:val="00E236B2"/>
    <w:rsid w:val="00E23824"/>
    <w:rsid w:val="00E238E5"/>
    <w:rsid w:val="00E23B54"/>
    <w:rsid w:val="00E23B74"/>
    <w:rsid w:val="00E23C76"/>
    <w:rsid w:val="00E23C8A"/>
    <w:rsid w:val="00E23CEF"/>
    <w:rsid w:val="00E23D09"/>
    <w:rsid w:val="00E23E5D"/>
    <w:rsid w:val="00E23E88"/>
    <w:rsid w:val="00E23EEB"/>
    <w:rsid w:val="00E23F45"/>
    <w:rsid w:val="00E241BD"/>
    <w:rsid w:val="00E241D1"/>
    <w:rsid w:val="00E242E9"/>
    <w:rsid w:val="00E24453"/>
    <w:rsid w:val="00E2456D"/>
    <w:rsid w:val="00E24582"/>
    <w:rsid w:val="00E246D1"/>
    <w:rsid w:val="00E24848"/>
    <w:rsid w:val="00E24AD8"/>
    <w:rsid w:val="00E24D42"/>
    <w:rsid w:val="00E24D69"/>
    <w:rsid w:val="00E24FDA"/>
    <w:rsid w:val="00E25023"/>
    <w:rsid w:val="00E25088"/>
    <w:rsid w:val="00E2511C"/>
    <w:rsid w:val="00E25135"/>
    <w:rsid w:val="00E2528C"/>
    <w:rsid w:val="00E25378"/>
    <w:rsid w:val="00E25403"/>
    <w:rsid w:val="00E255A2"/>
    <w:rsid w:val="00E256E5"/>
    <w:rsid w:val="00E25759"/>
    <w:rsid w:val="00E25969"/>
    <w:rsid w:val="00E25A33"/>
    <w:rsid w:val="00E25BDB"/>
    <w:rsid w:val="00E25C1B"/>
    <w:rsid w:val="00E25D40"/>
    <w:rsid w:val="00E25D65"/>
    <w:rsid w:val="00E25ECE"/>
    <w:rsid w:val="00E25F05"/>
    <w:rsid w:val="00E260E0"/>
    <w:rsid w:val="00E26158"/>
    <w:rsid w:val="00E262D7"/>
    <w:rsid w:val="00E2638A"/>
    <w:rsid w:val="00E264D2"/>
    <w:rsid w:val="00E264DA"/>
    <w:rsid w:val="00E26522"/>
    <w:rsid w:val="00E265AA"/>
    <w:rsid w:val="00E26629"/>
    <w:rsid w:val="00E266C2"/>
    <w:rsid w:val="00E266E8"/>
    <w:rsid w:val="00E266F7"/>
    <w:rsid w:val="00E26722"/>
    <w:rsid w:val="00E268F3"/>
    <w:rsid w:val="00E26909"/>
    <w:rsid w:val="00E269E9"/>
    <w:rsid w:val="00E26AD4"/>
    <w:rsid w:val="00E26B2E"/>
    <w:rsid w:val="00E26BE8"/>
    <w:rsid w:val="00E26C40"/>
    <w:rsid w:val="00E26CFA"/>
    <w:rsid w:val="00E26D4C"/>
    <w:rsid w:val="00E26DD0"/>
    <w:rsid w:val="00E26DEA"/>
    <w:rsid w:val="00E26E38"/>
    <w:rsid w:val="00E26EFA"/>
    <w:rsid w:val="00E26F3B"/>
    <w:rsid w:val="00E26FF7"/>
    <w:rsid w:val="00E27024"/>
    <w:rsid w:val="00E2702C"/>
    <w:rsid w:val="00E27041"/>
    <w:rsid w:val="00E2718A"/>
    <w:rsid w:val="00E271F8"/>
    <w:rsid w:val="00E2721D"/>
    <w:rsid w:val="00E2736D"/>
    <w:rsid w:val="00E27459"/>
    <w:rsid w:val="00E274A7"/>
    <w:rsid w:val="00E275D0"/>
    <w:rsid w:val="00E27793"/>
    <w:rsid w:val="00E27873"/>
    <w:rsid w:val="00E278E4"/>
    <w:rsid w:val="00E27920"/>
    <w:rsid w:val="00E2799D"/>
    <w:rsid w:val="00E279FD"/>
    <w:rsid w:val="00E27A28"/>
    <w:rsid w:val="00E27A3A"/>
    <w:rsid w:val="00E27A94"/>
    <w:rsid w:val="00E27C47"/>
    <w:rsid w:val="00E27C9D"/>
    <w:rsid w:val="00E27CB0"/>
    <w:rsid w:val="00E27D41"/>
    <w:rsid w:val="00E27E15"/>
    <w:rsid w:val="00E27F31"/>
    <w:rsid w:val="00E3018A"/>
    <w:rsid w:val="00E3037F"/>
    <w:rsid w:val="00E3045D"/>
    <w:rsid w:val="00E30840"/>
    <w:rsid w:val="00E30D04"/>
    <w:rsid w:val="00E30E1E"/>
    <w:rsid w:val="00E30FB7"/>
    <w:rsid w:val="00E30FD8"/>
    <w:rsid w:val="00E31018"/>
    <w:rsid w:val="00E31063"/>
    <w:rsid w:val="00E311A8"/>
    <w:rsid w:val="00E313C3"/>
    <w:rsid w:val="00E3149B"/>
    <w:rsid w:val="00E3154F"/>
    <w:rsid w:val="00E316D8"/>
    <w:rsid w:val="00E31710"/>
    <w:rsid w:val="00E31825"/>
    <w:rsid w:val="00E3192C"/>
    <w:rsid w:val="00E319C3"/>
    <w:rsid w:val="00E31A6B"/>
    <w:rsid w:val="00E31AC6"/>
    <w:rsid w:val="00E31B39"/>
    <w:rsid w:val="00E31B3B"/>
    <w:rsid w:val="00E31B44"/>
    <w:rsid w:val="00E31C07"/>
    <w:rsid w:val="00E31CEE"/>
    <w:rsid w:val="00E31DA3"/>
    <w:rsid w:val="00E31E09"/>
    <w:rsid w:val="00E31E17"/>
    <w:rsid w:val="00E32077"/>
    <w:rsid w:val="00E32100"/>
    <w:rsid w:val="00E3233C"/>
    <w:rsid w:val="00E3236A"/>
    <w:rsid w:val="00E32381"/>
    <w:rsid w:val="00E323AA"/>
    <w:rsid w:val="00E32418"/>
    <w:rsid w:val="00E3248F"/>
    <w:rsid w:val="00E3250F"/>
    <w:rsid w:val="00E32568"/>
    <w:rsid w:val="00E3267D"/>
    <w:rsid w:val="00E327BC"/>
    <w:rsid w:val="00E327C8"/>
    <w:rsid w:val="00E32895"/>
    <w:rsid w:val="00E32CA4"/>
    <w:rsid w:val="00E32DC0"/>
    <w:rsid w:val="00E32ED3"/>
    <w:rsid w:val="00E32ED9"/>
    <w:rsid w:val="00E32F08"/>
    <w:rsid w:val="00E32FF0"/>
    <w:rsid w:val="00E33028"/>
    <w:rsid w:val="00E3305C"/>
    <w:rsid w:val="00E33097"/>
    <w:rsid w:val="00E330D2"/>
    <w:rsid w:val="00E33277"/>
    <w:rsid w:val="00E3335A"/>
    <w:rsid w:val="00E3345C"/>
    <w:rsid w:val="00E334F4"/>
    <w:rsid w:val="00E336E0"/>
    <w:rsid w:val="00E3373D"/>
    <w:rsid w:val="00E337D3"/>
    <w:rsid w:val="00E3388E"/>
    <w:rsid w:val="00E33956"/>
    <w:rsid w:val="00E3397F"/>
    <w:rsid w:val="00E33A43"/>
    <w:rsid w:val="00E33A75"/>
    <w:rsid w:val="00E33B4B"/>
    <w:rsid w:val="00E33B7E"/>
    <w:rsid w:val="00E33B84"/>
    <w:rsid w:val="00E33BFC"/>
    <w:rsid w:val="00E33D04"/>
    <w:rsid w:val="00E33D68"/>
    <w:rsid w:val="00E33DCD"/>
    <w:rsid w:val="00E33E61"/>
    <w:rsid w:val="00E33F6C"/>
    <w:rsid w:val="00E340E7"/>
    <w:rsid w:val="00E3412B"/>
    <w:rsid w:val="00E34130"/>
    <w:rsid w:val="00E34137"/>
    <w:rsid w:val="00E341DF"/>
    <w:rsid w:val="00E3420A"/>
    <w:rsid w:val="00E34363"/>
    <w:rsid w:val="00E3438E"/>
    <w:rsid w:val="00E3456F"/>
    <w:rsid w:val="00E34571"/>
    <w:rsid w:val="00E348EF"/>
    <w:rsid w:val="00E34912"/>
    <w:rsid w:val="00E3492C"/>
    <w:rsid w:val="00E34A9A"/>
    <w:rsid w:val="00E34C92"/>
    <w:rsid w:val="00E34D49"/>
    <w:rsid w:val="00E34D92"/>
    <w:rsid w:val="00E34E9B"/>
    <w:rsid w:val="00E34F40"/>
    <w:rsid w:val="00E3504D"/>
    <w:rsid w:val="00E350B4"/>
    <w:rsid w:val="00E35131"/>
    <w:rsid w:val="00E35181"/>
    <w:rsid w:val="00E351E7"/>
    <w:rsid w:val="00E35236"/>
    <w:rsid w:val="00E3527C"/>
    <w:rsid w:val="00E352C2"/>
    <w:rsid w:val="00E35301"/>
    <w:rsid w:val="00E3532D"/>
    <w:rsid w:val="00E35381"/>
    <w:rsid w:val="00E3538A"/>
    <w:rsid w:val="00E35411"/>
    <w:rsid w:val="00E35669"/>
    <w:rsid w:val="00E35698"/>
    <w:rsid w:val="00E356E2"/>
    <w:rsid w:val="00E356FD"/>
    <w:rsid w:val="00E35896"/>
    <w:rsid w:val="00E35A1E"/>
    <w:rsid w:val="00E35A20"/>
    <w:rsid w:val="00E35A23"/>
    <w:rsid w:val="00E35A54"/>
    <w:rsid w:val="00E35B70"/>
    <w:rsid w:val="00E35CF3"/>
    <w:rsid w:val="00E35E22"/>
    <w:rsid w:val="00E35E76"/>
    <w:rsid w:val="00E35E9E"/>
    <w:rsid w:val="00E360A7"/>
    <w:rsid w:val="00E3625A"/>
    <w:rsid w:val="00E362D2"/>
    <w:rsid w:val="00E36466"/>
    <w:rsid w:val="00E3656D"/>
    <w:rsid w:val="00E36628"/>
    <w:rsid w:val="00E36638"/>
    <w:rsid w:val="00E3668D"/>
    <w:rsid w:val="00E367E4"/>
    <w:rsid w:val="00E36802"/>
    <w:rsid w:val="00E36886"/>
    <w:rsid w:val="00E368D8"/>
    <w:rsid w:val="00E3695A"/>
    <w:rsid w:val="00E369AD"/>
    <w:rsid w:val="00E36A4F"/>
    <w:rsid w:val="00E36B16"/>
    <w:rsid w:val="00E36B48"/>
    <w:rsid w:val="00E36BA8"/>
    <w:rsid w:val="00E36D2D"/>
    <w:rsid w:val="00E36DB1"/>
    <w:rsid w:val="00E36DF2"/>
    <w:rsid w:val="00E36F1C"/>
    <w:rsid w:val="00E36F94"/>
    <w:rsid w:val="00E370B4"/>
    <w:rsid w:val="00E370E1"/>
    <w:rsid w:val="00E37266"/>
    <w:rsid w:val="00E373B2"/>
    <w:rsid w:val="00E374D3"/>
    <w:rsid w:val="00E37579"/>
    <w:rsid w:val="00E37596"/>
    <w:rsid w:val="00E375B2"/>
    <w:rsid w:val="00E375CA"/>
    <w:rsid w:val="00E3767B"/>
    <w:rsid w:val="00E376E0"/>
    <w:rsid w:val="00E37AB5"/>
    <w:rsid w:val="00E37BE7"/>
    <w:rsid w:val="00E37D34"/>
    <w:rsid w:val="00E37D37"/>
    <w:rsid w:val="00E37D73"/>
    <w:rsid w:val="00E37DBA"/>
    <w:rsid w:val="00E37F40"/>
    <w:rsid w:val="00E37F48"/>
    <w:rsid w:val="00E37F70"/>
    <w:rsid w:val="00E37F77"/>
    <w:rsid w:val="00E37FF0"/>
    <w:rsid w:val="00E37FFA"/>
    <w:rsid w:val="00E400B9"/>
    <w:rsid w:val="00E400EF"/>
    <w:rsid w:val="00E40114"/>
    <w:rsid w:val="00E4011C"/>
    <w:rsid w:val="00E4012B"/>
    <w:rsid w:val="00E4013C"/>
    <w:rsid w:val="00E403DB"/>
    <w:rsid w:val="00E40455"/>
    <w:rsid w:val="00E4045B"/>
    <w:rsid w:val="00E404AC"/>
    <w:rsid w:val="00E40592"/>
    <w:rsid w:val="00E405A1"/>
    <w:rsid w:val="00E4067C"/>
    <w:rsid w:val="00E40929"/>
    <w:rsid w:val="00E40A91"/>
    <w:rsid w:val="00E40AEA"/>
    <w:rsid w:val="00E40B68"/>
    <w:rsid w:val="00E40E41"/>
    <w:rsid w:val="00E40F35"/>
    <w:rsid w:val="00E40FD7"/>
    <w:rsid w:val="00E40FDC"/>
    <w:rsid w:val="00E41003"/>
    <w:rsid w:val="00E41007"/>
    <w:rsid w:val="00E41029"/>
    <w:rsid w:val="00E41143"/>
    <w:rsid w:val="00E41151"/>
    <w:rsid w:val="00E4117D"/>
    <w:rsid w:val="00E413E7"/>
    <w:rsid w:val="00E41413"/>
    <w:rsid w:val="00E414B0"/>
    <w:rsid w:val="00E414FB"/>
    <w:rsid w:val="00E4153D"/>
    <w:rsid w:val="00E41651"/>
    <w:rsid w:val="00E416E1"/>
    <w:rsid w:val="00E416FF"/>
    <w:rsid w:val="00E41717"/>
    <w:rsid w:val="00E4191E"/>
    <w:rsid w:val="00E41AE0"/>
    <w:rsid w:val="00E41B41"/>
    <w:rsid w:val="00E41BAB"/>
    <w:rsid w:val="00E41BB4"/>
    <w:rsid w:val="00E41D0A"/>
    <w:rsid w:val="00E41D1B"/>
    <w:rsid w:val="00E41F00"/>
    <w:rsid w:val="00E41F82"/>
    <w:rsid w:val="00E42008"/>
    <w:rsid w:val="00E420C7"/>
    <w:rsid w:val="00E420CC"/>
    <w:rsid w:val="00E42556"/>
    <w:rsid w:val="00E42672"/>
    <w:rsid w:val="00E426C2"/>
    <w:rsid w:val="00E426EA"/>
    <w:rsid w:val="00E42795"/>
    <w:rsid w:val="00E427BA"/>
    <w:rsid w:val="00E42808"/>
    <w:rsid w:val="00E42843"/>
    <w:rsid w:val="00E42850"/>
    <w:rsid w:val="00E4286A"/>
    <w:rsid w:val="00E42887"/>
    <w:rsid w:val="00E42984"/>
    <w:rsid w:val="00E42AAA"/>
    <w:rsid w:val="00E42B4A"/>
    <w:rsid w:val="00E42B5A"/>
    <w:rsid w:val="00E42D07"/>
    <w:rsid w:val="00E42D0B"/>
    <w:rsid w:val="00E42EFA"/>
    <w:rsid w:val="00E430B5"/>
    <w:rsid w:val="00E430B6"/>
    <w:rsid w:val="00E430F9"/>
    <w:rsid w:val="00E431AB"/>
    <w:rsid w:val="00E431AC"/>
    <w:rsid w:val="00E43246"/>
    <w:rsid w:val="00E43336"/>
    <w:rsid w:val="00E433E2"/>
    <w:rsid w:val="00E434D7"/>
    <w:rsid w:val="00E436AB"/>
    <w:rsid w:val="00E436C0"/>
    <w:rsid w:val="00E4374E"/>
    <w:rsid w:val="00E437B2"/>
    <w:rsid w:val="00E43896"/>
    <w:rsid w:val="00E438FC"/>
    <w:rsid w:val="00E43A20"/>
    <w:rsid w:val="00E43A95"/>
    <w:rsid w:val="00E43AD3"/>
    <w:rsid w:val="00E43B4D"/>
    <w:rsid w:val="00E43D9D"/>
    <w:rsid w:val="00E43DAC"/>
    <w:rsid w:val="00E43FBC"/>
    <w:rsid w:val="00E44171"/>
    <w:rsid w:val="00E44181"/>
    <w:rsid w:val="00E441BC"/>
    <w:rsid w:val="00E44220"/>
    <w:rsid w:val="00E44269"/>
    <w:rsid w:val="00E44294"/>
    <w:rsid w:val="00E442D9"/>
    <w:rsid w:val="00E442DD"/>
    <w:rsid w:val="00E443D6"/>
    <w:rsid w:val="00E44467"/>
    <w:rsid w:val="00E444C0"/>
    <w:rsid w:val="00E44507"/>
    <w:rsid w:val="00E445C5"/>
    <w:rsid w:val="00E4468E"/>
    <w:rsid w:val="00E447B5"/>
    <w:rsid w:val="00E447DE"/>
    <w:rsid w:val="00E4489C"/>
    <w:rsid w:val="00E4494A"/>
    <w:rsid w:val="00E449D3"/>
    <w:rsid w:val="00E44A76"/>
    <w:rsid w:val="00E44B97"/>
    <w:rsid w:val="00E44BD7"/>
    <w:rsid w:val="00E44C73"/>
    <w:rsid w:val="00E44CC3"/>
    <w:rsid w:val="00E44D2C"/>
    <w:rsid w:val="00E44D31"/>
    <w:rsid w:val="00E44E88"/>
    <w:rsid w:val="00E44EB2"/>
    <w:rsid w:val="00E44F10"/>
    <w:rsid w:val="00E44F65"/>
    <w:rsid w:val="00E451A5"/>
    <w:rsid w:val="00E4522F"/>
    <w:rsid w:val="00E4526E"/>
    <w:rsid w:val="00E4543B"/>
    <w:rsid w:val="00E454FB"/>
    <w:rsid w:val="00E45540"/>
    <w:rsid w:val="00E455F8"/>
    <w:rsid w:val="00E45611"/>
    <w:rsid w:val="00E45705"/>
    <w:rsid w:val="00E4572F"/>
    <w:rsid w:val="00E45773"/>
    <w:rsid w:val="00E457D1"/>
    <w:rsid w:val="00E457FD"/>
    <w:rsid w:val="00E458E6"/>
    <w:rsid w:val="00E45926"/>
    <w:rsid w:val="00E45DCF"/>
    <w:rsid w:val="00E45E2C"/>
    <w:rsid w:val="00E45E41"/>
    <w:rsid w:val="00E460E7"/>
    <w:rsid w:val="00E4610E"/>
    <w:rsid w:val="00E46278"/>
    <w:rsid w:val="00E462CE"/>
    <w:rsid w:val="00E462DA"/>
    <w:rsid w:val="00E4631A"/>
    <w:rsid w:val="00E46362"/>
    <w:rsid w:val="00E463BF"/>
    <w:rsid w:val="00E46537"/>
    <w:rsid w:val="00E46663"/>
    <w:rsid w:val="00E466D2"/>
    <w:rsid w:val="00E467AB"/>
    <w:rsid w:val="00E4681C"/>
    <w:rsid w:val="00E468FA"/>
    <w:rsid w:val="00E4690D"/>
    <w:rsid w:val="00E4695C"/>
    <w:rsid w:val="00E469AE"/>
    <w:rsid w:val="00E46AE9"/>
    <w:rsid w:val="00E46B5A"/>
    <w:rsid w:val="00E46B74"/>
    <w:rsid w:val="00E46B7B"/>
    <w:rsid w:val="00E46CD9"/>
    <w:rsid w:val="00E46D99"/>
    <w:rsid w:val="00E46DDC"/>
    <w:rsid w:val="00E46E46"/>
    <w:rsid w:val="00E46EB8"/>
    <w:rsid w:val="00E4707E"/>
    <w:rsid w:val="00E4712E"/>
    <w:rsid w:val="00E47138"/>
    <w:rsid w:val="00E471A3"/>
    <w:rsid w:val="00E47226"/>
    <w:rsid w:val="00E472E7"/>
    <w:rsid w:val="00E47341"/>
    <w:rsid w:val="00E473ED"/>
    <w:rsid w:val="00E47444"/>
    <w:rsid w:val="00E47586"/>
    <w:rsid w:val="00E475FC"/>
    <w:rsid w:val="00E4764D"/>
    <w:rsid w:val="00E476DD"/>
    <w:rsid w:val="00E476E1"/>
    <w:rsid w:val="00E47770"/>
    <w:rsid w:val="00E4780B"/>
    <w:rsid w:val="00E47817"/>
    <w:rsid w:val="00E478EE"/>
    <w:rsid w:val="00E4795C"/>
    <w:rsid w:val="00E479EA"/>
    <w:rsid w:val="00E47A14"/>
    <w:rsid w:val="00E47ABF"/>
    <w:rsid w:val="00E47AF2"/>
    <w:rsid w:val="00E47C14"/>
    <w:rsid w:val="00E47DC6"/>
    <w:rsid w:val="00E47F0A"/>
    <w:rsid w:val="00E47F6B"/>
    <w:rsid w:val="00E500A8"/>
    <w:rsid w:val="00E500D3"/>
    <w:rsid w:val="00E500E9"/>
    <w:rsid w:val="00E500F3"/>
    <w:rsid w:val="00E501A6"/>
    <w:rsid w:val="00E501A9"/>
    <w:rsid w:val="00E501CD"/>
    <w:rsid w:val="00E5030C"/>
    <w:rsid w:val="00E5054D"/>
    <w:rsid w:val="00E50620"/>
    <w:rsid w:val="00E50636"/>
    <w:rsid w:val="00E507FE"/>
    <w:rsid w:val="00E5087F"/>
    <w:rsid w:val="00E50990"/>
    <w:rsid w:val="00E509D4"/>
    <w:rsid w:val="00E50A20"/>
    <w:rsid w:val="00E50B58"/>
    <w:rsid w:val="00E50BEE"/>
    <w:rsid w:val="00E50C49"/>
    <w:rsid w:val="00E50CB9"/>
    <w:rsid w:val="00E50E89"/>
    <w:rsid w:val="00E511A2"/>
    <w:rsid w:val="00E512B4"/>
    <w:rsid w:val="00E513B3"/>
    <w:rsid w:val="00E51685"/>
    <w:rsid w:val="00E5173E"/>
    <w:rsid w:val="00E5198F"/>
    <w:rsid w:val="00E51A72"/>
    <w:rsid w:val="00E51AA3"/>
    <w:rsid w:val="00E51D6B"/>
    <w:rsid w:val="00E51DF2"/>
    <w:rsid w:val="00E51EC9"/>
    <w:rsid w:val="00E51F4B"/>
    <w:rsid w:val="00E51F60"/>
    <w:rsid w:val="00E51FE5"/>
    <w:rsid w:val="00E51FEF"/>
    <w:rsid w:val="00E52029"/>
    <w:rsid w:val="00E52032"/>
    <w:rsid w:val="00E5205C"/>
    <w:rsid w:val="00E521C2"/>
    <w:rsid w:val="00E521C5"/>
    <w:rsid w:val="00E522EF"/>
    <w:rsid w:val="00E52329"/>
    <w:rsid w:val="00E523E4"/>
    <w:rsid w:val="00E52753"/>
    <w:rsid w:val="00E527D2"/>
    <w:rsid w:val="00E528F9"/>
    <w:rsid w:val="00E529F8"/>
    <w:rsid w:val="00E52A39"/>
    <w:rsid w:val="00E52B02"/>
    <w:rsid w:val="00E52C00"/>
    <w:rsid w:val="00E52C04"/>
    <w:rsid w:val="00E52D71"/>
    <w:rsid w:val="00E52E3E"/>
    <w:rsid w:val="00E53038"/>
    <w:rsid w:val="00E53112"/>
    <w:rsid w:val="00E53188"/>
    <w:rsid w:val="00E5328D"/>
    <w:rsid w:val="00E53395"/>
    <w:rsid w:val="00E5345F"/>
    <w:rsid w:val="00E53527"/>
    <w:rsid w:val="00E53807"/>
    <w:rsid w:val="00E5390E"/>
    <w:rsid w:val="00E5396F"/>
    <w:rsid w:val="00E53A91"/>
    <w:rsid w:val="00E53BC5"/>
    <w:rsid w:val="00E53C72"/>
    <w:rsid w:val="00E53C7E"/>
    <w:rsid w:val="00E53D9D"/>
    <w:rsid w:val="00E53DF7"/>
    <w:rsid w:val="00E53EB4"/>
    <w:rsid w:val="00E53FA3"/>
    <w:rsid w:val="00E53FE6"/>
    <w:rsid w:val="00E54123"/>
    <w:rsid w:val="00E54182"/>
    <w:rsid w:val="00E54184"/>
    <w:rsid w:val="00E54261"/>
    <w:rsid w:val="00E542F9"/>
    <w:rsid w:val="00E54487"/>
    <w:rsid w:val="00E544CF"/>
    <w:rsid w:val="00E5458E"/>
    <w:rsid w:val="00E54734"/>
    <w:rsid w:val="00E548C9"/>
    <w:rsid w:val="00E54991"/>
    <w:rsid w:val="00E54B59"/>
    <w:rsid w:val="00E54C09"/>
    <w:rsid w:val="00E54C20"/>
    <w:rsid w:val="00E54C56"/>
    <w:rsid w:val="00E54CB3"/>
    <w:rsid w:val="00E54CC1"/>
    <w:rsid w:val="00E54F94"/>
    <w:rsid w:val="00E55070"/>
    <w:rsid w:val="00E550C7"/>
    <w:rsid w:val="00E55145"/>
    <w:rsid w:val="00E552B0"/>
    <w:rsid w:val="00E55317"/>
    <w:rsid w:val="00E553DD"/>
    <w:rsid w:val="00E554B4"/>
    <w:rsid w:val="00E554BB"/>
    <w:rsid w:val="00E5559C"/>
    <w:rsid w:val="00E55690"/>
    <w:rsid w:val="00E55727"/>
    <w:rsid w:val="00E557B7"/>
    <w:rsid w:val="00E5596A"/>
    <w:rsid w:val="00E55A57"/>
    <w:rsid w:val="00E55AF4"/>
    <w:rsid w:val="00E55B0B"/>
    <w:rsid w:val="00E55B7F"/>
    <w:rsid w:val="00E55D9C"/>
    <w:rsid w:val="00E55E3C"/>
    <w:rsid w:val="00E55F4B"/>
    <w:rsid w:val="00E55FE8"/>
    <w:rsid w:val="00E55FEA"/>
    <w:rsid w:val="00E560DD"/>
    <w:rsid w:val="00E56166"/>
    <w:rsid w:val="00E56188"/>
    <w:rsid w:val="00E56292"/>
    <w:rsid w:val="00E56308"/>
    <w:rsid w:val="00E5634F"/>
    <w:rsid w:val="00E563BD"/>
    <w:rsid w:val="00E564C6"/>
    <w:rsid w:val="00E564D2"/>
    <w:rsid w:val="00E565BB"/>
    <w:rsid w:val="00E5671A"/>
    <w:rsid w:val="00E56741"/>
    <w:rsid w:val="00E56796"/>
    <w:rsid w:val="00E5679D"/>
    <w:rsid w:val="00E567E9"/>
    <w:rsid w:val="00E567F9"/>
    <w:rsid w:val="00E5683A"/>
    <w:rsid w:val="00E5685B"/>
    <w:rsid w:val="00E568BB"/>
    <w:rsid w:val="00E568C3"/>
    <w:rsid w:val="00E56973"/>
    <w:rsid w:val="00E569D3"/>
    <w:rsid w:val="00E569D4"/>
    <w:rsid w:val="00E56A02"/>
    <w:rsid w:val="00E56A53"/>
    <w:rsid w:val="00E56BCD"/>
    <w:rsid w:val="00E56BEA"/>
    <w:rsid w:val="00E56C7D"/>
    <w:rsid w:val="00E56CB3"/>
    <w:rsid w:val="00E56D00"/>
    <w:rsid w:val="00E56D3D"/>
    <w:rsid w:val="00E56E0A"/>
    <w:rsid w:val="00E56FBB"/>
    <w:rsid w:val="00E57084"/>
    <w:rsid w:val="00E570F0"/>
    <w:rsid w:val="00E571B6"/>
    <w:rsid w:val="00E57474"/>
    <w:rsid w:val="00E574E6"/>
    <w:rsid w:val="00E575CF"/>
    <w:rsid w:val="00E5771A"/>
    <w:rsid w:val="00E577F8"/>
    <w:rsid w:val="00E57904"/>
    <w:rsid w:val="00E57BD2"/>
    <w:rsid w:val="00E57BF3"/>
    <w:rsid w:val="00E57C4C"/>
    <w:rsid w:val="00E57C90"/>
    <w:rsid w:val="00E57CAC"/>
    <w:rsid w:val="00E57D29"/>
    <w:rsid w:val="00E57D8B"/>
    <w:rsid w:val="00E57DE1"/>
    <w:rsid w:val="00E57E08"/>
    <w:rsid w:val="00E57E3E"/>
    <w:rsid w:val="00E57EB5"/>
    <w:rsid w:val="00E57FB3"/>
    <w:rsid w:val="00E57FF8"/>
    <w:rsid w:val="00E57FFD"/>
    <w:rsid w:val="00E60046"/>
    <w:rsid w:val="00E60336"/>
    <w:rsid w:val="00E60567"/>
    <w:rsid w:val="00E60574"/>
    <w:rsid w:val="00E60619"/>
    <w:rsid w:val="00E60635"/>
    <w:rsid w:val="00E6064B"/>
    <w:rsid w:val="00E606FD"/>
    <w:rsid w:val="00E607E4"/>
    <w:rsid w:val="00E607F5"/>
    <w:rsid w:val="00E60895"/>
    <w:rsid w:val="00E6089D"/>
    <w:rsid w:val="00E609D8"/>
    <w:rsid w:val="00E60A43"/>
    <w:rsid w:val="00E60A55"/>
    <w:rsid w:val="00E60AA7"/>
    <w:rsid w:val="00E60C81"/>
    <w:rsid w:val="00E60CD7"/>
    <w:rsid w:val="00E610D9"/>
    <w:rsid w:val="00E61171"/>
    <w:rsid w:val="00E61279"/>
    <w:rsid w:val="00E61296"/>
    <w:rsid w:val="00E612D4"/>
    <w:rsid w:val="00E612EF"/>
    <w:rsid w:val="00E61368"/>
    <w:rsid w:val="00E61459"/>
    <w:rsid w:val="00E615BC"/>
    <w:rsid w:val="00E615F3"/>
    <w:rsid w:val="00E61679"/>
    <w:rsid w:val="00E616F3"/>
    <w:rsid w:val="00E61710"/>
    <w:rsid w:val="00E617ED"/>
    <w:rsid w:val="00E61947"/>
    <w:rsid w:val="00E619EC"/>
    <w:rsid w:val="00E61B30"/>
    <w:rsid w:val="00E61B8E"/>
    <w:rsid w:val="00E61B95"/>
    <w:rsid w:val="00E61BB6"/>
    <w:rsid w:val="00E61BD5"/>
    <w:rsid w:val="00E61CCC"/>
    <w:rsid w:val="00E61E14"/>
    <w:rsid w:val="00E61EA5"/>
    <w:rsid w:val="00E61F80"/>
    <w:rsid w:val="00E61FA2"/>
    <w:rsid w:val="00E61FB0"/>
    <w:rsid w:val="00E620B1"/>
    <w:rsid w:val="00E621ED"/>
    <w:rsid w:val="00E622F0"/>
    <w:rsid w:val="00E62461"/>
    <w:rsid w:val="00E6248F"/>
    <w:rsid w:val="00E624F3"/>
    <w:rsid w:val="00E624F7"/>
    <w:rsid w:val="00E625AB"/>
    <w:rsid w:val="00E625F8"/>
    <w:rsid w:val="00E62649"/>
    <w:rsid w:val="00E62779"/>
    <w:rsid w:val="00E627EE"/>
    <w:rsid w:val="00E628B0"/>
    <w:rsid w:val="00E62A78"/>
    <w:rsid w:val="00E62A8B"/>
    <w:rsid w:val="00E62A98"/>
    <w:rsid w:val="00E62B6C"/>
    <w:rsid w:val="00E62BB0"/>
    <w:rsid w:val="00E62CD6"/>
    <w:rsid w:val="00E62CED"/>
    <w:rsid w:val="00E62D14"/>
    <w:rsid w:val="00E62DA8"/>
    <w:rsid w:val="00E62E96"/>
    <w:rsid w:val="00E62ED3"/>
    <w:rsid w:val="00E62F71"/>
    <w:rsid w:val="00E62FBC"/>
    <w:rsid w:val="00E63022"/>
    <w:rsid w:val="00E63095"/>
    <w:rsid w:val="00E6319E"/>
    <w:rsid w:val="00E63211"/>
    <w:rsid w:val="00E632D5"/>
    <w:rsid w:val="00E6330D"/>
    <w:rsid w:val="00E633DC"/>
    <w:rsid w:val="00E634B0"/>
    <w:rsid w:val="00E634E1"/>
    <w:rsid w:val="00E634F8"/>
    <w:rsid w:val="00E63708"/>
    <w:rsid w:val="00E637AA"/>
    <w:rsid w:val="00E6385D"/>
    <w:rsid w:val="00E638D3"/>
    <w:rsid w:val="00E63DBD"/>
    <w:rsid w:val="00E63DC1"/>
    <w:rsid w:val="00E63DCE"/>
    <w:rsid w:val="00E63EE5"/>
    <w:rsid w:val="00E63F13"/>
    <w:rsid w:val="00E63F83"/>
    <w:rsid w:val="00E63F9A"/>
    <w:rsid w:val="00E6402F"/>
    <w:rsid w:val="00E64068"/>
    <w:rsid w:val="00E640D1"/>
    <w:rsid w:val="00E64194"/>
    <w:rsid w:val="00E641DB"/>
    <w:rsid w:val="00E64253"/>
    <w:rsid w:val="00E64370"/>
    <w:rsid w:val="00E643EA"/>
    <w:rsid w:val="00E64406"/>
    <w:rsid w:val="00E64414"/>
    <w:rsid w:val="00E6449A"/>
    <w:rsid w:val="00E644C0"/>
    <w:rsid w:val="00E6454C"/>
    <w:rsid w:val="00E645C4"/>
    <w:rsid w:val="00E64601"/>
    <w:rsid w:val="00E6463E"/>
    <w:rsid w:val="00E646CC"/>
    <w:rsid w:val="00E64758"/>
    <w:rsid w:val="00E647CB"/>
    <w:rsid w:val="00E64874"/>
    <w:rsid w:val="00E648A8"/>
    <w:rsid w:val="00E64935"/>
    <w:rsid w:val="00E64A48"/>
    <w:rsid w:val="00E64B08"/>
    <w:rsid w:val="00E64B31"/>
    <w:rsid w:val="00E64B7E"/>
    <w:rsid w:val="00E64BD0"/>
    <w:rsid w:val="00E64D27"/>
    <w:rsid w:val="00E64D8D"/>
    <w:rsid w:val="00E64E6C"/>
    <w:rsid w:val="00E64EC8"/>
    <w:rsid w:val="00E64EEC"/>
    <w:rsid w:val="00E64FBC"/>
    <w:rsid w:val="00E64FD3"/>
    <w:rsid w:val="00E64FD6"/>
    <w:rsid w:val="00E65037"/>
    <w:rsid w:val="00E65091"/>
    <w:rsid w:val="00E65130"/>
    <w:rsid w:val="00E652C9"/>
    <w:rsid w:val="00E6540C"/>
    <w:rsid w:val="00E6546E"/>
    <w:rsid w:val="00E654B6"/>
    <w:rsid w:val="00E65525"/>
    <w:rsid w:val="00E655B3"/>
    <w:rsid w:val="00E6570B"/>
    <w:rsid w:val="00E657CA"/>
    <w:rsid w:val="00E6580A"/>
    <w:rsid w:val="00E65815"/>
    <w:rsid w:val="00E6583B"/>
    <w:rsid w:val="00E65851"/>
    <w:rsid w:val="00E6598C"/>
    <w:rsid w:val="00E65990"/>
    <w:rsid w:val="00E65A4A"/>
    <w:rsid w:val="00E65A8C"/>
    <w:rsid w:val="00E65ACC"/>
    <w:rsid w:val="00E65BE5"/>
    <w:rsid w:val="00E65D6B"/>
    <w:rsid w:val="00E65D74"/>
    <w:rsid w:val="00E65E4D"/>
    <w:rsid w:val="00E65EAD"/>
    <w:rsid w:val="00E65EC4"/>
    <w:rsid w:val="00E65F21"/>
    <w:rsid w:val="00E66225"/>
    <w:rsid w:val="00E6624B"/>
    <w:rsid w:val="00E66581"/>
    <w:rsid w:val="00E667A1"/>
    <w:rsid w:val="00E668B8"/>
    <w:rsid w:val="00E6691A"/>
    <w:rsid w:val="00E66A0E"/>
    <w:rsid w:val="00E66A6B"/>
    <w:rsid w:val="00E66A6C"/>
    <w:rsid w:val="00E66C5E"/>
    <w:rsid w:val="00E66D4D"/>
    <w:rsid w:val="00E66E5A"/>
    <w:rsid w:val="00E66F64"/>
    <w:rsid w:val="00E67080"/>
    <w:rsid w:val="00E67102"/>
    <w:rsid w:val="00E6711D"/>
    <w:rsid w:val="00E67223"/>
    <w:rsid w:val="00E6728D"/>
    <w:rsid w:val="00E67440"/>
    <w:rsid w:val="00E674CD"/>
    <w:rsid w:val="00E6752E"/>
    <w:rsid w:val="00E676B9"/>
    <w:rsid w:val="00E677E2"/>
    <w:rsid w:val="00E6781A"/>
    <w:rsid w:val="00E6790E"/>
    <w:rsid w:val="00E679BA"/>
    <w:rsid w:val="00E67ADF"/>
    <w:rsid w:val="00E67B4C"/>
    <w:rsid w:val="00E67BCC"/>
    <w:rsid w:val="00E67C88"/>
    <w:rsid w:val="00E67CEB"/>
    <w:rsid w:val="00E67ED6"/>
    <w:rsid w:val="00E67EDD"/>
    <w:rsid w:val="00E67EFD"/>
    <w:rsid w:val="00E67F5A"/>
    <w:rsid w:val="00E67F83"/>
    <w:rsid w:val="00E67FD8"/>
    <w:rsid w:val="00E7002E"/>
    <w:rsid w:val="00E700E3"/>
    <w:rsid w:val="00E701D4"/>
    <w:rsid w:val="00E701D9"/>
    <w:rsid w:val="00E70256"/>
    <w:rsid w:val="00E702BB"/>
    <w:rsid w:val="00E70366"/>
    <w:rsid w:val="00E70565"/>
    <w:rsid w:val="00E705AC"/>
    <w:rsid w:val="00E70612"/>
    <w:rsid w:val="00E70691"/>
    <w:rsid w:val="00E70775"/>
    <w:rsid w:val="00E70A5D"/>
    <w:rsid w:val="00E70D5F"/>
    <w:rsid w:val="00E70F94"/>
    <w:rsid w:val="00E70FB4"/>
    <w:rsid w:val="00E710A3"/>
    <w:rsid w:val="00E7116E"/>
    <w:rsid w:val="00E71197"/>
    <w:rsid w:val="00E71263"/>
    <w:rsid w:val="00E71414"/>
    <w:rsid w:val="00E71498"/>
    <w:rsid w:val="00E714C9"/>
    <w:rsid w:val="00E71501"/>
    <w:rsid w:val="00E715BF"/>
    <w:rsid w:val="00E716F0"/>
    <w:rsid w:val="00E71777"/>
    <w:rsid w:val="00E717FA"/>
    <w:rsid w:val="00E7194E"/>
    <w:rsid w:val="00E71A91"/>
    <w:rsid w:val="00E71B62"/>
    <w:rsid w:val="00E71FF8"/>
    <w:rsid w:val="00E71FF9"/>
    <w:rsid w:val="00E720AE"/>
    <w:rsid w:val="00E720B8"/>
    <w:rsid w:val="00E72234"/>
    <w:rsid w:val="00E7228A"/>
    <w:rsid w:val="00E724E8"/>
    <w:rsid w:val="00E724E9"/>
    <w:rsid w:val="00E725B5"/>
    <w:rsid w:val="00E7260C"/>
    <w:rsid w:val="00E72657"/>
    <w:rsid w:val="00E7269B"/>
    <w:rsid w:val="00E72709"/>
    <w:rsid w:val="00E72737"/>
    <w:rsid w:val="00E7275B"/>
    <w:rsid w:val="00E72837"/>
    <w:rsid w:val="00E729E5"/>
    <w:rsid w:val="00E72A79"/>
    <w:rsid w:val="00E72B38"/>
    <w:rsid w:val="00E72B52"/>
    <w:rsid w:val="00E72BFF"/>
    <w:rsid w:val="00E72C67"/>
    <w:rsid w:val="00E72CA5"/>
    <w:rsid w:val="00E72FD6"/>
    <w:rsid w:val="00E73235"/>
    <w:rsid w:val="00E73263"/>
    <w:rsid w:val="00E732E3"/>
    <w:rsid w:val="00E73307"/>
    <w:rsid w:val="00E7333C"/>
    <w:rsid w:val="00E733B5"/>
    <w:rsid w:val="00E73440"/>
    <w:rsid w:val="00E735A7"/>
    <w:rsid w:val="00E73640"/>
    <w:rsid w:val="00E736EA"/>
    <w:rsid w:val="00E736F9"/>
    <w:rsid w:val="00E736FA"/>
    <w:rsid w:val="00E737CA"/>
    <w:rsid w:val="00E738AD"/>
    <w:rsid w:val="00E73938"/>
    <w:rsid w:val="00E73A3D"/>
    <w:rsid w:val="00E73C2D"/>
    <w:rsid w:val="00E73D52"/>
    <w:rsid w:val="00E73DEF"/>
    <w:rsid w:val="00E73EF6"/>
    <w:rsid w:val="00E73F31"/>
    <w:rsid w:val="00E73F5A"/>
    <w:rsid w:val="00E7413B"/>
    <w:rsid w:val="00E74166"/>
    <w:rsid w:val="00E741FA"/>
    <w:rsid w:val="00E74297"/>
    <w:rsid w:val="00E742AB"/>
    <w:rsid w:val="00E742B2"/>
    <w:rsid w:val="00E7439F"/>
    <w:rsid w:val="00E743B9"/>
    <w:rsid w:val="00E74401"/>
    <w:rsid w:val="00E7477A"/>
    <w:rsid w:val="00E74A2A"/>
    <w:rsid w:val="00E74ACE"/>
    <w:rsid w:val="00E74BB7"/>
    <w:rsid w:val="00E74EE7"/>
    <w:rsid w:val="00E74FFF"/>
    <w:rsid w:val="00E7502D"/>
    <w:rsid w:val="00E75053"/>
    <w:rsid w:val="00E75073"/>
    <w:rsid w:val="00E750A0"/>
    <w:rsid w:val="00E750BB"/>
    <w:rsid w:val="00E7512D"/>
    <w:rsid w:val="00E75171"/>
    <w:rsid w:val="00E752C2"/>
    <w:rsid w:val="00E7547A"/>
    <w:rsid w:val="00E754EE"/>
    <w:rsid w:val="00E7566B"/>
    <w:rsid w:val="00E7571C"/>
    <w:rsid w:val="00E75723"/>
    <w:rsid w:val="00E75845"/>
    <w:rsid w:val="00E75BC2"/>
    <w:rsid w:val="00E75CD5"/>
    <w:rsid w:val="00E75CF5"/>
    <w:rsid w:val="00E75D79"/>
    <w:rsid w:val="00E75DF3"/>
    <w:rsid w:val="00E75DF8"/>
    <w:rsid w:val="00E75E2A"/>
    <w:rsid w:val="00E76096"/>
    <w:rsid w:val="00E760F2"/>
    <w:rsid w:val="00E76184"/>
    <w:rsid w:val="00E7619A"/>
    <w:rsid w:val="00E76214"/>
    <w:rsid w:val="00E7635A"/>
    <w:rsid w:val="00E76362"/>
    <w:rsid w:val="00E76394"/>
    <w:rsid w:val="00E7644B"/>
    <w:rsid w:val="00E76651"/>
    <w:rsid w:val="00E76722"/>
    <w:rsid w:val="00E767D2"/>
    <w:rsid w:val="00E768D8"/>
    <w:rsid w:val="00E76A7C"/>
    <w:rsid w:val="00E76C24"/>
    <w:rsid w:val="00E76C47"/>
    <w:rsid w:val="00E76CA1"/>
    <w:rsid w:val="00E76CAD"/>
    <w:rsid w:val="00E76D1D"/>
    <w:rsid w:val="00E76DD2"/>
    <w:rsid w:val="00E76E08"/>
    <w:rsid w:val="00E76E40"/>
    <w:rsid w:val="00E76F01"/>
    <w:rsid w:val="00E76F02"/>
    <w:rsid w:val="00E76F24"/>
    <w:rsid w:val="00E77002"/>
    <w:rsid w:val="00E773B9"/>
    <w:rsid w:val="00E773E3"/>
    <w:rsid w:val="00E77413"/>
    <w:rsid w:val="00E775F4"/>
    <w:rsid w:val="00E7763C"/>
    <w:rsid w:val="00E7764E"/>
    <w:rsid w:val="00E7767D"/>
    <w:rsid w:val="00E776E1"/>
    <w:rsid w:val="00E77734"/>
    <w:rsid w:val="00E777B2"/>
    <w:rsid w:val="00E7781D"/>
    <w:rsid w:val="00E77847"/>
    <w:rsid w:val="00E778C5"/>
    <w:rsid w:val="00E778CB"/>
    <w:rsid w:val="00E77ACA"/>
    <w:rsid w:val="00E77C1C"/>
    <w:rsid w:val="00E77C53"/>
    <w:rsid w:val="00E77C82"/>
    <w:rsid w:val="00E77D4C"/>
    <w:rsid w:val="00E77DEF"/>
    <w:rsid w:val="00E77EB6"/>
    <w:rsid w:val="00E77EF4"/>
    <w:rsid w:val="00E77F5C"/>
    <w:rsid w:val="00E80020"/>
    <w:rsid w:val="00E800C6"/>
    <w:rsid w:val="00E801A3"/>
    <w:rsid w:val="00E802A5"/>
    <w:rsid w:val="00E803BC"/>
    <w:rsid w:val="00E80475"/>
    <w:rsid w:val="00E8054B"/>
    <w:rsid w:val="00E805E4"/>
    <w:rsid w:val="00E80673"/>
    <w:rsid w:val="00E808E3"/>
    <w:rsid w:val="00E80930"/>
    <w:rsid w:val="00E80B30"/>
    <w:rsid w:val="00E80BF0"/>
    <w:rsid w:val="00E80CAB"/>
    <w:rsid w:val="00E80D2C"/>
    <w:rsid w:val="00E80EA9"/>
    <w:rsid w:val="00E80EC5"/>
    <w:rsid w:val="00E80F6C"/>
    <w:rsid w:val="00E80FAF"/>
    <w:rsid w:val="00E811DB"/>
    <w:rsid w:val="00E81298"/>
    <w:rsid w:val="00E812C5"/>
    <w:rsid w:val="00E813F6"/>
    <w:rsid w:val="00E8143E"/>
    <w:rsid w:val="00E816A7"/>
    <w:rsid w:val="00E81789"/>
    <w:rsid w:val="00E818F4"/>
    <w:rsid w:val="00E81A56"/>
    <w:rsid w:val="00E81C4D"/>
    <w:rsid w:val="00E81CB8"/>
    <w:rsid w:val="00E81D34"/>
    <w:rsid w:val="00E81D97"/>
    <w:rsid w:val="00E81E1A"/>
    <w:rsid w:val="00E81F72"/>
    <w:rsid w:val="00E82068"/>
    <w:rsid w:val="00E82119"/>
    <w:rsid w:val="00E82134"/>
    <w:rsid w:val="00E8219E"/>
    <w:rsid w:val="00E821B6"/>
    <w:rsid w:val="00E821CD"/>
    <w:rsid w:val="00E821E2"/>
    <w:rsid w:val="00E82220"/>
    <w:rsid w:val="00E8222E"/>
    <w:rsid w:val="00E82241"/>
    <w:rsid w:val="00E82265"/>
    <w:rsid w:val="00E8227B"/>
    <w:rsid w:val="00E82400"/>
    <w:rsid w:val="00E825F6"/>
    <w:rsid w:val="00E82737"/>
    <w:rsid w:val="00E828CE"/>
    <w:rsid w:val="00E82B32"/>
    <w:rsid w:val="00E82BAB"/>
    <w:rsid w:val="00E82C0F"/>
    <w:rsid w:val="00E82CE5"/>
    <w:rsid w:val="00E82DE2"/>
    <w:rsid w:val="00E82EB3"/>
    <w:rsid w:val="00E82F4C"/>
    <w:rsid w:val="00E82FB3"/>
    <w:rsid w:val="00E82FD8"/>
    <w:rsid w:val="00E82FFE"/>
    <w:rsid w:val="00E83328"/>
    <w:rsid w:val="00E833E6"/>
    <w:rsid w:val="00E834C8"/>
    <w:rsid w:val="00E8356B"/>
    <w:rsid w:val="00E8368F"/>
    <w:rsid w:val="00E836D7"/>
    <w:rsid w:val="00E83819"/>
    <w:rsid w:val="00E83870"/>
    <w:rsid w:val="00E838A2"/>
    <w:rsid w:val="00E83942"/>
    <w:rsid w:val="00E83998"/>
    <w:rsid w:val="00E83A71"/>
    <w:rsid w:val="00E83A77"/>
    <w:rsid w:val="00E83B22"/>
    <w:rsid w:val="00E83B84"/>
    <w:rsid w:val="00E83BBA"/>
    <w:rsid w:val="00E83D7D"/>
    <w:rsid w:val="00E83EAE"/>
    <w:rsid w:val="00E83EB7"/>
    <w:rsid w:val="00E83F96"/>
    <w:rsid w:val="00E841AF"/>
    <w:rsid w:val="00E84268"/>
    <w:rsid w:val="00E8441D"/>
    <w:rsid w:val="00E84446"/>
    <w:rsid w:val="00E845A0"/>
    <w:rsid w:val="00E84636"/>
    <w:rsid w:val="00E84703"/>
    <w:rsid w:val="00E84711"/>
    <w:rsid w:val="00E847DD"/>
    <w:rsid w:val="00E84918"/>
    <w:rsid w:val="00E8493B"/>
    <w:rsid w:val="00E84990"/>
    <w:rsid w:val="00E84ACA"/>
    <w:rsid w:val="00E84B60"/>
    <w:rsid w:val="00E84BD0"/>
    <w:rsid w:val="00E84DD4"/>
    <w:rsid w:val="00E84EE8"/>
    <w:rsid w:val="00E84F61"/>
    <w:rsid w:val="00E8502C"/>
    <w:rsid w:val="00E851E5"/>
    <w:rsid w:val="00E8541D"/>
    <w:rsid w:val="00E85673"/>
    <w:rsid w:val="00E856EE"/>
    <w:rsid w:val="00E856FA"/>
    <w:rsid w:val="00E8577D"/>
    <w:rsid w:val="00E857F1"/>
    <w:rsid w:val="00E8581F"/>
    <w:rsid w:val="00E858C5"/>
    <w:rsid w:val="00E85A25"/>
    <w:rsid w:val="00E85B4F"/>
    <w:rsid w:val="00E85BCC"/>
    <w:rsid w:val="00E85CDC"/>
    <w:rsid w:val="00E85CF7"/>
    <w:rsid w:val="00E85E9B"/>
    <w:rsid w:val="00E85ECA"/>
    <w:rsid w:val="00E85ED8"/>
    <w:rsid w:val="00E8604D"/>
    <w:rsid w:val="00E86098"/>
    <w:rsid w:val="00E860B3"/>
    <w:rsid w:val="00E8613F"/>
    <w:rsid w:val="00E86190"/>
    <w:rsid w:val="00E861F5"/>
    <w:rsid w:val="00E8624E"/>
    <w:rsid w:val="00E8624F"/>
    <w:rsid w:val="00E8626C"/>
    <w:rsid w:val="00E862C8"/>
    <w:rsid w:val="00E8635D"/>
    <w:rsid w:val="00E86380"/>
    <w:rsid w:val="00E86460"/>
    <w:rsid w:val="00E86465"/>
    <w:rsid w:val="00E86474"/>
    <w:rsid w:val="00E8648A"/>
    <w:rsid w:val="00E8653B"/>
    <w:rsid w:val="00E865CD"/>
    <w:rsid w:val="00E8669A"/>
    <w:rsid w:val="00E8672A"/>
    <w:rsid w:val="00E8691B"/>
    <w:rsid w:val="00E8696A"/>
    <w:rsid w:val="00E86DAF"/>
    <w:rsid w:val="00E86DE9"/>
    <w:rsid w:val="00E86E13"/>
    <w:rsid w:val="00E86EA5"/>
    <w:rsid w:val="00E86F37"/>
    <w:rsid w:val="00E86F7C"/>
    <w:rsid w:val="00E87054"/>
    <w:rsid w:val="00E87072"/>
    <w:rsid w:val="00E8707B"/>
    <w:rsid w:val="00E870EA"/>
    <w:rsid w:val="00E87117"/>
    <w:rsid w:val="00E871C4"/>
    <w:rsid w:val="00E8721E"/>
    <w:rsid w:val="00E8724E"/>
    <w:rsid w:val="00E872CC"/>
    <w:rsid w:val="00E8741A"/>
    <w:rsid w:val="00E874F1"/>
    <w:rsid w:val="00E87624"/>
    <w:rsid w:val="00E87645"/>
    <w:rsid w:val="00E87685"/>
    <w:rsid w:val="00E876C6"/>
    <w:rsid w:val="00E876F0"/>
    <w:rsid w:val="00E87702"/>
    <w:rsid w:val="00E877D4"/>
    <w:rsid w:val="00E878F0"/>
    <w:rsid w:val="00E87B34"/>
    <w:rsid w:val="00E87C4D"/>
    <w:rsid w:val="00E87C70"/>
    <w:rsid w:val="00E87D50"/>
    <w:rsid w:val="00E9008A"/>
    <w:rsid w:val="00E9014B"/>
    <w:rsid w:val="00E902D1"/>
    <w:rsid w:val="00E90415"/>
    <w:rsid w:val="00E9044A"/>
    <w:rsid w:val="00E904E5"/>
    <w:rsid w:val="00E904EF"/>
    <w:rsid w:val="00E9050D"/>
    <w:rsid w:val="00E9051B"/>
    <w:rsid w:val="00E9059C"/>
    <w:rsid w:val="00E905C0"/>
    <w:rsid w:val="00E90636"/>
    <w:rsid w:val="00E9073D"/>
    <w:rsid w:val="00E907A9"/>
    <w:rsid w:val="00E908F8"/>
    <w:rsid w:val="00E90905"/>
    <w:rsid w:val="00E9093A"/>
    <w:rsid w:val="00E90C99"/>
    <w:rsid w:val="00E90D12"/>
    <w:rsid w:val="00E90ED3"/>
    <w:rsid w:val="00E90FEF"/>
    <w:rsid w:val="00E91058"/>
    <w:rsid w:val="00E91072"/>
    <w:rsid w:val="00E91240"/>
    <w:rsid w:val="00E91247"/>
    <w:rsid w:val="00E912E0"/>
    <w:rsid w:val="00E912E6"/>
    <w:rsid w:val="00E9133F"/>
    <w:rsid w:val="00E913C3"/>
    <w:rsid w:val="00E913FA"/>
    <w:rsid w:val="00E91637"/>
    <w:rsid w:val="00E916AE"/>
    <w:rsid w:val="00E916C5"/>
    <w:rsid w:val="00E918DD"/>
    <w:rsid w:val="00E918E0"/>
    <w:rsid w:val="00E9197D"/>
    <w:rsid w:val="00E91AC4"/>
    <w:rsid w:val="00E91B9F"/>
    <w:rsid w:val="00E91BD5"/>
    <w:rsid w:val="00E91D1E"/>
    <w:rsid w:val="00E91D31"/>
    <w:rsid w:val="00E91D4C"/>
    <w:rsid w:val="00E91EAB"/>
    <w:rsid w:val="00E91EC3"/>
    <w:rsid w:val="00E91F95"/>
    <w:rsid w:val="00E92013"/>
    <w:rsid w:val="00E920BE"/>
    <w:rsid w:val="00E92150"/>
    <w:rsid w:val="00E921A1"/>
    <w:rsid w:val="00E92224"/>
    <w:rsid w:val="00E92270"/>
    <w:rsid w:val="00E922D4"/>
    <w:rsid w:val="00E923DC"/>
    <w:rsid w:val="00E9265E"/>
    <w:rsid w:val="00E92891"/>
    <w:rsid w:val="00E928EB"/>
    <w:rsid w:val="00E92ABC"/>
    <w:rsid w:val="00E92AE5"/>
    <w:rsid w:val="00E92B87"/>
    <w:rsid w:val="00E92D38"/>
    <w:rsid w:val="00E92D93"/>
    <w:rsid w:val="00E92DFB"/>
    <w:rsid w:val="00E92F28"/>
    <w:rsid w:val="00E9307D"/>
    <w:rsid w:val="00E93116"/>
    <w:rsid w:val="00E931A6"/>
    <w:rsid w:val="00E931EB"/>
    <w:rsid w:val="00E93238"/>
    <w:rsid w:val="00E93351"/>
    <w:rsid w:val="00E933BE"/>
    <w:rsid w:val="00E93503"/>
    <w:rsid w:val="00E93525"/>
    <w:rsid w:val="00E93605"/>
    <w:rsid w:val="00E936E1"/>
    <w:rsid w:val="00E9374C"/>
    <w:rsid w:val="00E9387F"/>
    <w:rsid w:val="00E938EE"/>
    <w:rsid w:val="00E938FA"/>
    <w:rsid w:val="00E9393A"/>
    <w:rsid w:val="00E93956"/>
    <w:rsid w:val="00E93A98"/>
    <w:rsid w:val="00E93AC0"/>
    <w:rsid w:val="00E93BC1"/>
    <w:rsid w:val="00E93C84"/>
    <w:rsid w:val="00E93D02"/>
    <w:rsid w:val="00E93D40"/>
    <w:rsid w:val="00E93DBF"/>
    <w:rsid w:val="00E93E42"/>
    <w:rsid w:val="00E93F81"/>
    <w:rsid w:val="00E93FA3"/>
    <w:rsid w:val="00E9405A"/>
    <w:rsid w:val="00E940F1"/>
    <w:rsid w:val="00E9418C"/>
    <w:rsid w:val="00E94385"/>
    <w:rsid w:val="00E9439E"/>
    <w:rsid w:val="00E9458F"/>
    <w:rsid w:val="00E9460F"/>
    <w:rsid w:val="00E94610"/>
    <w:rsid w:val="00E948F0"/>
    <w:rsid w:val="00E94A2D"/>
    <w:rsid w:val="00E94BDF"/>
    <w:rsid w:val="00E94CEB"/>
    <w:rsid w:val="00E94D7E"/>
    <w:rsid w:val="00E94DB5"/>
    <w:rsid w:val="00E94DD2"/>
    <w:rsid w:val="00E94DD7"/>
    <w:rsid w:val="00E94E0A"/>
    <w:rsid w:val="00E94E2C"/>
    <w:rsid w:val="00E94E56"/>
    <w:rsid w:val="00E94E75"/>
    <w:rsid w:val="00E9507D"/>
    <w:rsid w:val="00E950A2"/>
    <w:rsid w:val="00E950E7"/>
    <w:rsid w:val="00E950F6"/>
    <w:rsid w:val="00E9519E"/>
    <w:rsid w:val="00E9527B"/>
    <w:rsid w:val="00E952BA"/>
    <w:rsid w:val="00E95328"/>
    <w:rsid w:val="00E95415"/>
    <w:rsid w:val="00E9546F"/>
    <w:rsid w:val="00E955D8"/>
    <w:rsid w:val="00E9561C"/>
    <w:rsid w:val="00E95781"/>
    <w:rsid w:val="00E95863"/>
    <w:rsid w:val="00E958F9"/>
    <w:rsid w:val="00E95903"/>
    <w:rsid w:val="00E9591D"/>
    <w:rsid w:val="00E959D4"/>
    <w:rsid w:val="00E95A45"/>
    <w:rsid w:val="00E95B53"/>
    <w:rsid w:val="00E95B60"/>
    <w:rsid w:val="00E95CC8"/>
    <w:rsid w:val="00E95CE9"/>
    <w:rsid w:val="00E95CEA"/>
    <w:rsid w:val="00E95DDF"/>
    <w:rsid w:val="00E95DF8"/>
    <w:rsid w:val="00E95E56"/>
    <w:rsid w:val="00E95EDB"/>
    <w:rsid w:val="00E96068"/>
    <w:rsid w:val="00E96078"/>
    <w:rsid w:val="00E961AF"/>
    <w:rsid w:val="00E9621F"/>
    <w:rsid w:val="00E96279"/>
    <w:rsid w:val="00E9627E"/>
    <w:rsid w:val="00E963A6"/>
    <w:rsid w:val="00E9643F"/>
    <w:rsid w:val="00E96463"/>
    <w:rsid w:val="00E964A1"/>
    <w:rsid w:val="00E96642"/>
    <w:rsid w:val="00E966C5"/>
    <w:rsid w:val="00E9679F"/>
    <w:rsid w:val="00E96822"/>
    <w:rsid w:val="00E96976"/>
    <w:rsid w:val="00E969A7"/>
    <w:rsid w:val="00E969CD"/>
    <w:rsid w:val="00E969FB"/>
    <w:rsid w:val="00E96A52"/>
    <w:rsid w:val="00E96A7A"/>
    <w:rsid w:val="00E96A82"/>
    <w:rsid w:val="00E96AD2"/>
    <w:rsid w:val="00E96AEA"/>
    <w:rsid w:val="00E96BC3"/>
    <w:rsid w:val="00E96BE3"/>
    <w:rsid w:val="00E96C09"/>
    <w:rsid w:val="00E96C5D"/>
    <w:rsid w:val="00E96C75"/>
    <w:rsid w:val="00E96E51"/>
    <w:rsid w:val="00E96F9A"/>
    <w:rsid w:val="00E96FCF"/>
    <w:rsid w:val="00E97050"/>
    <w:rsid w:val="00E9713C"/>
    <w:rsid w:val="00E971E1"/>
    <w:rsid w:val="00E97266"/>
    <w:rsid w:val="00E9733A"/>
    <w:rsid w:val="00E974E7"/>
    <w:rsid w:val="00E97549"/>
    <w:rsid w:val="00E9768A"/>
    <w:rsid w:val="00E9778D"/>
    <w:rsid w:val="00E97843"/>
    <w:rsid w:val="00E9785E"/>
    <w:rsid w:val="00E978B5"/>
    <w:rsid w:val="00E978E1"/>
    <w:rsid w:val="00E97A48"/>
    <w:rsid w:val="00E97B5C"/>
    <w:rsid w:val="00E97D0D"/>
    <w:rsid w:val="00E97DFC"/>
    <w:rsid w:val="00E97E06"/>
    <w:rsid w:val="00E97E5A"/>
    <w:rsid w:val="00E97EFB"/>
    <w:rsid w:val="00E97FE0"/>
    <w:rsid w:val="00EA00C0"/>
    <w:rsid w:val="00EA0206"/>
    <w:rsid w:val="00EA0211"/>
    <w:rsid w:val="00EA02C7"/>
    <w:rsid w:val="00EA044E"/>
    <w:rsid w:val="00EA04BE"/>
    <w:rsid w:val="00EA05A8"/>
    <w:rsid w:val="00EA05DA"/>
    <w:rsid w:val="00EA05DD"/>
    <w:rsid w:val="00EA063D"/>
    <w:rsid w:val="00EA087A"/>
    <w:rsid w:val="00EA090F"/>
    <w:rsid w:val="00EA0A2C"/>
    <w:rsid w:val="00EA0B38"/>
    <w:rsid w:val="00EA0B83"/>
    <w:rsid w:val="00EA0C0E"/>
    <w:rsid w:val="00EA0DB0"/>
    <w:rsid w:val="00EA0E63"/>
    <w:rsid w:val="00EA0F47"/>
    <w:rsid w:val="00EA0F85"/>
    <w:rsid w:val="00EA0FFD"/>
    <w:rsid w:val="00EA1066"/>
    <w:rsid w:val="00EA115A"/>
    <w:rsid w:val="00EA1316"/>
    <w:rsid w:val="00EA1414"/>
    <w:rsid w:val="00EA1614"/>
    <w:rsid w:val="00EA1665"/>
    <w:rsid w:val="00EA1793"/>
    <w:rsid w:val="00EA183D"/>
    <w:rsid w:val="00EA191D"/>
    <w:rsid w:val="00EA1938"/>
    <w:rsid w:val="00EA1940"/>
    <w:rsid w:val="00EA19E1"/>
    <w:rsid w:val="00EA1A9B"/>
    <w:rsid w:val="00EA1B06"/>
    <w:rsid w:val="00EA1B97"/>
    <w:rsid w:val="00EA1EB6"/>
    <w:rsid w:val="00EA1FD4"/>
    <w:rsid w:val="00EA1FFC"/>
    <w:rsid w:val="00EA209B"/>
    <w:rsid w:val="00EA20AD"/>
    <w:rsid w:val="00EA20C2"/>
    <w:rsid w:val="00EA210F"/>
    <w:rsid w:val="00EA2192"/>
    <w:rsid w:val="00EA21C5"/>
    <w:rsid w:val="00EA2221"/>
    <w:rsid w:val="00EA2266"/>
    <w:rsid w:val="00EA2312"/>
    <w:rsid w:val="00EA23C9"/>
    <w:rsid w:val="00EA23CC"/>
    <w:rsid w:val="00EA2468"/>
    <w:rsid w:val="00EA24E7"/>
    <w:rsid w:val="00EA2881"/>
    <w:rsid w:val="00EA288D"/>
    <w:rsid w:val="00EA28C9"/>
    <w:rsid w:val="00EA29BB"/>
    <w:rsid w:val="00EA2A15"/>
    <w:rsid w:val="00EA2B72"/>
    <w:rsid w:val="00EA2C6E"/>
    <w:rsid w:val="00EA2C7D"/>
    <w:rsid w:val="00EA2F64"/>
    <w:rsid w:val="00EA2FD7"/>
    <w:rsid w:val="00EA3071"/>
    <w:rsid w:val="00EA30B2"/>
    <w:rsid w:val="00EA3115"/>
    <w:rsid w:val="00EA35E9"/>
    <w:rsid w:val="00EA3800"/>
    <w:rsid w:val="00EA38A8"/>
    <w:rsid w:val="00EA38AF"/>
    <w:rsid w:val="00EA38BE"/>
    <w:rsid w:val="00EA3976"/>
    <w:rsid w:val="00EA39B9"/>
    <w:rsid w:val="00EA39FB"/>
    <w:rsid w:val="00EA3A1F"/>
    <w:rsid w:val="00EA3A4F"/>
    <w:rsid w:val="00EA3C3A"/>
    <w:rsid w:val="00EA3CCF"/>
    <w:rsid w:val="00EA3DBA"/>
    <w:rsid w:val="00EA3F71"/>
    <w:rsid w:val="00EA3FA4"/>
    <w:rsid w:val="00EA402A"/>
    <w:rsid w:val="00EA436C"/>
    <w:rsid w:val="00EA43A5"/>
    <w:rsid w:val="00EA454C"/>
    <w:rsid w:val="00EA46F7"/>
    <w:rsid w:val="00EA4761"/>
    <w:rsid w:val="00EA47A3"/>
    <w:rsid w:val="00EA47C9"/>
    <w:rsid w:val="00EA48B6"/>
    <w:rsid w:val="00EA4982"/>
    <w:rsid w:val="00EA4A1B"/>
    <w:rsid w:val="00EA4B23"/>
    <w:rsid w:val="00EA4B29"/>
    <w:rsid w:val="00EA4B95"/>
    <w:rsid w:val="00EA4C79"/>
    <w:rsid w:val="00EA4D21"/>
    <w:rsid w:val="00EA4D9A"/>
    <w:rsid w:val="00EA4E33"/>
    <w:rsid w:val="00EA4E63"/>
    <w:rsid w:val="00EA4E98"/>
    <w:rsid w:val="00EA4EE9"/>
    <w:rsid w:val="00EA4F55"/>
    <w:rsid w:val="00EA4F6D"/>
    <w:rsid w:val="00EA4F78"/>
    <w:rsid w:val="00EA50C5"/>
    <w:rsid w:val="00EA5192"/>
    <w:rsid w:val="00EA523C"/>
    <w:rsid w:val="00EA525B"/>
    <w:rsid w:val="00EA532F"/>
    <w:rsid w:val="00EA53CA"/>
    <w:rsid w:val="00EA5434"/>
    <w:rsid w:val="00EA548C"/>
    <w:rsid w:val="00EA54A4"/>
    <w:rsid w:val="00EA54AC"/>
    <w:rsid w:val="00EA5612"/>
    <w:rsid w:val="00EA5852"/>
    <w:rsid w:val="00EA594C"/>
    <w:rsid w:val="00EA5957"/>
    <w:rsid w:val="00EA59E1"/>
    <w:rsid w:val="00EA5C01"/>
    <w:rsid w:val="00EA5C17"/>
    <w:rsid w:val="00EA5E15"/>
    <w:rsid w:val="00EA5ED1"/>
    <w:rsid w:val="00EA5ED2"/>
    <w:rsid w:val="00EA5FF9"/>
    <w:rsid w:val="00EA6016"/>
    <w:rsid w:val="00EA608B"/>
    <w:rsid w:val="00EA60FB"/>
    <w:rsid w:val="00EA62F1"/>
    <w:rsid w:val="00EA6529"/>
    <w:rsid w:val="00EA657D"/>
    <w:rsid w:val="00EA6642"/>
    <w:rsid w:val="00EA68AC"/>
    <w:rsid w:val="00EA69D0"/>
    <w:rsid w:val="00EA6A25"/>
    <w:rsid w:val="00EA6A8A"/>
    <w:rsid w:val="00EA6AD9"/>
    <w:rsid w:val="00EA6B8A"/>
    <w:rsid w:val="00EA6C73"/>
    <w:rsid w:val="00EA6D44"/>
    <w:rsid w:val="00EA6D70"/>
    <w:rsid w:val="00EA6E9F"/>
    <w:rsid w:val="00EA6F79"/>
    <w:rsid w:val="00EA70D7"/>
    <w:rsid w:val="00EA71BD"/>
    <w:rsid w:val="00EA73B1"/>
    <w:rsid w:val="00EA73F3"/>
    <w:rsid w:val="00EA7406"/>
    <w:rsid w:val="00EA7446"/>
    <w:rsid w:val="00EA7651"/>
    <w:rsid w:val="00EA76A4"/>
    <w:rsid w:val="00EA76A7"/>
    <w:rsid w:val="00EA76AF"/>
    <w:rsid w:val="00EA76DD"/>
    <w:rsid w:val="00EA76E4"/>
    <w:rsid w:val="00EA7761"/>
    <w:rsid w:val="00EA77BA"/>
    <w:rsid w:val="00EA77FB"/>
    <w:rsid w:val="00EA7804"/>
    <w:rsid w:val="00EA7882"/>
    <w:rsid w:val="00EA7883"/>
    <w:rsid w:val="00EA7A0C"/>
    <w:rsid w:val="00EA7A0E"/>
    <w:rsid w:val="00EA7A1F"/>
    <w:rsid w:val="00EA7CB6"/>
    <w:rsid w:val="00EA7CCC"/>
    <w:rsid w:val="00EA7D13"/>
    <w:rsid w:val="00EA7EC1"/>
    <w:rsid w:val="00EB0002"/>
    <w:rsid w:val="00EB0029"/>
    <w:rsid w:val="00EB0054"/>
    <w:rsid w:val="00EB0134"/>
    <w:rsid w:val="00EB0160"/>
    <w:rsid w:val="00EB0201"/>
    <w:rsid w:val="00EB027D"/>
    <w:rsid w:val="00EB035E"/>
    <w:rsid w:val="00EB0397"/>
    <w:rsid w:val="00EB03AD"/>
    <w:rsid w:val="00EB04DA"/>
    <w:rsid w:val="00EB06CA"/>
    <w:rsid w:val="00EB0A8F"/>
    <w:rsid w:val="00EB0B89"/>
    <w:rsid w:val="00EB0BE4"/>
    <w:rsid w:val="00EB0C5C"/>
    <w:rsid w:val="00EB0CF7"/>
    <w:rsid w:val="00EB0E01"/>
    <w:rsid w:val="00EB0ED3"/>
    <w:rsid w:val="00EB0F1A"/>
    <w:rsid w:val="00EB0FFD"/>
    <w:rsid w:val="00EB11C3"/>
    <w:rsid w:val="00EB11C5"/>
    <w:rsid w:val="00EB11EC"/>
    <w:rsid w:val="00EB1200"/>
    <w:rsid w:val="00EB143F"/>
    <w:rsid w:val="00EB14B7"/>
    <w:rsid w:val="00EB157C"/>
    <w:rsid w:val="00EB167B"/>
    <w:rsid w:val="00EB17C9"/>
    <w:rsid w:val="00EB17D6"/>
    <w:rsid w:val="00EB192F"/>
    <w:rsid w:val="00EB199F"/>
    <w:rsid w:val="00EB19AF"/>
    <w:rsid w:val="00EB19C0"/>
    <w:rsid w:val="00EB19D5"/>
    <w:rsid w:val="00EB1A67"/>
    <w:rsid w:val="00EB1AC4"/>
    <w:rsid w:val="00EB1B7E"/>
    <w:rsid w:val="00EB1C26"/>
    <w:rsid w:val="00EB1D3E"/>
    <w:rsid w:val="00EB1D79"/>
    <w:rsid w:val="00EB1D99"/>
    <w:rsid w:val="00EB1FC4"/>
    <w:rsid w:val="00EB23DC"/>
    <w:rsid w:val="00EB2403"/>
    <w:rsid w:val="00EB2531"/>
    <w:rsid w:val="00EB2642"/>
    <w:rsid w:val="00EB26DA"/>
    <w:rsid w:val="00EB28BC"/>
    <w:rsid w:val="00EB291D"/>
    <w:rsid w:val="00EB2961"/>
    <w:rsid w:val="00EB296F"/>
    <w:rsid w:val="00EB2B75"/>
    <w:rsid w:val="00EB2B8F"/>
    <w:rsid w:val="00EB2BB5"/>
    <w:rsid w:val="00EB2D01"/>
    <w:rsid w:val="00EB2D10"/>
    <w:rsid w:val="00EB2D47"/>
    <w:rsid w:val="00EB2DC0"/>
    <w:rsid w:val="00EB2E04"/>
    <w:rsid w:val="00EB2EB4"/>
    <w:rsid w:val="00EB2EDD"/>
    <w:rsid w:val="00EB2F59"/>
    <w:rsid w:val="00EB2F9D"/>
    <w:rsid w:val="00EB309F"/>
    <w:rsid w:val="00EB311A"/>
    <w:rsid w:val="00EB319D"/>
    <w:rsid w:val="00EB31DC"/>
    <w:rsid w:val="00EB32D5"/>
    <w:rsid w:val="00EB3314"/>
    <w:rsid w:val="00EB337A"/>
    <w:rsid w:val="00EB33EF"/>
    <w:rsid w:val="00EB3434"/>
    <w:rsid w:val="00EB3539"/>
    <w:rsid w:val="00EB363E"/>
    <w:rsid w:val="00EB3690"/>
    <w:rsid w:val="00EB3766"/>
    <w:rsid w:val="00EB39BB"/>
    <w:rsid w:val="00EB39CE"/>
    <w:rsid w:val="00EB3B57"/>
    <w:rsid w:val="00EB3C25"/>
    <w:rsid w:val="00EB3C51"/>
    <w:rsid w:val="00EB3C7D"/>
    <w:rsid w:val="00EB3C95"/>
    <w:rsid w:val="00EB3D40"/>
    <w:rsid w:val="00EB3DC7"/>
    <w:rsid w:val="00EB3DDD"/>
    <w:rsid w:val="00EB3FC2"/>
    <w:rsid w:val="00EB3FF6"/>
    <w:rsid w:val="00EB40F5"/>
    <w:rsid w:val="00EB4179"/>
    <w:rsid w:val="00EB425C"/>
    <w:rsid w:val="00EB4260"/>
    <w:rsid w:val="00EB428F"/>
    <w:rsid w:val="00EB43A4"/>
    <w:rsid w:val="00EB43B7"/>
    <w:rsid w:val="00EB4541"/>
    <w:rsid w:val="00EB45AE"/>
    <w:rsid w:val="00EB463B"/>
    <w:rsid w:val="00EB47D4"/>
    <w:rsid w:val="00EB480A"/>
    <w:rsid w:val="00EB48B4"/>
    <w:rsid w:val="00EB48C7"/>
    <w:rsid w:val="00EB4B53"/>
    <w:rsid w:val="00EB4B67"/>
    <w:rsid w:val="00EB4C12"/>
    <w:rsid w:val="00EB4C4F"/>
    <w:rsid w:val="00EB4C55"/>
    <w:rsid w:val="00EB4C85"/>
    <w:rsid w:val="00EB4DCD"/>
    <w:rsid w:val="00EB5172"/>
    <w:rsid w:val="00EB5269"/>
    <w:rsid w:val="00EB529B"/>
    <w:rsid w:val="00EB540A"/>
    <w:rsid w:val="00EB540B"/>
    <w:rsid w:val="00EB5490"/>
    <w:rsid w:val="00EB5839"/>
    <w:rsid w:val="00EB5853"/>
    <w:rsid w:val="00EB58CA"/>
    <w:rsid w:val="00EB5AFB"/>
    <w:rsid w:val="00EB5B18"/>
    <w:rsid w:val="00EB5BA8"/>
    <w:rsid w:val="00EB5C26"/>
    <w:rsid w:val="00EB5C36"/>
    <w:rsid w:val="00EB5C40"/>
    <w:rsid w:val="00EB5C69"/>
    <w:rsid w:val="00EB5D4F"/>
    <w:rsid w:val="00EB5DEB"/>
    <w:rsid w:val="00EB5E0E"/>
    <w:rsid w:val="00EB5F81"/>
    <w:rsid w:val="00EB5F8C"/>
    <w:rsid w:val="00EB5FDD"/>
    <w:rsid w:val="00EB61A6"/>
    <w:rsid w:val="00EB6200"/>
    <w:rsid w:val="00EB6277"/>
    <w:rsid w:val="00EB62E9"/>
    <w:rsid w:val="00EB63A1"/>
    <w:rsid w:val="00EB63DB"/>
    <w:rsid w:val="00EB6473"/>
    <w:rsid w:val="00EB6554"/>
    <w:rsid w:val="00EB655F"/>
    <w:rsid w:val="00EB65FD"/>
    <w:rsid w:val="00EB6701"/>
    <w:rsid w:val="00EB676C"/>
    <w:rsid w:val="00EB6920"/>
    <w:rsid w:val="00EB6A24"/>
    <w:rsid w:val="00EB6A4F"/>
    <w:rsid w:val="00EB6B97"/>
    <w:rsid w:val="00EB6C37"/>
    <w:rsid w:val="00EB6D71"/>
    <w:rsid w:val="00EB6D9E"/>
    <w:rsid w:val="00EB6DB7"/>
    <w:rsid w:val="00EB6DF0"/>
    <w:rsid w:val="00EB6E73"/>
    <w:rsid w:val="00EB70A7"/>
    <w:rsid w:val="00EB70B3"/>
    <w:rsid w:val="00EB7276"/>
    <w:rsid w:val="00EB7485"/>
    <w:rsid w:val="00EB75A9"/>
    <w:rsid w:val="00EB75DC"/>
    <w:rsid w:val="00EB7612"/>
    <w:rsid w:val="00EB761C"/>
    <w:rsid w:val="00EB76A9"/>
    <w:rsid w:val="00EB77FB"/>
    <w:rsid w:val="00EB79B4"/>
    <w:rsid w:val="00EB79B8"/>
    <w:rsid w:val="00EB7A8C"/>
    <w:rsid w:val="00EB7B84"/>
    <w:rsid w:val="00EB7C06"/>
    <w:rsid w:val="00EB7D57"/>
    <w:rsid w:val="00EB7DF8"/>
    <w:rsid w:val="00EB7DFE"/>
    <w:rsid w:val="00EB7E2E"/>
    <w:rsid w:val="00EB7E32"/>
    <w:rsid w:val="00EB7E56"/>
    <w:rsid w:val="00EC0032"/>
    <w:rsid w:val="00EC005F"/>
    <w:rsid w:val="00EC00A2"/>
    <w:rsid w:val="00EC0131"/>
    <w:rsid w:val="00EC05D0"/>
    <w:rsid w:val="00EC05D5"/>
    <w:rsid w:val="00EC061C"/>
    <w:rsid w:val="00EC06B8"/>
    <w:rsid w:val="00EC06F8"/>
    <w:rsid w:val="00EC07A5"/>
    <w:rsid w:val="00EC083F"/>
    <w:rsid w:val="00EC0843"/>
    <w:rsid w:val="00EC087A"/>
    <w:rsid w:val="00EC0A58"/>
    <w:rsid w:val="00EC0A79"/>
    <w:rsid w:val="00EC0AEB"/>
    <w:rsid w:val="00EC0B43"/>
    <w:rsid w:val="00EC0BC9"/>
    <w:rsid w:val="00EC0C7C"/>
    <w:rsid w:val="00EC0CC1"/>
    <w:rsid w:val="00EC0EA1"/>
    <w:rsid w:val="00EC0FC2"/>
    <w:rsid w:val="00EC1015"/>
    <w:rsid w:val="00EC1095"/>
    <w:rsid w:val="00EC1146"/>
    <w:rsid w:val="00EC11FA"/>
    <w:rsid w:val="00EC1215"/>
    <w:rsid w:val="00EC12F9"/>
    <w:rsid w:val="00EC13A0"/>
    <w:rsid w:val="00EC14CC"/>
    <w:rsid w:val="00EC151E"/>
    <w:rsid w:val="00EC157B"/>
    <w:rsid w:val="00EC15DE"/>
    <w:rsid w:val="00EC15EF"/>
    <w:rsid w:val="00EC190C"/>
    <w:rsid w:val="00EC19B0"/>
    <w:rsid w:val="00EC19CA"/>
    <w:rsid w:val="00EC19D5"/>
    <w:rsid w:val="00EC1A23"/>
    <w:rsid w:val="00EC1A27"/>
    <w:rsid w:val="00EC1A59"/>
    <w:rsid w:val="00EC1A95"/>
    <w:rsid w:val="00EC1AB4"/>
    <w:rsid w:val="00EC1ACD"/>
    <w:rsid w:val="00EC1ACE"/>
    <w:rsid w:val="00EC1B4E"/>
    <w:rsid w:val="00EC1C9D"/>
    <w:rsid w:val="00EC1D2C"/>
    <w:rsid w:val="00EC1DAA"/>
    <w:rsid w:val="00EC1F30"/>
    <w:rsid w:val="00EC1F36"/>
    <w:rsid w:val="00EC1F3B"/>
    <w:rsid w:val="00EC1FCC"/>
    <w:rsid w:val="00EC210D"/>
    <w:rsid w:val="00EC2125"/>
    <w:rsid w:val="00EC21FE"/>
    <w:rsid w:val="00EC2306"/>
    <w:rsid w:val="00EC2333"/>
    <w:rsid w:val="00EC24AD"/>
    <w:rsid w:val="00EC276B"/>
    <w:rsid w:val="00EC2841"/>
    <w:rsid w:val="00EC28B4"/>
    <w:rsid w:val="00EC2A23"/>
    <w:rsid w:val="00EC2AB6"/>
    <w:rsid w:val="00EC2AD2"/>
    <w:rsid w:val="00EC2BEA"/>
    <w:rsid w:val="00EC3078"/>
    <w:rsid w:val="00EC3093"/>
    <w:rsid w:val="00EC3161"/>
    <w:rsid w:val="00EC31CC"/>
    <w:rsid w:val="00EC31DE"/>
    <w:rsid w:val="00EC31E0"/>
    <w:rsid w:val="00EC31E4"/>
    <w:rsid w:val="00EC321C"/>
    <w:rsid w:val="00EC323F"/>
    <w:rsid w:val="00EC3332"/>
    <w:rsid w:val="00EC34D5"/>
    <w:rsid w:val="00EC37A0"/>
    <w:rsid w:val="00EC37B5"/>
    <w:rsid w:val="00EC37C0"/>
    <w:rsid w:val="00EC3A1C"/>
    <w:rsid w:val="00EC3A4D"/>
    <w:rsid w:val="00EC3A7E"/>
    <w:rsid w:val="00EC3B1F"/>
    <w:rsid w:val="00EC3B25"/>
    <w:rsid w:val="00EC3CBC"/>
    <w:rsid w:val="00EC3CC8"/>
    <w:rsid w:val="00EC3F8A"/>
    <w:rsid w:val="00EC3FBC"/>
    <w:rsid w:val="00EC403C"/>
    <w:rsid w:val="00EC41E4"/>
    <w:rsid w:val="00EC42AA"/>
    <w:rsid w:val="00EC430A"/>
    <w:rsid w:val="00EC4326"/>
    <w:rsid w:val="00EC4385"/>
    <w:rsid w:val="00EC4401"/>
    <w:rsid w:val="00EC4466"/>
    <w:rsid w:val="00EC4526"/>
    <w:rsid w:val="00EC4554"/>
    <w:rsid w:val="00EC459D"/>
    <w:rsid w:val="00EC45ED"/>
    <w:rsid w:val="00EC4631"/>
    <w:rsid w:val="00EC466B"/>
    <w:rsid w:val="00EC4775"/>
    <w:rsid w:val="00EC49C6"/>
    <w:rsid w:val="00EC4A5B"/>
    <w:rsid w:val="00EC4C06"/>
    <w:rsid w:val="00EC4ED9"/>
    <w:rsid w:val="00EC5038"/>
    <w:rsid w:val="00EC5072"/>
    <w:rsid w:val="00EC50BF"/>
    <w:rsid w:val="00EC53D4"/>
    <w:rsid w:val="00EC5470"/>
    <w:rsid w:val="00EC55ED"/>
    <w:rsid w:val="00EC567C"/>
    <w:rsid w:val="00EC5845"/>
    <w:rsid w:val="00EC585B"/>
    <w:rsid w:val="00EC58C8"/>
    <w:rsid w:val="00EC592D"/>
    <w:rsid w:val="00EC5947"/>
    <w:rsid w:val="00EC5979"/>
    <w:rsid w:val="00EC5B9B"/>
    <w:rsid w:val="00EC5BE5"/>
    <w:rsid w:val="00EC5C24"/>
    <w:rsid w:val="00EC5D01"/>
    <w:rsid w:val="00EC5D36"/>
    <w:rsid w:val="00EC5D55"/>
    <w:rsid w:val="00EC5F4F"/>
    <w:rsid w:val="00EC5FC5"/>
    <w:rsid w:val="00EC60DE"/>
    <w:rsid w:val="00EC60FA"/>
    <w:rsid w:val="00EC620A"/>
    <w:rsid w:val="00EC6223"/>
    <w:rsid w:val="00EC624E"/>
    <w:rsid w:val="00EC62C7"/>
    <w:rsid w:val="00EC633E"/>
    <w:rsid w:val="00EC63B3"/>
    <w:rsid w:val="00EC65B3"/>
    <w:rsid w:val="00EC6627"/>
    <w:rsid w:val="00EC6881"/>
    <w:rsid w:val="00EC68B1"/>
    <w:rsid w:val="00EC6A67"/>
    <w:rsid w:val="00EC6B8F"/>
    <w:rsid w:val="00EC6D15"/>
    <w:rsid w:val="00EC6E45"/>
    <w:rsid w:val="00EC6E71"/>
    <w:rsid w:val="00EC6EAD"/>
    <w:rsid w:val="00EC6ECC"/>
    <w:rsid w:val="00EC6F1F"/>
    <w:rsid w:val="00EC6F2F"/>
    <w:rsid w:val="00EC700E"/>
    <w:rsid w:val="00EC7036"/>
    <w:rsid w:val="00EC7041"/>
    <w:rsid w:val="00EC704C"/>
    <w:rsid w:val="00EC70AF"/>
    <w:rsid w:val="00EC7178"/>
    <w:rsid w:val="00EC743E"/>
    <w:rsid w:val="00EC7512"/>
    <w:rsid w:val="00EC7687"/>
    <w:rsid w:val="00EC7783"/>
    <w:rsid w:val="00EC7928"/>
    <w:rsid w:val="00EC7A60"/>
    <w:rsid w:val="00EC7C03"/>
    <w:rsid w:val="00EC7C19"/>
    <w:rsid w:val="00EC7C96"/>
    <w:rsid w:val="00EC7E0B"/>
    <w:rsid w:val="00EC7E6C"/>
    <w:rsid w:val="00EC7EA8"/>
    <w:rsid w:val="00EC7F79"/>
    <w:rsid w:val="00ED0003"/>
    <w:rsid w:val="00ED0102"/>
    <w:rsid w:val="00ED019B"/>
    <w:rsid w:val="00ED01E9"/>
    <w:rsid w:val="00ED021D"/>
    <w:rsid w:val="00ED0556"/>
    <w:rsid w:val="00ED0581"/>
    <w:rsid w:val="00ED06DC"/>
    <w:rsid w:val="00ED0807"/>
    <w:rsid w:val="00ED0857"/>
    <w:rsid w:val="00ED0A5E"/>
    <w:rsid w:val="00ED0A93"/>
    <w:rsid w:val="00ED0ACC"/>
    <w:rsid w:val="00ED0D58"/>
    <w:rsid w:val="00ED0E98"/>
    <w:rsid w:val="00ED0F5C"/>
    <w:rsid w:val="00ED0FA7"/>
    <w:rsid w:val="00ED1016"/>
    <w:rsid w:val="00ED10F6"/>
    <w:rsid w:val="00ED11F9"/>
    <w:rsid w:val="00ED1357"/>
    <w:rsid w:val="00ED14BC"/>
    <w:rsid w:val="00ED14FD"/>
    <w:rsid w:val="00ED1562"/>
    <w:rsid w:val="00ED157A"/>
    <w:rsid w:val="00ED15A2"/>
    <w:rsid w:val="00ED1632"/>
    <w:rsid w:val="00ED1658"/>
    <w:rsid w:val="00ED16AC"/>
    <w:rsid w:val="00ED16EF"/>
    <w:rsid w:val="00ED17E9"/>
    <w:rsid w:val="00ED18CE"/>
    <w:rsid w:val="00ED18E3"/>
    <w:rsid w:val="00ED1972"/>
    <w:rsid w:val="00ED198C"/>
    <w:rsid w:val="00ED19C9"/>
    <w:rsid w:val="00ED19E4"/>
    <w:rsid w:val="00ED1A1C"/>
    <w:rsid w:val="00ED1A37"/>
    <w:rsid w:val="00ED1A8F"/>
    <w:rsid w:val="00ED1B02"/>
    <w:rsid w:val="00ED1B0A"/>
    <w:rsid w:val="00ED1C56"/>
    <w:rsid w:val="00ED1E10"/>
    <w:rsid w:val="00ED1E63"/>
    <w:rsid w:val="00ED204B"/>
    <w:rsid w:val="00ED2076"/>
    <w:rsid w:val="00ED20AD"/>
    <w:rsid w:val="00ED20CD"/>
    <w:rsid w:val="00ED221A"/>
    <w:rsid w:val="00ED2237"/>
    <w:rsid w:val="00ED233D"/>
    <w:rsid w:val="00ED2346"/>
    <w:rsid w:val="00ED2493"/>
    <w:rsid w:val="00ED24E7"/>
    <w:rsid w:val="00ED24E9"/>
    <w:rsid w:val="00ED26FA"/>
    <w:rsid w:val="00ED27A0"/>
    <w:rsid w:val="00ED28E5"/>
    <w:rsid w:val="00ED28FC"/>
    <w:rsid w:val="00ED2956"/>
    <w:rsid w:val="00ED299B"/>
    <w:rsid w:val="00ED29F1"/>
    <w:rsid w:val="00ED2ADB"/>
    <w:rsid w:val="00ED2B61"/>
    <w:rsid w:val="00ED2B6D"/>
    <w:rsid w:val="00ED2C71"/>
    <w:rsid w:val="00ED2F72"/>
    <w:rsid w:val="00ED30C6"/>
    <w:rsid w:val="00ED318E"/>
    <w:rsid w:val="00ED33B8"/>
    <w:rsid w:val="00ED33F2"/>
    <w:rsid w:val="00ED346A"/>
    <w:rsid w:val="00ED355E"/>
    <w:rsid w:val="00ED3897"/>
    <w:rsid w:val="00ED396D"/>
    <w:rsid w:val="00ED3A45"/>
    <w:rsid w:val="00ED3A72"/>
    <w:rsid w:val="00ED3B53"/>
    <w:rsid w:val="00ED3B91"/>
    <w:rsid w:val="00ED3BCD"/>
    <w:rsid w:val="00ED3D4B"/>
    <w:rsid w:val="00ED3D54"/>
    <w:rsid w:val="00ED3FBD"/>
    <w:rsid w:val="00ED40A9"/>
    <w:rsid w:val="00ED40B0"/>
    <w:rsid w:val="00ED4147"/>
    <w:rsid w:val="00ED4154"/>
    <w:rsid w:val="00ED4197"/>
    <w:rsid w:val="00ED4262"/>
    <w:rsid w:val="00ED433F"/>
    <w:rsid w:val="00ED4527"/>
    <w:rsid w:val="00ED46D0"/>
    <w:rsid w:val="00ED4895"/>
    <w:rsid w:val="00ED49AF"/>
    <w:rsid w:val="00ED49C3"/>
    <w:rsid w:val="00ED49C5"/>
    <w:rsid w:val="00ED4A44"/>
    <w:rsid w:val="00ED4A92"/>
    <w:rsid w:val="00ED4C1E"/>
    <w:rsid w:val="00ED4C3B"/>
    <w:rsid w:val="00ED4C79"/>
    <w:rsid w:val="00ED4DCB"/>
    <w:rsid w:val="00ED4E42"/>
    <w:rsid w:val="00ED4FD4"/>
    <w:rsid w:val="00ED4FDF"/>
    <w:rsid w:val="00ED50F7"/>
    <w:rsid w:val="00ED523E"/>
    <w:rsid w:val="00ED538B"/>
    <w:rsid w:val="00ED53AE"/>
    <w:rsid w:val="00ED5497"/>
    <w:rsid w:val="00ED54FE"/>
    <w:rsid w:val="00ED5696"/>
    <w:rsid w:val="00ED56CE"/>
    <w:rsid w:val="00ED56D7"/>
    <w:rsid w:val="00ED57E8"/>
    <w:rsid w:val="00ED587E"/>
    <w:rsid w:val="00ED58D9"/>
    <w:rsid w:val="00ED59F1"/>
    <w:rsid w:val="00ED5AFF"/>
    <w:rsid w:val="00ED5B3D"/>
    <w:rsid w:val="00ED5BB5"/>
    <w:rsid w:val="00ED5BF6"/>
    <w:rsid w:val="00ED5CA3"/>
    <w:rsid w:val="00ED5FE8"/>
    <w:rsid w:val="00ED623A"/>
    <w:rsid w:val="00ED6267"/>
    <w:rsid w:val="00ED6368"/>
    <w:rsid w:val="00ED6467"/>
    <w:rsid w:val="00ED6498"/>
    <w:rsid w:val="00ED6576"/>
    <w:rsid w:val="00ED659B"/>
    <w:rsid w:val="00ED669D"/>
    <w:rsid w:val="00ED67E9"/>
    <w:rsid w:val="00ED681A"/>
    <w:rsid w:val="00ED6941"/>
    <w:rsid w:val="00ED69A7"/>
    <w:rsid w:val="00ED6A68"/>
    <w:rsid w:val="00ED6BAE"/>
    <w:rsid w:val="00ED6E07"/>
    <w:rsid w:val="00ED6E61"/>
    <w:rsid w:val="00ED6E86"/>
    <w:rsid w:val="00ED6EAC"/>
    <w:rsid w:val="00ED6EB7"/>
    <w:rsid w:val="00ED6FCB"/>
    <w:rsid w:val="00ED6FD6"/>
    <w:rsid w:val="00ED71C8"/>
    <w:rsid w:val="00ED7407"/>
    <w:rsid w:val="00ED7488"/>
    <w:rsid w:val="00ED74A7"/>
    <w:rsid w:val="00ED74CB"/>
    <w:rsid w:val="00ED7633"/>
    <w:rsid w:val="00ED7708"/>
    <w:rsid w:val="00ED7744"/>
    <w:rsid w:val="00ED79DA"/>
    <w:rsid w:val="00ED7A13"/>
    <w:rsid w:val="00ED7B0D"/>
    <w:rsid w:val="00ED7BC2"/>
    <w:rsid w:val="00ED7C35"/>
    <w:rsid w:val="00ED7C48"/>
    <w:rsid w:val="00ED7CFC"/>
    <w:rsid w:val="00ED7E36"/>
    <w:rsid w:val="00ED7F7C"/>
    <w:rsid w:val="00ED7F82"/>
    <w:rsid w:val="00ED7FBD"/>
    <w:rsid w:val="00EE0047"/>
    <w:rsid w:val="00EE00B9"/>
    <w:rsid w:val="00EE00FB"/>
    <w:rsid w:val="00EE020F"/>
    <w:rsid w:val="00EE0272"/>
    <w:rsid w:val="00EE0354"/>
    <w:rsid w:val="00EE03AC"/>
    <w:rsid w:val="00EE04CD"/>
    <w:rsid w:val="00EE0523"/>
    <w:rsid w:val="00EE052B"/>
    <w:rsid w:val="00EE05D3"/>
    <w:rsid w:val="00EE05E5"/>
    <w:rsid w:val="00EE05F9"/>
    <w:rsid w:val="00EE0685"/>
    <w:rsid w:val="00EE0802"/>
    <w:rsid w:val="00EE0881"/>
    <w:rsid w:val="00EE0949"/>
    <w:rsid w:val="00EE0B35"/>
    <w:rsid w:val="00EE0B50"/>
    <w:rsid w:val="00EE0C3A"/>
    <w:rsid w:val="00EE0C76"/>
    <w:rsid w:val="00EE0EB9"/>
    <w:rsid w:val="00EE0F32"/>
    <w:rsid w:val="00EE106D"/>
    <w:rsid w:val="00EE111B"/>
    <w:rsid w:val="00EE1170"/>
    <w:rsid w:val="00EE11F8"/>
    <w:rsid w:val="00EE130D"/>
    <w:rsid w:val="00EE132D"/>
    <w:rsid w:val="00EE13A4"/>
    <w:rsid w:val="00EE13F5"/>
    <w:rsid w:val="00EE1407"/>
    <w:rsid w:val="00EE1425"/>
    <w:rsid w:val="00EE14C3"/>
    <w:rsid w:val="00EE16A0"/>
    <w:rsid w:val="00EE16F7"/>
    <w:rsid w:val="00EE16FF"/>
    <w:rsid w:val="00EE174C"/>
    <w:rsid w:val="00EE1817"/>
    <w:rsid w:val="00EE187F"/>
    <w:rsid w:val="00EE19DD"/>
    <w:rsid w:val="00EE1A34"/>
    <w:rsid w:val="00EE1AA6"/>
    <w:rsid w:val="00EE1B49"/>
    <w:rsid w:val="00EE1B6C"/>
    <w:rsid w:val="00EE1B9D"/>
    <w:rsid w:val="00EE1CA2"/>
    <w:rsid w:val="00EE1D2F"/>
    <w:rsid w:val="00EE1DA1"/>
    <w:rsid w:val="00EE1F23"/>
    <w:rsid w:val="00EE2023"/>
    <w:rsid w:val="00EE2046"/>
    <w:rsid w:val="00EE216B"/>
    <w:rsid w:val="00EE217C"/>
    <w:rsid w:val="00EE229D"/>
    <w:rsid w:val="00EE2360"/>
    <w:rsid w:val="00EE2364"/>
    <w:rsid w:val="00EE24B2"/>
    <w:rsid w:val="00EE25BE"/>
    <w:rsid w:val="00EE2654"/>
    <w:rsid w:val="00EE279D"/>
    <w:rsid w:val="00EE27A9"/>
    <w:rsid w:val="00EE2841"/>
    <w:rsid w:val="00EE2994"/>
    <w:rsid w:val="00EE29B9"/>
    <w:rsid w:val="00EE2B53"/>
    <w:rsid w:val="00EE2BED"/>
    <w:rsid w:val="00EE2C27"/>
    <w:rsid w:val="00EE2C53"/>
    <w:rsid w:val="00EE2CD3"/>
    <w:rsid w:val="00EE2DFE"/>
    <w:rsid w:val="00EE2E02"/>
    <w:rsid w:val="00EE2F1B"/>
    <w:rsid w:val="00EE2F67"/>
    <w:rsid w:val="00EE305E"/>
    <w:rsid w:val="00EE30D9"/>
    <w:rsid w:val="00EE313E"/>
    <w:rsid w:val="00EE3143"/>
    <w:rsid w:val="00EE3189"/>
    <w:rsid w:val="00EE320C"/>
    <w:rsid w:val="00EE337F"/>
    <w:rsid w:val="00EE34F1"/>
    <w:rsid w:val="00EE35EA"/>
    <w:rsid w:val="00EE3677"/>
    <w:rsid w:val="00EE3683"/>
    <w:rsid w:val="00EE36CB"/>
    <w:rsid w:val="00EE36E3"/>
    <w:rsid w:val="00EE36FD"/>
    <w:rsid w:val="00EE370C"/>
    <w:rsid w:val="00EE372F"/>
    <w:rsid w:val="00EE3779"/>
    <w:rsid w:val="00EE37C3"/>
    <w:rsid w:val="00EE3B19"/>
    <w:rsid w:val="00EE3B50"/>
    <w:rsid w:val="00EE3BED"/>
    <w:rsid w:val="00EE3D72"/>
    <w:rsid w:val="00EE3DB6"/>
    <w:rsid w:val="00EE3DFB"/>
    <w:rsid w:val="00EE3F14"/>
    <w:rsid w:val="00EE3F3B"/>
    <w:rsid w:val="00EE3F96"/>
    <w:rsid w:val="00EE4111"/>
    <w:rsid w:val="00EE412D"/>
    <w:rsid w:val="00EE414A"/>
    <w:rsid w:val="00EE416D"/>
    <w:rsid w:val="00EE419A"/>
    <w:rsid w:val="00EE41F5"/>
    <w:rsid w:val="00EE42A3"/>
    <w:rsid w:val="00EE42D2"/>
    <w:rsid w:val="00EE4376"/>
    <w:rsid w:val="00EE439B"/>
    <w:rsid w:val="00EE43D7"/>
    <w:rsid w:val="00EE4468"/>
    <w:rsid w:val="00EE45BA"/>
    <w:rsid w:val="00EE46EC"/>
    <w:rsid w:val="00EE48E1"/>
    <w:rsid w:val="00EE48F3"/>
    <w:rsid w:val="00EE49D9"/>
    <w:rsid w:val="00EE49DB"/>
    <w:rsid w:val="00EE4A35"/>
    <w:rsid w:val="00EE4ABB"/>
    <w:rsid w:val="00EE4B4E"/>
    <w:rsid w:val="00EE4D35"/>
    <w:rsid w:val="00EE4DFC"/>
    <w:rsid w:val="00EE4E86"/>
    <w:rsid w:val="00EE4ED8"/>
    <w:rsid w:val="00EE50B7"/>
    <w:rsid w:val="00EE51AF"/>
    <w:rsid w:val="00EE53A8"/>
    <w:rsid w:val="00EE53E0"/>
    <w:rsid w:val="00EE576C"/>
    <w:rsid w:val="00EE5772"/>
    <w:rsid w:val="00EE58A9"/>
    <w:rsid w:val="00EE5935"/>
    <w:rsid w:val="00EE5981"/>
    <w:rsid w:val="00EE59D0"/>
    <w:rsid w:val="00EE5CA3"/>
    <w:rsid w:val="00EE5CCF"/>
    <w:rsid w:val="00EE5F32"/>
    <w:rsid w:val="00EE5FE3"/>
    <w:rsid w:val="00EE6094"/>
    <w:rsid w:val="00EE613A"/>
    <w:rsid w:val="00EE61ED"/>
    <w:rsid w:val="00EE63CB"/>
    <w:rsid w:val="00EE6414"/>
    <w:rsid w:val="00EE6715"/>
    <w:rsid w:val="00EE672E"/>
    <w:rsid w:val="00EE67B9"/>
    <w:rsid w:val="00EE68C0"/>
    <w:rsid w:val="00EE6956"/>
    <w:rsid w:val="00EE69E5"/>
    <w:rsid w:val="00EE6AB7"/>
    <w:rsid w:val="00EE6BEA"/>
    <w:rsid w:val="00EE6D1B"/>
    <w:rsid w:val="00EE6D82"/>
    <w:rsid w:val="00EE6DA6"/>
    <w:rsid w:val="00EE6DF5"/>
    <w:rsid w:val="00EE6EBB"/>
    <w:rsid w:val="00EE70EA"/>
    <w:rsid w:val="00EE7187"/>
    <w:rsid w:val="00EE725B"/>
    <w:rsid w:val="00EE734A"/>
    <w:rsid w:val="00EE7537"/>
    <w:rsid w:val="00EE75CE"/>
    <w:rsid w:val="00EE7616"/>
    <w:rsid w:val="00EE76DB"/>
    <w:rsid w:val="00EE76FD"/>
    <w:rsid w:val="00EE775A"/>
    <w:rsid w:val="00EE77B5"/>
    <w:rsid w:val="00EE77FE"/>
    <w:rsid w:val="00EE7808"/>
    <w:rsid w:val="00EE7901"/>
    <w:rsid w:val="00EE790E"/>
    <w:rsid w:val="00EE7932"/>
    <w:rsid w:val="00EE7952"/>
    <w:rsid w:val="00EE7B5F"/>
    <w:rsid w:val="00EE7BE6"/>
    <w:rsid w:val="00EE7C02"/>
    <w:rsid w:val="00EE7EA3"/>
    <w:rsid w:val="00EE7EB6"/>
    <w:rsid w:val="00EE7F77"/>
    <w:rsid w:val="00EE7FFE"/>
    <w:rsid w:val="00EF0085"/>
    <w:rsid w:val="00EF035C"/>
    <w:rsid w:val="00EF071D"/>
    <w:rsid w:val="00EF0797"/>
    <w:rsid w:val="00EF0940"/>
    <w:rsid w:val="00EF0B38"/>
    <w:rsid w:val="00EF0C36"/>
    <w:rsid w:val="00EF0D42"/>
    <w:rsid w:val="00EF0EC7"/>
    <w:rsid w:val="00EF1112"/>
    <w:rsid w:val="00EF1114"/>
    <w:rsid w:val="00EF1247"/>
    <w:rsid w:val="00EF13D8"/>
    <w:rsid w:val="00EF142B"/>
    <w:rsid w:val="00EF1540"/>
    <w:rsid w:val="00EF15EF"/>
    <w:rsid w:val="00EF17E3"/>
    <w:rsid w:val="00EF1917"/>
    <w:rsid w:val="00EF1936"/>
    <w:rsid w:val="00EF19F5"/>
    <w:rsid w:val="00EF1B0B"/>
    <w:rsid w:val="00EF1C81"/>
    <w:rsid w:val="00EF1D50"/>
    <w:rsid w:val="00EF1D59"/>
    <w:rsid w:val="00EF1E1A"/>
    <w:rsid w:val="00EF1E1C"/>
    <w:rsid w:val="00EF1E22"/>
    <w:rsid w:val="00EF1FBC"/>
    <w:rsid w:val="00EF2039"/>
    <w:rsid w:val="00EF206E"/>
    <w:rsid w:val="00EF2116"/>
    <w:rsid w:val="00EF21C2"/>
    <w:rsid w:val="00EF2312"/>
    <w:rsid w:val="00EF248A"/>
    <w:rsid w:val="00EF25CA"/>
    <w:rsid w:val="00EF2636"/>
    <w:rsid w:val="00EF26A9"/>
    <w:rsid w:val="00EF296E"/>
    <w:rsid w:val="00EF29C3"/>
    <w:rsid w:val="00EF2A11"/>
    <w:rsid w:val="00EF2A78"/>
    <w:rsid w:val="00EF2AAE"/>
    <w:rsid w:val="00EF2BAD"/>
    <w:rsid w:val="00EF2C24"/>
    <w:rsid w:val="00EF2C5E"/>
    <w:rsid w:val="00EF2CBE"/>
    <w:rsid w:val="00EF2D78"/>
    <w:rsid w:val="00EF2D7C"/>
    <w:rsid w:val="00EF2E2A"/>
    <w:rsid w:val="00EF2EB5"/>
    <w:rsid w:val="00EF308B"/>
    <w:rsid w:val="00EF30F2"/>
    <w:rsid w:val="00EF313C"/>
    <w:rsid w:val="00EF3248"/>
    <w:rsid w:val="00EF328D"/>
    <w:rsid w:val="00EF3293"/>
    <w:rsid w:val="00EF354B"/>
    <w:rsid w:val="00EF3602"/>
    <w:rsid w:val="00EF36E6"/>
    <w:rsid w:val="00EF378C"/>
    <w:rsid w:val="00EF37BF"/>
    <w:rsid w:val="00EF38F7"/>
    <w:rsid w:val="00EF3A12"/>
    <w:rsid w:val="00EF3A90"/>
    <w:rsid w:val="00EF3AE2"/>
    <w:rsid w:val="00EF3B4C"/>
    <w:rsid w:val="00EF3BED"/>
    <w:rsid w:val="00EF3C61"/>
    <w:rsid w:val="00EF3D45"/>
    <w:rsid w:val="00EF3EA3"/>
    <w:rsid w:val="00EF3EFA"/>
    <w:rsid w:val="00EF3FB4"/>
    <w:rsid w:val="00EF4042"/>
    <w:rsid w:val="00EF4084"/>
    <w:rsid w:val="00EF4236"/>
    <w:rsid w:val="00EF42A9"/>
    <w:rsid w:val="00EF42AD"/>
    <w:rsid w:val="00EF42CD"/>
    <w:rsid w:val="00EF436B"/>
    <w:rsid w:val="00EF44A1"/>
    <w:rsid w:val="00EF44A4"/>
    <w:rsid w:val="00EF45FA"/>
    <w:rsid w:val="00EF46B8"/>
    <w:rsid w:val="00EF47A5"/>
    <w:rsid w:val="00EF47D6"/>
    <w:rsid w:val="00EF48E5"/>
    <w:rsid w:val="00EF494F"/>
    <w:rsid w:val="00EF4952"/>
    <w:rsid w:val="00EF499F"/>
    <w:rsid w:val="00EF49DE"/>
    <w:rsid w:val="00EF4B1C"/>
    <w:rsid w:val="00EF4BA2"/>
    <w:rsid w:val="00EF4D7A"/>
    <w:rsid w:val="00EF4DE1"/>
    <w:rsid w:val="00EF4E94"/>
    <w:rsid w:val="00EF5170"/>
    <w:rsid w:val="00EF520F"/>
    <w:rsid w:val="00EF52C3"/>
    <w:rsid w:val="00EF52E8"/>
    <w:rsid w:val="00EF52ED"/>
    <w:rsid w:val="00EF53CC"/>
    <w:rsid w:val="00EF53F8"/>
    <w:rsid w:val="00EF54BD"/>
    <w:rsid w:val="00EF5517"/>
    <w:rsid w:val="00EF556E"/>
    <w:rsid w:val="00EF55AA"/>
    <w:rsid w:val="00EF5726"/>
    <w:rsid w:val="00EF5839"/>
    <w:rsid w:val="00EF58BD"/>
    <w:rsid w:val="00EF5954"/>
    <w:rsid w:val="00EF5956"/>
    <w:rsid w:val="00EF59CF"/>
    <w:rsid w:val="00EF5A8F"/>
    <w:rsid w:val="00EF5A95"/>
    <w:rsid w:val="00EF5AD0"/>
    <w:rsid w:val="00EF5B04"/>
    <w:rsid w:val="00EF5C35"/>
    <w:rsid w:val="00EF5CD0"/>
    <w:rsid w:val="00EF5CD3"/>
    <w:rsid w:val="00EF5D54"/>
    <w:rsid w:val="00EF5FAA"/>
    <w:rsid w:val="00EF60AC"/>
    <w:rsid w:val="00EF60E5"/>
    <w:rsid w:val="00EF6110"/>
    <w:rsid w:val="00EF618D"/>
    <w:rsid w:val="00EF635B"/>
    <w:rsid w:val="00EF6392"/>
    <w:rsid w:val="00EF6555"/>
    <w:rsid w:val="00EF657A"/>
    <w:rsid w:val="00EF6632"/>
    <w:rsid w:val="00EF6806"/>
    <w:rsid w:val="00EF684D"/>
    <w:rsid w:val="00EF691B"/>
    <w:rsid w:val="00EF695E"/>
    <w:rsid w:val="00EF69BC"/>
    <w:rsid w:val="00EF69D9"/>
    <w:rsid w:val="00EF6A9D"/>
    <w:rsid w:val="00EF6B4C"/>
    <w:rsid w:val="00EF6BD9"/>
    <w:rsid w:val="00EF6CE4"/>
    <w:rsid w:val="00EF6CFF"/>
    <w:rsid w:val="00EF6D5B"/>
    <w:rsid w:val="00EF6D86"/>
    <w:rsid w:val="00EF6DC2"/>
    <w:rsid w:val="00EF6E9E"/>
    <w:rsid w:val="00EF6EF7"/>
    <w:rsid w:val="00EF70E8"/>
    <w:rsid w:val="00EF7188"/>
    <w:rsid w:val="00EF7304"/>
    <w:rsid w:val="00EF74B9"/>
    <w:rsid w:val="00EF74E5"/>
    <w:rsid w:val="00EF75D8"/>
    <w:rsid w:val="00EF7681"/>
    <w:rsid w:val="00EF769E"/>
    <w:rsid w:val="00EF76A4"/>
    <w:rsid w:val="00EF76D2"/>
    <w:rsid w:val="00EF77C2"/>
    <w:rsid w:val="00EF7850"/>
    <w:rsid w:val="00EF78CF"/>
    <w:rsid w:val="00EF7A21"/>
    <w:rsid w:val="00EF7B41"/>
    <w:rsid w:val="00EF7B50"/>
    <w:rsid w:val="00EF7C2B"/>
    <w:rsid w:val="00EF7DC4"/>
    <w:rsid w:val="00EF7DEA"/>
    <w:rsid w:val="00EF7E05"/>
    <w:rsid w:val="00EF7E07"/>
    <w:rsid w:val="00EF7EF7"/>
    <w:rsid w:val="00EF7F62"/>
    <w:rsid w:val="00EF7F89"/>
    <w:rsid w:val="00F00020"/>
    <w:rsid w:val="00F00202"/>
    <w:rsid w:val="00F002C3"/>
    <w:rsid w:val="00F00515"/>
    <w:rsid w:val="00F00762"/>
    <w:rsid w:val="00F007BC"/>
    <w:rsid w:val="00F007BE"/>
    <w:rsid w:val="00F007CE"/>
    <w:rsid w:val="00F0083C"/>
    <w:rsid w:val="00F00998"/>
    <w:rsid w:val="00F00AC1"/>
    <w:rsid w:val="00F00B11"/>
    <w:rsid w:val="00F00C7B"/>
    <w:rsid w:val="00F00CA5"/>
    <w:rsid w:val="00F00CFD"/>
    <w:rsid w:val="00F00E45"/>
    <w:rsid w:val="00F00E53"/>
    <w:rsid w:val="00F00EBA"/>
    <w:rsid w:val="00F00F83"/>
    <w:rsid w:val="00F010BC"/>
    <w:rsid w:val="00F01148"/>
    <w:rsid w:val="00F011F1"/>
    <w:rsid w:val="00F0154F"/>
    <w:rsid w:val="00F01694"/>
    <w:rsid w:val="00F01770"/>
    <w:rsid w:val="00F01778"/>
    <w:rsid w:val="00F01864"/>
    <w:rsid w:val="00F019AE"/>
    <w:rsid w:val="00F019D6"/>
    <w:rsid w:val="00F019DB"/>
    <w:rsid w:val="00F01A65"/>
    <w:rsid w:val="00F01AC6"/>
    <w:rsid w:val="00F01C9A"/>
    <w:rsid w:val="00F01CA5"/>
    <w:rsid w:val="00F01CCD"/>
    <w:rsid w:val="00F01D2B"/>
    <w:rsid w:val="00F01DD4"/>
    <w:rsid w:val="00F01E38"/>
    <w:rsid w:val="00F01E39"/>
    <w:rsid w:val="00F02068"/>
    <w:rsid w:val="00F020D3"/>
    <w:rsid w:val="00F021C1"/>
    <w:rsid w:val="00F021D7"/>
    <w:rsid w:val="00F02394"/>
    <w:rsid w:val="00F023C6"/>
    <w:rsid w:val="00F02688"/>
    <w:rsid w:val="00F026A9"/>
    <w:rsid w:val="00F027E8"/>
    <w:rsid w:val="00F02859"/>
    <w:rsid w:val="00F028A7"/>
    <w:rsid w:val="00F02958"/>
    <w:rsid w:val="00F029E9"/>
    <w:rsid w:val="00F02A5A"/>
    <w:rsid w:val="00F02BC1"/>
    <w:rsid w:val="00F02C82"/>
    <w:rsid w:val="00F02CEF"/>
    <w:rsid w:val="00F02D0C"/>
    <w:rsid w:val="00F02DD8"/>
    <w:rsid w:val="00F02E26"/>
    <w:rsid w:val="00F02E84"/>
    <w:rsid w:val="00F02F99"/>
    <w:rsid w:val="00F02FBD"/>
    <w:rsid w:val="00F02FC7"/>
    <w:rsid w:val="00F030B1"/>
    <w:rsid w:val="00F03250"/>
    <w:rsid w:val="00F0336E"/>
    <w:rsid w:val="00F035D5"/>
    <w:rsid w:val="00F035E3"/>
    <w:rsid w:val="00F03653"/>
    <w:rsid w:val="00F03719"/>
    <w:rsid w:val="00F037B0"/>
    <w:rsid w:val="00F037E8"/>
    <w:rsid w:val="00F038A5"/>
    <w:rsid w:val="00F03948"/>
    <w:rsid w:val="00F039C5"/>
    <w:rsid w:val="00F039FA"/>
    <w:rsid w:val="00F03A06"/>
    <w:rsid w:val="00F03AB5"/>
    <w:rsid w:val="00F03E6C"/>
    <w:rsid w:val="00F03EC4"/>
    <w:rsid w:val="00F03F82"/>
    <w:rsid w:val="00F04004"/>
    <w:rsid w:val="00F04082"/>
    <w:rsid w:val="00F040C5"/>
    <w:rsid w:val="00F04278"/>
    <w:rsid w:val="00F04393"/>
    <w:rsid w:val="00F04402"/>
    <w:rsid w:val="00F045AC"/>
    <w:rsid w:val="00F045E4"/>
    <w:rsid w:val="00F04695"/>
    <w:rsid w:val="00F046E9"/>
    <w:rsid w:val="00F04741"/>
    <w:rsid w:val="00F047EA"/>
    <w:rsid w:val="00F04885"/>
    <w:rsid w:val="00F04916"/>
    <w:rsid w:val="00F049AB"/>
    <w:rsid w:val="00F04A28"/>
    <w:rsid w:val="00F04B0A"/>
    <w:rsid w:val="00F04BCE"/>
    <w:rsid w:val="00F04C6D"/>
    <w:rsid w:val="00F04E68"/>
    <w:rsid w:val="00F04E8B"/>
    <w:rsid w:val="00F04EA4"/>
    <w:rsid w:val="00F04F0B"/>
    <w:rsid w:val="00F04FE3"/>
    <w:rsid w:val="00F05011"/>
    <w:rsid w:val="00F053BE"/>
    <w:rsid w:val="00F053C9"/>
    <w:rsid w:val="00F05533"/>
    <w:rsid w:val="00F05553"/>
    <w:rsid w:val="00F0557D"/>
    <w:rsid w:val="00F0557E"/>
    <w:rsid w:val="00F055E0"/>
    <w:rsid w:val="00F05710"/>
    <w:rsid w:val="00F057BC"/>
    <w:rsid w:val="00F0593A"/>
    <w:rsid w:val="00F05956"/>
    <w:rsid w:val="00F05BC9"/>
    <w:rsid w:val="00F05C99"/>
    <w:rsid w:val="00F05D0F"/>
    <w:rsid w:val="00F05D56"/>
    <w:rsid w:val="00F05E32"/>
    <w:rsid w:val="00F05F2C"/>
    <w:rsid w:val="00F05FF6"/>
    <w:rsid w:val="00F06070"/>
    <w:rsid w:val="00F061FD"/>
    <w:rsid w:val="00F06296"/>
    <w:rsid w:val="00F062E7"/>
    <w:rsid w:val="00F062F1"/>
    <w:rsid w:val="00F0632B"/>
    <w:rsid w:val="00F0634E"/>
    <w:rsid w:val="00F0647F"/>
    <w:rsid w:val="00F06510"/>
    <w:rsid w:val="00F0668B"/>
    <w:rsid w:val="00F068AE"/>
    <w:rsid w:val="00F068F0"/>
    <w:rsid w:val="00F06909"/>
    <w:rsid w:val="00F06A49"/>
    <w:rsid w:val="00F06AFB"/>
    <w:rsid w:val="00F06B34"/>
    <w:rsid w:val="00F06B96"/>
    <w:rsid w:val="00F06C6D"/>
    <w:rsid w:val="00F06CB0"/>
    <w:rsid w:val="00F06CC7"/>
    <w:rsid w:val="00F06D04"/>
    <w:rsid w:val="00F06D50"/>
    <w:rsid w:val="00F06D55"/>
    <w:rsid w:val="00F06DC8"/>
    <w:rsid w:val="00F06DF4"/>
    <w:rsid w:val="00F06DF8"/>
    <w:rsid w:val="00F06E25"/>
    <w:rsid w:val="00F06E55"/>
    <w:rsid w:val="00F06E5A"/>
    <w:rsid w:val="00F06ED6"/>
    <w:rsid w:val="00F07014"/>
    <w:rsid w:val="00F070A5"/>
    <w:rsid w:val="00F070BC"/>
    <w:rsid w:val="00F070C1"/>
    <w:rsid w:val="00F070E2"/>
    <w:rsid w:val="00F070EF"/>
    <w:rsid w:val="00F0735C"/>
    <w:rsid w:val="00F07385"/>
    <w:rsid w:val="00F073D7"/>
    <w:rsid w:val="00F07407"/>
    <w:rsid w:val="00F0788B"/>
    <w:rsid w:val="00F07956"/>
    <w:rsid w:val="00F07BAB"/>
    <w:rsid w:val="00F07C44"/>
    <w:rsid w:val="00F07CE7"/>
    <w:rsid w:val="00F07D0B"/>
    <w:rsid w:val="00F1004C"/>
    <w:rsid w:val="00F10080"/>
    <w:rsid w:val="00F1012B"/>
    <w:rsid w:val="00F10177"/>
    <w:rsid w:val="00F10182"/>
    <w:rsid w:val="00F10196"/>
    <w:rsid w:val="00F102D5"/>
    <w:rsid w:val="00F105B4"/>
    <w:rsid w:val="00F105CF"/>
    <w:rsid w:val="00F1063F"/>
    <w:rsid w:val="00F10788"/>
    <w:rsid w:val="00F10790"/>
    <w:rsid w:val="00F107AE"/>
    <w:rsid w:val="00F10834"/>
    <w:rsid w:val="00F1091F"/>
    <w:rsid w:val="00F10AE1"/>
    <w:rsid w:val="00F10AE3"/>
    <w:rsid w:val="00F10C7B"/>
    <w:rsid w:val="00F10CD0"/>
    <w:rsid w:val="00F10D61"/>
    <w:rsid w:val="00F10D78"/>
    <w:rsid w:val="00F10E75"/>
    <w:rsid w:val="00F10EF3"/>
    <w:rsid w:val="00F10F1C"/>
    <w:rsid w:val="00F11004"/>
    <w:rsid w:val="00F11349"/>
    <w:rsid w:val="00F113DC"/>
    <w:rsid w:val="00F11472"/>
    <w:rsid w:val="00F114D1"/>
    <w:rsid w:val="00F115F2"/>
    <w:rsid w:val="00F11707"/>
    <w:rsid w:val="00F1175E"/>
    <w:rsid w:val="00F118A3"/>
    <w:rsid w:val="00F11947"/>
    <w:rsid w:val="00F119CD"/>
    <w:rsid w:val="00F11A57"/>
    <w:rsid w:val="00F11B52"/>
    <w:rsid w:val="00F11BBE"/>
    <w:rsid w:val="00F11BEC"/>
    <w:rsid w:val="00F11C21"/>
    <w:rsid w:val="00F11C4F"/>
    <w:rsid w:val="00F11CE4"/>
    <w:rsid w:val="00F11DB7"/>
    <w:rsid w:val="00F11DDB"/>
    <w:rsid w:val="00F11DEF"/>
    <w:rsid w:val="00F11E4F"/>
    <w:rsid w:val="00F11EEE"/>
    <w:rsid w:val="00F11F8D"/>
    <w:rsid w:val="00F1219F"/>
    <w:rsid w:val="00F12242"/>
    <w:rsid w:val="00F1225F"/>
    <w:rsid w:val="00F122B6"/>
    <w:rsid w:val="00F12301"/>
    <w:rsid w:val="00F12383"/>
    <w:rsid w:val="00F12423"/>
    <w:rsid w:val="00F12593"/>
    <w:rsid w:val="00F125B6"/>
    <w:rsid w:val="00F1262F"/>
    <w:rsid w:val="00F12711"/>
    <w:rsid w:val="00F12807"/>
    <w:rsid w:val="00F1286B"/>
    <w:rsid w:val="00F1297D"/>
    <w:rsid w:val="00F12A14"/>
    <w:rsid w:val="00F12A21"/>
    <w:rsid w:val="00F12AF9"/>
    <w:rsid w:val="00F12B41"/>
    <w:rsid w:val="00F12B4C"/>
    <w:rsid w:val="00F12B68"/>
    <w:rsid w:val="00F12BE0"/>
    <w:rsid w:val="00F12C45"/>
    <w:rsid w:val="00F12EA6"/>
    <w:rsid w:val="00F12EFF"/>
    <w:rsid w:val="00F12F62"/>
    <w:rsid w:val="00F12F8B"/>
    <w:rsid w:val="00F132B8"/>
    <w:rsid w:val="00F13386"/>
    <w:rsid w:val="00F13431"/>
    <w:rsid w:val="00F134DE"/>
    <w:rsid w:val="00F135E8"/>
    <w:rsid w:val="00F136F8"/>
    <w:rsid w:val="00F13803"/>
    <w:rsid w:val="00F13810"/>
    <w:rsid w:val="00F1386A"/>
    <w:rsid w:val="00F1398B"/>
    <w:rsid w:val="00F13A26"/>
    <w:rsid w:val="00F13A9F"/>
    <w:rsid w:val="00F13B59"/>
    <w:rsid w:val="00F13BDA"/>
    <w:rsid w:val="00F13F33"/>
    <w:rsid w:val="00F13F79"/>
    <w:rsid w:val="00F13FAE"/>
    <w:rsid w:val="00F1400D"/>
    <w:rsid w:val="00F141E5"/>
    <w:rsid w:val="00F14200"/>
    <w:rsid w:val="00F14274"/>
    <w:rsid w:val="00F1432C"/>
    <w:rsid w:val="00F1443E"/>
    <w:rsid w:val="00F144CC"/>
    <w:rsid w:val="00F14560"/>
    <w:rsid w:val="00F14584"/>
    <w:rsid w:val="00F14644"/>
    <w:rsid w:val="00F14742"/>
    <w:rsid w:val="00F14811"/>
    <w:rsid w:val="00F148A7"/>
    <w:rsid w:val="00F148F2"/>
    <w:rsid w:val="00F14A2C"/>
    <w:rsid w:val="00F14AC5"/>
    <w:rsid w:val="00F14B4B"/>
    <w:rsid w:val="00F14C57"/>
    <w:rsid w:val="00F14D04"/>
    <w:rsid w:val="00F14E96"/>
    <w:rsid w:val="00F14FD1"/>
    <w:rsid w:val="00F1500C"/>
    <w:rsid w:val="00F1513F"/>
    <w:rsid w:val="00F152AB"/>
    <w:rsid w:val="00F152AD"/>
    <w:rsid w:val="00F153A8"/>
    <w:rsid w:val="00F153C5"/>
    <w:rsid w:val="00F15419"/>
    <w:rsid w:val="00F154B7"/>
    <w:rsid w:val="00F154DC"/>
    <w:rsid w:val="00F15622"/>
    <w:rsid w:val="00F156AF"/>
    <w:rsid w:val="00F156CE"/>
    <w:rsid w:val="00F156F1"/>
    <w:rsid w:val="00F156F6"/>
    <w:rsid w:val="00F15774"/>
    <w:rsid w:val="00F1578E"/>
    <w:rsid w:val="00F158E4"/>
    <w:rsid w:val="00F159A2"/>
    <w:rsid w:val="00F15A19"/>
    <w:rsid w:val="00F15A66"/>
    <w:rsid w:val="00F15A68"/>
    <w:rsid w:val="00F15B9F"/>
    <w:rsid w:val="00F15C07"/>
    <w:rsid w:val="00F15C1B"/>
    <w:rsid w:val="00F15CC5"/>
    <w:rsid w:val="00F15E3B"/>
    <w:rsid w:val="00F15F0C"/>
    <w:rsid w:val="00F15F81"/>
    <w:rsid w:val="00F160C9"/>
    <w:rsid w:val="00F16135"/>
    <w:rsid w:val="00F161CC"/>
    <w:rsid w:val="00F1623C"/>
    <w:rsid w:val="00F162AF"/>
    <w:rsid w:val="00F162DF"/>
    <w:rsid w:val="00F1632A"/>
    <w:rsid w:val="00F1635D"/>
    <w:rsid w:val="00F166C9"/>
    <w:rsid w:val="00F16966"/>
    <w:rsid w:val="00F1696E"/>
    <w:rsid w:val="00F1698E"/>
    <w:rsid w:val="00F16B32"/>
    <w:rsid w:val="00F16BF2"/>
    <w:rsid w:val="00F16DAA"/>
    <w:rsid w:val="00F16DBF"/>
    <w:rsid w:val="00F16E56"/>
    <w:rsid w:val="00F16E81"/>
    <w:rsid w:val="00F1703A"/>
    <w:rsid w:val="00F17048"/>
    <w:rsid w:val="00F171D2"/>
    <w:rsid w:val="00F171DD"/>
    <w:rsid w:val="00F17235"/>
    <w:rsid w:val="00F17264"/>
    <w:rsid w:val="00F172BC"/>
    <w:rsid w:val="00F17332"/>
    <w:rsid w:val="00F1738B"/>
    <w:rsid w:val="00F173E5"/>
    <w:rsid w:val="00F173E8"/>
    <w:rsid w:val="00F173FC"/>
    <w:rsid w:val="00F174A4"/>
    <w:rsid w:val="00F17500"/>
    <w:rsid w:val="00F1755F"/>
    <w:rsid w:val="00F175F7"/>
    <w:rsid w:val="00F1762D"/>
    <w:rsid w:val="00F1765E"/>
    <w:rsid w:val="00F1784A"/>
    <w:rsid w:val="00F178AE"/>
    <w:rsid w:val="00F178DA"/>
    <w:rsid w:val="00F17ADC"/>
    <w:rsid w:val="00F17B1E"/>
    <w:rsid w:val="00F17BE7"/>
    <w:rsid w:val="00F17E17"/>
    <w:rsid w:val="00F17E6C"/>
    <w:rsid w:val="00F17E7F"/>
    <w:rsid w:val="00F2019C"/>
    <w:rsid w:val="00F201C2"/>
    <w:rsid w:val="00F201F5"/>
    <w:rsid w:val="00F2022D"/>
    <w:rsid w:val="00F202B4"/>
    <w:rsid w:val="00F20390"/>
    <w:rsid w:val="00F20572"/>
    <w:rsid w:val="00F2068C"/>
    <w:rsid w:val="00F208D1"/>
    <w:rsid w:val="00F209DA"/>
    <w:rsid w:val="00F20A7B"/>
    <w:rsid w:val="00F20BAC"/>
    <w:rsid w:val="00F20CA6"/>
    <w:rsid w:val="00F20D0F"/>
    <w:rsid w:val="00F20D9F"/>
    <w:rsid w:val="00F20DE5"/>
    <w:rsid w:val="00F20E11"/>
    <w:rsid w:val="00F20E4D"/>
    <w:rsid w:val="00F20E80"/>
    <w:rsid w:val="00F20FB2"/>
    <w:rsid w:val="00F20FD0"/>
    <w:rsid w:val="00F20FE6"/>
    <w:rsid w:val="00F210CC"/>
    <w:rsid w:val="00F21170"/>
    <w:rsid w:val="00F211AB"/>
    <w:rsid w:val="00F21250"/>
    <w:rsid w:val="00F212DC"/>
    <w:rsid w:val="00F213C5"/>
    <w:rsid w:val="00F214F7"/>
    <w:rsid w:val="00F21614"/>
    <w:rsid w:val="00F217FA"/>
    <w:rsid w:val="00F21853"/>
    <w:rsid w:val="00F21A5C"/>
    <w:rsid w:val="00F21E4F"/>
    <w:rsid w:val="00F21F7F"/>
    <w:rsid w:val="00F2219F"/>
    <w:rsid w:val="00F22207"/>
    <w:rsid w:val="00F2220A"/>
    <w:rsid w:val="00F222A0"/>
    <w:rsid w:val="00F2243C"/>
    <w:rsid w:val="00F2285E"/>
    <w:rsid w:val="00F228A8"/>
    <w:rsid w:val="00F2293B"/>
    <w:rsid w:val="00F229D7"/>
    <w:rsid w:val="00F22A75"/>
    <w:rsid w:val="00F22AC4"/>
    <w:rsid w:val="00F22EB8"/>
    <w:rsid w:val="00F22F4F"/>
    <w:rsid w:val="00F22F74"/>
    <w:rsid w:val="00F2302B"/>
    <w:rsid w:val="00F23048"/>
    <w:rsid w:val="00F23150"/>
    <w:rsid w:val="00F23173"/>
    <w:rsid w:val="00F2318E"/>
    <w:rsid w:val="00F23297"/>
    <w:rsid w:val="00F232E1"/>
    <w:rsid w:val="00F233E3"/>
    <w:rsid w:val="00F233E8"/>
    <w:rsid w:val="00F23405"/>
    <w:rsid w:val="00F2357E"/>
    <w:rsid w:val="00F23696"/>
    <w:rsid w:val="00F23740"/>
    <w:rsid w:val="00F2374E"/>
    <w:rsid w:val="00F23854"/>
    <w:rsid w:val="00F23928"/>
    <w:rsid w:val="00F2394D"/>
    <w:rsid w:val="00F23989"/>
    <w:rsid w:val="00F23B0F"/>
    <w:rsid w:val="00F23C17"/>
    <w:rsid w:val="00F23C3D"/>
    <w:rsid w:val="00F23C44"/>
    <w:rsid w:val="00F23D7C"/>
    <w:rsid w:val="00F23E5E"/>
    <w:rsid w:val="00F23E6C"/>
    <w:rsid w:val="00F23FC4"/>
    <w:rsid w:val="00F23FE5"/>
    <w:rsid w:val="00F2404F"/>
    <w:rsid w:val="00F2408A"/>
    <w:rsid w:val="00F240DA"/>
    <w:rsid w:val="00F24155"/>
    <w:rsid w:val="00F24174"/>
    <w:rsid w:val="00F241AA"/>
    <w:rsid w:val="00F24200"/>
    <w:rsid w:val="00F24279"/>
    <w:rsid w:val="00F2431D"/>
    <w:rsid w:val="00F2439D"/>
    <w:rsid w:val="00F243C8"/>
    <w:rsid w:val="00F24407"/>
    <w:rsid w:val="00F24410"/>
    <w:rsid w:val="00F2450A"/>
    <w:rsid w:val="00F246F6"/>
    <w:rsid w:val="00F2476C"/>
    <w:rsid w:val="00F248FF"/>
    <w:rsid w:val="00F2492E"/>
    <w:rsid w:val="00F2495A"/>
    <w:rsid w:val="00F249EB"/>
    <w:rsid w:val="00F24A6F"/>
    <w:rsid w:val="00F24AF9"/>
    <w:rsid w:val="00F24B4A"/>
    <w:rsid w:val="00F24B8C"/>
    <w:rsid w:val="00F24BC7"/>
    <w:rsid w:val="00F24C67"/>
    <w:rsid w:val="00F24D5D"/>
    <w:rsid w:val="00F24E42"/>
    <w:rsid w:val="00F24EBB"/>
    <w:rsid w:val="00F24EE3"/>
    <w:rsid w:val="00F24F86"/>
    <w:rsid w:val="00F2501A"/>
    <w:rsid w:val="00F25357"/>
    <w:rsid w:val="00F25413"/>
    <w:rsid w:val="00F2544F"/>
    <w:rsid w:val="00F254FE"/>
    <w:rsid w:val="00F25553"/>
    <w:rsid w:val="00F257D6"/>
    <w:rsid w:val="00F25828"/>
    <w:rsid w:val="00F25854"/>
    <w:rsid w:val="00F258A6"/>
    <w:rsid w:val="00F258C7"/>
    <w:rsid w:val="00F25AC5"/>
    <w:rsid w:val="00F25CEE"/>
    <w:rsid w:val="00F25DCC"/>
    <w:rsid w:val="00F25EDD"/>
    <w:rsid w:val="00F25F1A"/>
    <w:rsid w:val="00F26139"/>
    <w:rsid w:val="00F2613A"/>
    <w:rsid w:val="00F2617C"/>
    <w:rsid w:val="00F262E3"/>
    <w:rsid w:val="00F2639D"/>
    <w:rsid w:val="00F263FA"/>
    <w:rsid w:val="00F26557"/>
    <w:rsid w:val="00F2659A"/>
    <w:rsid w:val="00F265A4"/>
    <w:rsid w:val="00F26618"/>
    <w:rsid w:val="00F2667A"/>
    <w:rsid w:val="00F266EE"/>
    <w:rsid w:val="00F267C1"/>
    <w:rsid w:val="00F267FF"/>
    <w:rsid w:val="00F2681C"/>
    <w:rsid w:val="00F26831"/>
    <w:rsid w:val="00F268B6"/>
    <w:rsid w:val="00F268F3"/>
    <w:rsid w:val="00F26A60"/>
    <w:rsid w:val="00F26B36"/>
    <w:rsid w:val="00F26C27"/>
    <w:rsid w:val="00F26C54"/>
    <w:rsid w:val="00F26CBB"/>
    <w:rsid w:val="00F26D25"/>
    <w:rsid w:val="00F26DAE"/>
    <w:rsid w:val="00F26E0E"/>
    <w:rsid w:val="00F26E63"/>
    <w:rsid w:val="00F26EE4"/>
    <w:rsid w:val="00F26F2A"/>
    <w:rsid w:val="00F2704F"/>
    <w:rsid w:val="00F270CC"/>
    <w:rsid w:val="00F271A9"/>
    <w:rsid w:val="00F272B9"/>
    <w:rsid w:val="00F27306"/>
    <w:rsid w:val="00F273C1"/>
    <w:rsid w:val="00F273FE"/>
    <w:rsid w:val="00F27415"/>
    <w:rsid w:val="00F274F6"/>
    <w:rsid w:val="00F27510"/>
    <w:rsid w:val="00F27575"/>
    <w:rsid w:val="00F27577"/>
    <w:rsid w:val="00F277AE"/>
    <w:rsid w:val="00F27875"/>
    <w:rsid w:val="00F279A2"/>
    <w:rsid w:val="00F279E1"/>
    <w:rsid w:val="00F27A2D"/>
    <w:rsid w:val="00F27A48"/>
    <w:rsid w:val="00F27AF9"/>
    <w:rsid w:val="00F27B4B"/>
    <w:rsid w:val="00F27BDE"/>
    <w:rsid w:val="00F27C14"/>
    <w:rsid w:val="00F27E88"/>
    <w:rsid w:val="00F27EBB"/>
    <w:rsid w:val="00F27ED1"/>
    <w:rsid w:val="00F27FF3"/>
    <w:rsid w:val="00F30042"/>
    <w:rsid w:val="00F301C6"/>
    <w:rsid w:val="00F30212"/>
    <w:rsid w:val="00F302BE"/>
    <w:rsid w:val="00F302C6"/>
    <w:rsid w:val="00F302EF"/>
    <w:rsid w:val="00F30365"/>
    <w:rsid w:val="00F3039D"/>
    <w:rsid w:val="00F30444"/>
    <w:rsid w:val="00F3046B"/>
    <w:rsid w:val="00F30513"/>
    <w:rsid w:val="00F3067B"/>
    <w:rsid w:val="00F3074C"/>
    <w:rsid w:val="00F30788"/>
    <w:rsid w:val="00F307CD"/>
    <w:rsid w:val="00F30916"/>
    <w:rsid w:val="00F30996"/>
    <w:rsid w:val="00F309F6"/>
    <w:rsid w:val="00F30BD4"/>
    <w:rsid w:val="00F30BD9"/>
    <w:rsid w:val="00F30C70"/>
    <w:rsid w:val="00F30CFA"/>
    <w:rsid w:val="00F30EB7"/>
    <w:rsid w:val="00F30FDC"/>
    <w:rsid w:val="00F31025"/>
    <w:rsid w:val="00F3105F"/>
    <w:rsid w:val="00F31062"/>
    <w:rsid w:val="00F31215"/>
    <w:rsid w:val="00F3122A"/>
    <w:rsid w:val="00F31231"/>
    <w:rsid w:val="00F3123F"/>
    <w:rsid w:val="00F31303"/>
    <w:rsid w:val="00F314C2"/>
    <w:rsid w:val="00F31503"/>
    <w:rsid w:val="00F31562"/>
    <w:rsid w:val="00F31591"/>
    <w:rsid w:val="00F315EB"/>
    <w:rsid w:val="00F3165C"/>
    <w:rsid w:val="00F31786"/>
    <w:rsid w:val="00F3180D"/>
    <w:rsid w:val="00F3190B"/>
    <w:rsid w:val="00F319DD"/>
    <w:rsid w:val="00F31B47"/>
    <w:rsid w:val="00F31B56"/>
    <w:rsid w:val="00F31C06"/>
    <w:rsid w:val="00F31C0E"/>
    <w:rsid w:val="00F31C1B"/>
    <w:rsid w:val="00F31CA3"/>
    <w:rsid w:val="00F31CB3"/>
    <w:rsid w:val="00F31CE2"/>
    <w:rsid w:val="00F31CE5"/>
    <w:rsid w:val="00F31CF2"/>
    <w:rsid w:val="00F31DCC"/>
    <w:rsid w:val="00F31E11"/>
    <w:rsid w:val="00F31E18"/>
    <w:rsid w:val="00F31E64"/>
    <w:rsid w:val="00F31F7C"/>
    <w:rsid w:val="00F31F82"/>
    <w:rsid w:val="00F32012"/>
    <w:rsid w:val="00F321EE"/>
    <w:rsid w:val="00F3229F"/>
    <w:rsid w:val="00F322E7"/>
    <w:rsid w:val="00F32397"/>
    <w:rsid w:val="00F3257B"/>
    <w:rsid w:val="00F3264E"/>
    <w:rsid w:val="00F32731"/>
    <w:rsid w:val="00F32766"/>
    <w:rsid w:val="00F3279E"/>
    <w:rsid w:val="00F327ED"/>
    <w:rsid w:val="00F32BA1"/>
    <w:rsid w:val="00F32CC5"/>
    <w:rsid w:val="00F32E8A"/>
    <w:rsid w:val="00F33046"/>
    <w:rsid w:val="00F33085"/>
    <w:rsid w:val="00F33162"/>
    <w:rsid w:val="00F33376"/>
    <w:rsid w:val="00F3338F"/>
    <w:rsid w:val="00F334CB"/>
    <w:rsid w:val="00F3354B"/>
    <w:rsid w:val="00F3358F"/>
    <w:rsid w:val="00F33708"/>
    <w:rsid w:val="00F337C6"/>
    <w:rsid w:val="00F3384C"/>
    <w:rsid w:val="00F33A58"/>
    <w:rsid w:val="00F33B2E"/>
    <w:rsid w:val="00F33BBB"/>
    <w:rsid w:val="00F33BFE"/>
    <w:rsid w:val="00F33CAC"/>
    <w:rsid w:val="00F33D00"/>
    <w:rsid w:val="00F33D1C"/>
    <w:rsid w:val="00F33D88"/>
    <w:rsid w:val="00F33DC8"/>
    <w:rsid w:val="00F33EEB"/>
    <w:rsid w:val="00F33EFF"/>
    <w:rsid w:val="00F34269"/>
    <w:rsid w:val="00F342A8"/>
    <w:rsid w:val="00F34350"/>
    <w:rsid w:val="00F34495"/>
    <w:rsid w:val="00F344A8"/>
    <w:rsid w:val="00F345F9"/>
    <w:rsid w:val="00F3468F"/>
    <w:rsid w:val="00F346E7"/>
    <w:rsid w:val="00F34745"/>
    <w:rsid w:val="00F3489F"/>
    <w:rsid w:val="00F34C0E"/>
    <w:rsid w:val="00F34C57"/>
    <w:rsid w:val="00F34C8C"/>
    <w:rsid w:val="00F34DD4"/>
    <w:rsid w:val="00F34DF4"/>
    <w:rsid w:val="00F34F97"/>
    <w:rsid w:val="00F3502D"/>
    <w:rsid w:val="00F35076"/>
    <w:rsid w:val="00F35082"/>
    <w:rsid w:val="00F352B4"/>
    <w:rsid w:val="00F352D2"/>
    <w:rsid w:val="00F353F7"/>
    <w:rsid w:val="00F3551A"/>
    <w:rsid w:val="00F355A9"/>
    <w:rsid w:val="00F3563D"/>
    <w:rsid w:val="00F35718"/>
    <w:rsid w:val="00F35908"/>
    <w:rsid w:val="00F35B22"/>
    <w:rsid w:val="00F35B49"/>
    <w:rsid w:val="00F35B5D"/>
    <w:rsid w:val="00F35C73"/>
    <w:rsid w:val="00F35D53"/>
    <w:rsid w:val="00F35D72"/>
    <w:rsid w:val="00F35D75"/>
    <w:rsid w:val="00F35DF1"/>
    <w:rsid w:val="00F35F4E"/>
    <w:rsid w:val="00F35F69"/>
    <w:rsid w:val="00F3601D"/>
    <w:rsid w:val="00F36120"/>
    <w:rsid w:val="00F3615E"/>
    <w:rsid w:val="00F36276"/>
    <w:rsid w:val="00F3628B"/>
    <w:rsid w:val="00F3629C"/>
    <w:rsid w:val="00F36313"/>
    <w:rsid w:val="00F363DE"/>
    <w:rsid w:val="00F3641B"/>
    <w:rsid w:val="00F364AD"/>
    <w:rsid w:val="00F364E6"/>
    <w:rsid w:val="00F366C3"/>
    <w:rsid w:val="00F36723"/>
    <w:rsid w:val="00F36A7A"/>
    <w:rsid w:val="00F36A9A"/>
    <w:rsid w:val="00F36AD4"/>
    <w:rsid w:val="00F36C4A"/>
    <w:rsid w:val="00F36C54"/>
    <w:rsid w:val="00F36C98"/>
    <w:rsid w:val="00F36CA7"/>
    <w:rsid w:val="00F36CD6"/>
    <w:rsid w:val="00F36D8B"/>
    <w:rsid w:val="00F36D96"/>
    <w:rsid w:val="00F36DFE"/>
    <w:rsid w:val="00F36EB8"/>
    <w:rsid w:val="00F36EF0"/>
    <w:rsid w:val="00F37036"/>
    <w:rsid w:val="00F3706D"/>
    <w:rsid w:val="00F37079"/>
    <w:rsid w:val="00F370A2"/>
    <w:rsid w:val="00F3725F"/>
    <w:rsid w:val="00F37358"/>
    <w:rsid w:val="00F37377"/>
    <w:rsid w:val="00F37429"/>
    <w:rsid w:val="00F3748B"/>
    <w:rsid w:val="00F37700"/>
    <w:rsid w:val="00F377AA"/>
    <w:rsid w:val="00F377C0"/>
    <w:rsid w:val="00F3782E"/>
    <w:rsid w:val="00F378D4"/>
    <w:rsid w:val="00F3791D"/>
    <w:rsid w:val="00F3798B"/>
    <w:rsid w:val="00F379E3"/>
    <w:rsid w:val="00F37A0C"/>
    <w:rsid w:val="00F37A71"/>
    <w:rsid w:val="00F37A81"/>
    <w:rsid w:val="00F37B86"/>
    <w:rsid w:val="00F37B8B"/>
    <w:rsid w:val="00F37BD0"/>
    <w:rsid w:val="00F37CC0"/>
    <w:rsid w:val="00F37E10"/>
    <w:rsid w:val="00F37E5E"/>
    <w:rsid w:val="00F37F25"/>
    <w:rsid w:val="00F40078"/>
    <w:rsid w:val="00F40172"/>
    <w:rsid w:val="00F4033F"/>
    <w:rsid w:val="00F4044C"/>
    <w:rsid w:val="00F4046F"/>
    <w:rsid w:val="00F4054F"/>
    <w:rsid w:val="00F40683"/>
    <w:rsid w:val="00F40711"/>
    <w:rsid w:val="00F407AE"/>
    <w:rsid w:val="00F408A9"/>
    <w:rsid w:val="00F40974"/>
    <w:rsid w:val="00F4097F"/>
    <w:rsid w:val="00F40986"/>
    <w:rsid w:val="00F409F8"/>
    <w:rsid w:val="00F40AF1"/>
    <w:rsid w:val="00F40B40"/>
    <w:rsid w:val="00F40C57"/>
    <w:rsid w:val="00F40CBE"/>
    <w:rsid w:val="00F40EFF"/>
    <w:rsid w:val="00F40FBB"/>
    <w:rsid w:val="00F41088"/>
    <w:rsid w:val="00F41098"/>
    <w:rsid w:val="00F4109E"/>
    <w:rsid w:val="00F41172"/>
    <w:rsid w:val="00F41230"/>
    <w:rsid w:val="00F41261"/>
    <w:rsid w:val="00F41557"/>
    <w:rsid w:val="00F415DD"/>
    <w:rsid w:val="00F41713"/>
    <w:rsid w:val="00F41846"/>
    <w:rsid w:val="00F419A4"/>
    <w:rsid w:val="00F419D9"/>
    <w:rsid w:val="00F41A7A"/>
    <w:rsid w:val="00F41B10"/>
    <w:rsid w:val="00F41BE6"/>
    <w:rsid w:val="00F41F84"/>
    <w:rsid w:val="00F42026"/>
    <w:rsid w:val="00F42032"/>
    <w:rsid w:val="00F42084"/>
    <w:rsid w:val="00F42103"/>
    <w:rsid w:val="00F4213E"/>
    <w:rsid w:val="00F421E0"/>
    <w:rsid w:val="00F422A6"/>
    <w:rsid w:val="00F4236E"/>
    <w:rsid w:val="00F423F4"/>
    <w:rsid w:val="00F42531"/>
    <w:rsid w:val="00F42594"/>
    <w:rsid w:val="00F42708"/>
    <w:rsid w:val="00F42728"/>
    <w:rsid w:val="00F42AD8"/>
    <w:rsid w:val="00F42AEC"/>
    <w:rsid w:val="00F42B3D"/>
    <w:rsid w:val="00F42C0C"/>
    <w:rsid w:val="00F42D75"/>
    <w:rsid w:val="00F42DB0"/>
    <w:rsid w:val="00F42E90"/>
    <w:rsid w:val="00F42E96"/>
    <w:rsid w:val="00F43189"/>
    <w:rsid w:val="00F4329A"/>
    <w:rsid w:val="00F433D0"/>
    <w:rsid w:val="00F43428"/>
    <w:rsid w:val="00F43481"/>
    <w:rsid w:val="00F4351B"/>
    <w:rsid w:val="00F4363B"/>
    <w:rsid w:val="00F436B4"/>
    <w:rsid w:val="00F43809"/>
    <w:rsid w:val="00F438C1"/>
    <w:rsid w:val="00F439BC"/>
    <w:rsid w:val="00F43A84"/>
    <w:rsid w:val="00F43AA5"/>
    <w:rsid w:val="00F43AA6"/>
    <w:rsid w:val="00F43C09"/>
    <w:rsid w:val="00F43C0D"/>
    <w:rsid w:val="00F43C79"/>
    <w:rsid w:val="00F43D14"/>
    <w:rsid w:val="00F43D6B"/>
    <w:rsid w:val="00F43F28"/>
    <w:rsid w:val="00F43F90"/>
    <w:rsid w:val="00F4412C"/>
    <w:rsid w:val="00F44350"/>
    <w:rsid w:val="00F44351"/>
    <w:rsid w:val="00F443CD"/>
    <w:rsid w:val="00F4455D"/>
    <w:rsid w:val="00F4455E"/>
    <w:rsid w:val="00F44603"/>
    <w:rsid w:val="00F446BC"/>
    <w:rsid w:val="00F447CD"/>
    <w:rsid w:val="00F447D7"/>
    <w:rsid w:val="00F4495C"/>
    <w:rsid w:val="00F449F9"/>
    <w:rsid w:val="00F44AE4"/>
    <w:rsid w:val="00F44AE5"/>
    <w:rsid w:val="00F44B81"/>
    <w:rsid w:val="00F44CFE"/>
    <w:rsid w:val="00F44D42"/>
    <w:rsid w:val="00F44D5E"/>
    <w:rsid w:val="00F44E0A"/>
    <w:rsid w:val="00F44E5E"/>
    <w:rsid w:val="00F44EBE"/>
    <w:rsid w:val="00F44F0E"/>
    <w:rsid w:val="00F44FD7"/>
    <w:rsid w:val="00F44FD9"/>
    <w:rsid w:val="00F45037"/>
    <w:rsid w:val="00F450FF"/>
    <w:rsid w:val="00F45118"/>
    <w:rsid w:val="00F4515E"/>
    <w:rsid w:val="00F451C2"/>
    <w:rsid w:val="00F452B3"/>
    <w:rsid w:val="00F45680"/>
    <w:rsid w:val="00F45710"/>
    <w:rsid w:val="00F4579C"/>
    <w:rsid w:val="00F457E5"/>
    <w:rsid w:val="00F45812"/>
    <w:rsid w:val="00F45868"/>
    <w:rsid w:val="00F45963"/>
    <w:rsid w:val="00F45A1E"/>
    <w:rsid w:val="00F45A65"/>
    <w:rsid w:val="00F45A8D"/>
    <w:rsid w:val="00F45AAD"/>
    <w:rsid w:val="00F45C25"/>
    <w:rsid w:val="00F45CB8"/>
    <w:rsid w:val="00F45D99"/>
    <w:rsid w:val="00F45DCA"/>
    <w:rsid w:val="00F45E1E"/>
    <w:rsid w:val="00F45FF9"/>
    <w:rsid w:val="00F460FA"/>
    <w:rsid w:val="00F46126"/>
    <w:rsid w:val="00F4622C"/>
    <w:rsid w:val="00F462A4"/>
    <w:rsid w:val="00F462FF"/>
    <w:rsid w:val="00F46422"/>
    <w:rsid w:val="00F4642C"/>
    <w:rsid w:val="00F4667F"/>
    <w:rsid w:val="00F46756"/>
    <w:rsid w:val="00F468FB"/>
    <w:rsid w:val="00F469FB"/>
    <w:rsid w:val="00F46A0F"/>
    <w:rsid w:val="00F46A32"/>
    <w:rsid w:val="00F46A9B"/>
    <w:rsid w:val="00F46B2C"/>
    <w:rsid w:val="00F46B93"/>
    <w:rsid w:val="00F46D24"/>
    <w:rsid w:val="00F46DF1"/>
    <w:rsid w:val="00F46F40"/>
    <w:rsid w:val="00F47013"/>
    <w:rsid w:val="00F47186"/>
    <w:rsid w:val="00F471E5"/>
    <w:rsid w:val="00F47231"/>
    <w:rsid w:val="00F4725A"/>
    <w:rsid w:val="00F47298"/>
    <w:rsid w:val="00F47317"/>
    <w:rsid w:val="00F475DE"/>
    <w:rsid w:val="00F47621"/>
    <w:rsid w:val="00F476CE"/>
    <w:rsid w:val="00F477A7"/>
    <w:rsid w:val="00F47818"/>
    <w:rsid w:val="00F47942"/>
    <w:rsid w:val="00F47966"/>
    <w:rsid w:val="00F47A6E"/>
    <w:rsid w:val="00F47A71"/>
    <w:rsid w:val="00F47B17"/>
    <w:rsid w:val="00F47C17"/>
    <w:rsid w:val="00F47D5D"/>
    <w:rsid w:val="00F47E0D"/>
    <w:rsid w:val="00F47FA7"/>
    <w:rsid w:val="00F501DB"/>
    <w:rsid w:val="00F503BF"/>
    <w:rsid w:val="00F50676"/>
    <w:rsid w:val="00F5067D"/>
    <w:rsid w:val="00F50680"/>
    <w:rsid w:val="00F50716"/>
    <w:rsid w:val="00F507C7"/>
    <w:rsid w:val="00F5082F"/>
    <w:rsid w:val="00F50A89"/>
    <w:rsid w:val="00F50AE3"/>
    <w:rsid w:val="00F50CB8"/>
    <w:rsid w:val="00F50D1E"/>
    <w:rsid w:val="00F50EE7"/>
    <w:rsid w:val="00F50EEF"/>
    <w:rsid w:val="00F5104E"/>
    <w:rsid w:val="00F51062"/>
    <w:rsid w:val="00F510D1"/>
    <w:rsid w:val="00F510D8"/>
    <w:rsid w:val="00F511EB"/>
    <w:rsid w:val="00F51262"/>
    <w:rsid w:val="00F512C6"/>
    <w:rsid w:val="00F51345"/>
    <w:rsid w:val="00F513A9"/>
    <w:rsid w:val="00F51400"/>
    <w:rsid w:val="00F514D8"/>
    <w:rsid w:val="00F514E4"/>
    <w:rsid w:val="00F5152D"/>
    <w:rsid w:val="00F51530"/>
    <w:rsid w:val="00F51560"/>
    <w:rsid w:val="00F515CB"/>
    <w:rsid w:val="00F515E6"/>
    <w:rsid w:val="00F517A4"/>
    <w:rsid w:val="00F51850"/>
    <w:rsid w:val="00F51871"/>
    <w:rsid w:val="00F51921"/>
    <w:rsid w:val="00F51C3A"/>
    <w:rsid w:val="00F51CE3"/>
    <w:rsid w:val="00F51D54"/>
    <w:rsid w:val="00F51DE1"/>
    <w:rsid w:val="00F51DFA"/>
    <w:rsid w:val="00F51E32"/>
    <w:rsid w:val="00F52040"/>
    <w:rsid w:val="00F52102"/>
    <w:rsid w:val="00F522AA"/>
    <w:rsid w:val="00F52423"/>
    <w:rsid w:val="00F5244A"/>
    <w:rsid w:val="00F524EA"/>
    <w:rsid w:val="00F52514"/>
    <w:rsid w:val="00F526E5"/>
    <w:rsid w:val="00F5280B"/>
    <w:rsid w:val="00F52A01"/>
    <w:rsid w:val="00F52A56"/>
    <w:rsid w:val="00F52B01"/>
    <w:rsid w:val="00F52B5D"/>
    <w:rsid w:val="00F52CC5"/>
    <w:rsid w:val="00F52CC7"/>
    <w:rsid w:val="00F52CDB"/>
    <w:rsid w:val="00F52D36"/>
    <w:rsid w:val="00F52D47"/>
    <w:rsid w:val="00F52D4D"/>
    <w:rsid w:val="00F52DED"/>
    <w:rsid w:val="00F52E63"/>
    <w:rsid w:val="00F52FD1"/>
    <w:rsid w:val="00F5304A"/>
    <w:rsid w:val="00F530F9"/>
    <w:rsid w:val="00F53163"/>
    <w:rsid w:val="00F531F9"/>
    <w:rsid w:val="00F5340A"/>
    <w:rsid w:val="00F53413"/>
    <w:rsid w:val="00F534F0"/>
    <w:rsid w:val="00F5356F"/>
    <w:rsid w:val="00F53834"/>
    <w:rsid w:val="00F53C6A"/>
    <w:rsid w:val="00F53D0D"/>
    <w:rsid w:val="00F53D86"/>
    <w:rsid w:val="00F53D89"/>
    <w:rsid w:val="00F53EB1"/>
    <w:rsid w:val="00F53F15"/>
    <w:rsid w:val="00F53FDA"/>
    <w:rsid w:val="00F54077"/>
    <w:rsid w:val="00F54141"/>
    <w:rsid w:val="00F541D1"/>
    <w:rsid w:val="00F54222"/>
    <w:rsid w:val="00F54312"/>
    <w:rsid w:val="00F54323"/>
    <w:rsid w:val="00F544CB"/>
    <w:rsid w:val="00F544DD"/>
    <w:rsid w:val="00F54594"/>
    <w:rsid w:val="00F547BC"/>
    <w:rsid w:val="00F54845"/>
    <w:rsid w:val="00F54866"/>
    <w:rsid w:val="00F5487A"/>
    <w:rsid w:val="00F54980"/>
    <w:rsid w:val="00F54A59"/>
    <w:rsid w:val="00F54AA7"/>
    <w:rsid w:val="00F54B25"/>
    <w:rsid w:val="00F54C03"/>
    <w:rsid w:val="00F54CFC"/>
    <w:rsid w:val="00F54D15"/>
    <w:rsid w:val="00F54D7C"/>
    <w:rsid w:val="00F54D8E"/>
    <w:rsid w:val="00F54E7D"/>
    <w:rsid w:val="00F54F6B"/>
    <w:rsid w:val="00F550D7"/>
    <w:rsid w:val="00F553C0"/>
    <w:rsid w:val="00F55448"/>
    <w:rsid w:val="00F555B6"/>
    <w:rsid w:val="00F555BF"/>
    <w:rsid w:val="00F555D8"/>
    <w:rsid w:val="00F5568B"/>
    <w:rsid w:val="00F556A7"/>
    <w:rsid w:val="00F5572B"/>
    <w:rsid w:val="00F5581E"/>
    <w:rsid w:val="00F5582D"/>
    <w:rsid w:val="00F558AC"/>
    <w:rsid w:val="00F558C2"/>
    <w:rsid w:val="00F55C18"/>
    <w:rsid w:val="00F55F5A"/>
    <w:rsid w:val="00F55F92"/>
    <w:rsid w:val="00F56130"/>
    <w:rsid w:val="00F56156"/>
    <w:rsid w:val="00F56188"/>
    <w:rsid w:val="00F561D8"/>
    <w:rsid w:val="00F56227"/>
    <w:rsid w:val="00F5626A"/>
    <w:rsid w:val="00F5627A"/>
    <w:rsid w:val="00F56343"/>
    <w:rsid w:val="00F56398"/>
    <w:rsid w:val="00F563A6"/>
    <w:rsid w:val="00F56455"/>
    <w:rsid w:val="00F56568"/>
    <w:rsid w:val="00F5664D"/>
    <w:rsid w:val="00F56708"/>
    <w:rsid w:val="00F567D6"/>
    <w:rsid w:val="00F5680D"/>
    <w:rsid w:val="00F56847"/>
    <w:rsid w:val="00F568DB"/>
    <w:rsid w:val="00F56935"/>
    <w:rsid w:val="00F56A68"/>
    <w:rsid w:val="00F56AB7"/>
    <w:rsid w:val="00F56AE2"/>
    <w:rsid w:val="00F56C0A"/>
    <w:rsid w:val="00F56C24"/>
    <w:rsid w:val="00F56CA1"/>
    <w:rsid w:val="00F56E0E"/>
    <w:rsid w:val="00F56E37"/>
    <w:rsid w:val="00F56FB4"/>
    <w:rsid w:val="00F56FD4"/>
    <w:rsid w:val="00F57035"/>
    <w:rsid w:val="00F570B1"/>
    <w:rsid w:val="00F57237"/>
    <w:rsid w:val="00F5746F"/>
    <w:rsid w:val="00F574A2"/>
    <w:rsid w:val="00F574E9"/>
    <w:rsid w:val="00F57501"/>
    <w:rsid w:val="00F57564"/>
    <w:rsid w:val="00F575A8"/>
    <w:rsid w:val="00F575AD"/>
    <w:rsid w:val="00F575CE"/>
    <w:rsid w:val="00F578A7"/>
    <w:rsid w:val="00F578F2"/>
    <w:rsid w:val="00F57A90"/>
    <w:rsid w:val="00F57D31"/>
    <w:rsid w:val="00F57DC7"/>
    <w:rsid w:val="00F57F2C"/>
    <w:rsid w:val="00F6003F"/>
    <w:rsid w:val="00F60082"/>
    <w:rsid w:val="00F601F0"/>
    <w:rsid w:val="00F6025A"/>
    <w:rsid w:val="00F602A2"/>
    <w:rsid w:val="00F602E5"/>
    <w:rsid w:val="00F60355"/>
    <w:rsid w:val="00F60410"/>
    <w:rsid w:val="00F605DD"/>
    <w:rsid w:val="00F60635"/>
    <w:rsid w:val="00F6071F"/>
    <w:rsid w:val="00F60727"/>
    <w:rsid w:val="00F60731"/>
    <w:rsid w:val="00F60742"/>
    <w:rsid w:val="00F607AA"/>
    <w:rsid w:val="00F60877"/>
    <w:rsid w:val="00F6088D"/>
    <w:rsid w:val="00F60968"/>
    <w:rsid w:val="00F60A25"/>
    <w:rsid w:val="00F60AE7"/>
    <w:rsid w:val="00F60B38"/>
    <w:rsid w:val="00F60B45"/>
    <w:rsid w:val="00F60BFD"/>
    <w:rsid w:val="00F60F18"/>
    <w:rsid w:val="00F60F62"/>
    <w:rsid w:val="00F60F6B"/>
    <w:rsid w:val="00F6100E"/>
    <w:rsid w:val="00F61064"/>
    <w:rsid w:val="00F61091"/>
    <w:rsid w:val="00F610A9"/>
    <w:rsid w:val="00F610F9"/>
    <w:rsid w:val="00F61158"/>
    <w:rsid w:val="00F61168"/>
    <w:rsid w:val="00F611DC"/>
    <w:rsid w:val="00F6127D"/>
    <w:rsid w:val="00F61394"/>
    <w:rsid w:val="00F613A4"/>
    <w:rsid w:val="00F61404"/>
    <w:rsid w:val="00F6163D"/>
    <w:rsid w:val="00F6171D"/>
    <w:rsid w:val="00F6172B"/>
    <w:rsid w:val="00F617A2"/>
    <w:rsid w:val="00F618E7"/>
    <w:rsid w:val="00F6196C"/>
    <w:rsid w:val="00F61B71"/>
    <w:rsid w:val="00F61F20"/>
    <w:rsid w:val="00F61F84"/>
    <w:rsid w:val="00F61FB8"/>
    <w:rsid w:val="00F61FF4"/>
    <w:rsid w:val="00F62018"/>
    <w:rsid w:val="00F6210A"/>
    <w:rsid w:val="00F62148"/>
    <w:rsid w:val="00F623CB"/>
    <w:rsid w:val="00F62422"/>
    <w:rsid w:val="00F6244E"/>
    <w:rsid w:val="00F624ED"/>
    <w:rsid w:val="00F62539"/>
    <w:rsid w:val="00F6254B"/>
    <w:rsid w:val="00F6262F"/>
    <w:rsid w:val="00F627B8"/>
    <w:rsid w:val="00F62909"/>
    <w:rsid w:val="00F62C42"/>
    <w:rsid w:val="00F62D35"/>
    <w:rsid w:val="00F63014"/>
    <w:rsid w:val="00F63075"/>
    <w:rsid w:val="00F63093"/>
    <w:rsid w:val="00F630B6"/>
    <w:rsid w:val="00F630F3"/>
    <w:rsid w:val="00F63232"/>
    <w:rsid w:val="00F634A7"/>
    <w:rsid w:val="00F635AA"/>
    <w:rsid w:val="00F6370A"/>
    <w:rsid w:val="00F6371C"/>
    <w:rsid w:val="00F6389F"/>
    <w:rsid w:val="00F6392C"/>
    <w:rsid w:val="00F63948"/>
    <w:rsid w:val="00F6396E"/>
    <w:rsid w:val="00F6398D"/>
    <w:rsid w:val="00F63999"/>
    <w:rsid w:val="00F6399F"/>
    <w:rsid w:val="00F63A72"/>
    <w:rsid w:val="00F63AC8"/>
    <w:rsid w:val="00F63BE5"/>
    <w:rsid w:val="00F63C13"/>
    <w:rsid w:val="00F63CE3"/>
    <w:rsid w:val="00F63D76"/>
    <w:rsid w:val="00F63E0C"/>
    <w:rsid w:val="00F63ED5"/>
    <w:rsid w:val="00F64021"/>
    <w:rsid w:val="00F6404C"/>
    <w:rsid w:val="00F6409D"/>
    <w:rsid w:val="00F64131"/>
    <w:rsid w:val="00F641CE"/>
    <w:rsid w:val="00F64275"/>
    <w:rsid w:val="00F642FB"/>
    <w:rsid w:val="00F6441D"/>
    <w:rsid w:val="00F6449E"/>
    <w:rsid w:val="00F646F7"/>
    <w:rsid w:val="00F647E5"/>
    <w:rsid w:val="00F6483F"/>
    <w:rsid w:val="00F64898"/>
    <w:rsid w:val="00F6491E"/>
    <w:rsid w:val="00F64AA8"/>
    <w:rsid w:val="00F64ADA"/>
    <w:rsid w:val="00F64B01"/>
    <w:rsid w:val="00F64B1B"/>
    <w:rsid w:val="00F64CD2"/>
    <w:rsid w:val="00F64D8D"/>
    <w:rsid w:val="00F64E41"/>
    <w:rsid w:val="00F64EAB"/>
    <w:rsid w:val="00F64FAA"/>
    <w:rsid w:val="00F65095"/>
    <w:rsid w:val="00F65100"/>
    <w:rsid w:val="00F65130"/>
    <w:rsid w:val="00F651C8"/>
    <w:rsid w:val="00F653B3"/>
    <w:rsid w:val="00F65403"/>
    <w:rsid w:val="00F655E5"/>
    <w:rsid w:val="00F6563F"/>
    <w:rsid w:val="00F65662"/>
    <w:rsid w:val="00F656E9"/>
    <w:rsid w:val="00F65737"/>
    <w:rsid w:val="00F65764"/>
    <w:rsid w:val="00F65923"/>
    <w:rsid w:val="00F65BF6"/>
    <w:rsid w:val="00F65C65"/>
    <w:rsid w:val="00F65C87"/>
    <w:rsid w:val="00F65C9B"/>
    <w:rsid w:val="00F65D9F"/>
    <w:rsid w:val="00F65DFF"/>
    <w:rsid w:val="00F65E59"/>
    <w:rsid w:val="00F660B9"/>
    <w:rsid w:val="00F66197"/>
    <w:rsid w:val="00F661DF"/>
    <w:rsid w:val="00F662A3"/>
    <w:rsid w:val="00F66384"/>
    <w:rsid w:val="00F663B6"/>
    <w:rsid w:val="00F66401"/>
    <w:rsid w:val="00F664FA"/>
    <w:rsid w:val="00F66572"/>
    <w:rsid w:val="00F66589"/>
    <w:rsid w:val="00F665FB"/>
    <w:rsid w:val="00F666A7"/>
    <w:rsid w:val="00F666C0"/>
    <w:rsid w:val="00F666F0"/>
    <w:rsid w:val="00F66853"/>
    <w:rsid w:val="00F66907"/>
    <w:rsid w:val="00F6698E"/>
    <w:rsid w:val="00F66A34"/>
    <w:rsid w:val="00F66A43"/>
    <w:rsid w:val="00F66A9B"/>
    <w:rsid w:val="00F66B25"/>
    <w:rsid w:val="00F66B65"/>
    <w:rsid w:val="00F66B8B"/>
    <w:rsid w:val="00F66BBF"/>
    <w:rsid w:val="00F66C64"/>
    <w:rsid w:val="00F66EE3"/>
    <w:rsid w:val="00F6718F"/>
    <w:rsid w:val="00F67233"/>
    <w:rsid w:val="00F67314"/>
    <w:rsid w:val="00F6735C"/>
    <w:rsid w:val="00F673A6"/>
    <w:rsid w:val="00F673C8"/>
    <w:rsid w:val="00F6743F"/>
    <w:rsid w:val="00F67495"/>
    <w:rsid w:val="00F674AF"/>
    <w:rsid w:val="00F674B9"/>
    <w:rsid w:val="00F674E5"/>
    <w:rsid w:val="00F67644"/>
    <w:rsid w:val="00F67649"/>
    <w:rsid w:val="00F677FC"/>
    <w:rsid w:val="00F678A9"/>
    <w:rsid w:val="00F67922"/>
    <w:rsid w:val="00F67968"/>
    <w:rsid w:val="00F67996"/>
    <w:rsid w:val="00F67A37"/>
    <w:rsid w:val="00F67A93"/>
    <w:rsid w:val="00F67AC9"/>
    <w:rsid w:val="00F67B84"/>
    <w:rsid w:val="00F67CAD"/>
    <w:rsid w:val="00F67D5A"/>
    <w:rsid w:val="00F67F6F"/>
    <w:rsid w:val="00F70172"/>
    <w:rsid w:val="00F7026C"/>
    <w:rsid w:val="00F702E2"/>
    <w:rsid w:val="00F70304"/>
    <w:rsid w:val="00F70485"/>
    <w:rsid w:val="00F704FD"/>
    <w:rsid w:val="00F70530"/>
    <w:rsid w:val="00F7059E"/>
    <w:rsid w:val="00F705AF"/>
    <w:rsid w:val="00F705D7"/>
    <w:rsid w:val="00F70610"/>
    <w:rsid w:val="00F7074C"/>
    <w:rsid w:val="00F707BD"/>
    <w:rsid w:val="00F70839"/>
    <w:rsid w:val="00F70A65"/>
    <w:rsid w:val="00F70D62"/>
    <w:rsid w:val="00F70E3E"/>
    <w:rsid w:val="00F70E4C"/>
    <w:rsid w:val="00F70E5A"/>
    <w:rsid w:val="00F70E63"/>
    <w:rsid w:val="00F70F00"/>
    <w:rsid w:val="00F70F30"/>
    <w:rsid w:val="00F70FE0"/>
    <w:rsid w:val="00F71083"/>
    <w:rsid w:val="00F710A3"/>
    <w:rsid w:val="00F7113F"/>
    <w:rsid w:val="00F71253"/>
    <w:rsid w:val="00F712CA"/>
    <w:rsid w:val="00F71369"/>
    <w:rsid w:val="00F7143F"/>
    <w:rsid w:val="00F71512"/>
    <w:rsid w:val="00F71572"/>
    <w:rsid w:val="00F7157B"/>
    <w:rsid w:val="00F71627"/>
    <w:rsid w:val="00F71668"/>
    <w:rsid w:val="00F71AAE"/>
    <w:rsid w:val="00F71B47"/>
    <w:rsid w:val="00F71B66"/>
    <w:rsid w:val="00F71B98"/>
    <w:rsid w:val="00F71BA1"/>
    <w:rsid w:val="00F71C70"/>
    <w:rsid w:val="00F71D19"/>
    <w:rsid w:val="00F71D7C"/>
    <w:rsid w:val="00F71E74"/>
    <w:rsid w:val="00F71EBD"/>
    <w:rsid w:val="00F71EC4"/>
    <w:rsid w:val="00F71FB6"/>
    <w:rsid w:val="00F71FD6"/>
    <w:rsid w:val="00F720EB"/>
    <w:rsid w:val="00F721BF"/>
    <w:rsid w:val="00F722BF"/>
    <w:rsid w:val="00F72378"/>
    <w:rsid w:val="00F7244D"/>
    <w:rsid w:val="00F72459"/>
    <w:rsid w:val="00F72465"/>
    <w:rsid w:val="00F7249F"/>
    <w:rsid w:val="00F724C2"/>
    <w:rsid w:val="00F72519"/>
    <w:rsid w:val="00F72555"/>
    <w:rsid w:val="00F725C0"/>
    <w:rsid w:val="00F725CB"/>
    <w:rsid w:val="00F725E5"/>
    <w:rsid w:val="00F7277E"/>
    <w:rsid w:val="00F728F4"/>
    <w:rsid w:val="00F7295D"/>
    <w:rsid w:val="00F72971"/>
    <w:rsid w:val="00F72993"/>
    <w:rsid w:val="00F72CB8"/>
    <w:rsid w:val="00F72CBD"/>
    <w:rsid w:val="00F72CE6"/>
    <w:rsid w:val="00F72E3F"/>
    <w:rsid w:val="00F72F9E"/>
    <w:rsid w:val="00F73054"/>
    <w:rsid w:val="00F7305E"/>
    <w:rsid w:val="00F730C0"/>
    <w:rsid w:val="00F73148"/>
    <w:rsid w:val="00F732FF"/>
    <w:rsid w:val="00F73483"/>
    <w:rsid w:val="00F734AF"/>
    <w:rsid w:val="00F7350B"/>
    <w:rsid w:val="00F7360B"/>
    <w:rsid w:val="00F736FC"/>
    <w:rsid w:val="00F73701"/>
    <w:rsid w:val="00F73715"/>
    <w:rsid w:val="00F73922"/>
    <w:rsid w:val="00F7399B"/>
    <w:rsid w:val="00F73A57"/>
    <w:rsid w:val="00F73B59"/>
    <w:rsid w:val="00F73B61"/>
    <w:rsid w:val="00F73BB7"/>
    <w:rsid w:val="00F73BD0"/>
    <w:rsid w:val="00F73CE4"/>
    <w:rsid w:val="00F73D21"/>
    <w:rsid w:val="00F73E1D"/>
    <w:rsid w:val="00F73EAD"/>
    <w:rsid w:val="00F73FED"/>
    <w:rsid w:val="00F74059"/>
    <w:rsid w:val="00F740E5"/>
    <w:rsid w:val="00F74113"/>
    <w:rsid w:val="00F7414F"/>
    <w:rsid w:val="00F7415C"/>
    <w:rsid w:val="00F7421D"/>
    <w:rsid w:val="00F7422E"/>
    <w:rsid w:val="00F74236"/>
    <w:rsid w:val="00F7424B"/>
    <w:rsid w:val="00F7426E"/>
    <w:rsid w:val="00F74404"/>
    <w:rsid w:val="00F7442A"/>
    <w:rsid w:val="00F74489"/>
    <w:rsid w:val="00F744D3"/>
    <w:rsid w:val="00F746AC"/>
    <w:rsid w:val="00F7477C"/>
    <w:rsid w:val="00F747BE"/>
    <w:rsid w:val="00F74811"/>
    <w:rsid w:val="00F748A4"/>
    <w:rsid w:val="00F7499C"/>
    <w:rsid w:val="00F749FF"/>
    <w:rsid w:val="00F74AC6"/>
    <w:rsid w:val="00F74C14"/>
    <w:rsid w:val="00F74C7E"/>
    <w:rsid w:val="00F74CB9"/>
    <w:rsid w:val="00F74CFE"/>
    <w:rsid w:val="00F74E1F"/>
    <w:rsid w:val="00F74E2C"/>
    <w:rsid w:val="00F750A1"/>
    <w:rsid w:val="00F750FD"/>
    <w:rsid w:val="00F751BD"/>
    <w:rsid w:val="00F751E7"/>
    <w:rsid w:val="00F7525D"/>
    <w:rsid w:val="00F7533F"/>
    <w:rsid w:val="00F755F2"/>
    <w:rsid w:val="00F756B0"/>
    <w:rsid w:val="00F75942"/>
    <w:rsid w:val="00F75CE3"/>
    <w:rsid w:val="00F75D95"/>
    <w:rsid w:val="00F75DBD"/>
    <w:rsid w:val="00F75DCE"/>
    <w:rsid w:val="00F75E36"/>
    <w:rsid w:val="00F75E5F"/>
    <w:rsid w:val="00F75EA3"/>
    <w:rsid w:val="00F75EE9"/>
    <w:rsid w:val="00F75F57"/>
    <w:rsid w:val="00F76028"/>
    <w:rsid w:val="00F760C0"/>
    <w:rsid w:val="00F76125"/>
    <w:rsid w:val="00F7617C"/>
    <w:rsid w:val="00F76282"/>
    <w:rsid w:val="00F762B3"/>
    <w:rsid w:val="00F76514"/>
    <w:rsid w:val="00F76737"/>
    <w:rsid w:val="00F7675A"/>
    <w:rsid w:val="00F768C7"/>
    <w:rsid w:val="00F7693F"/>
    <w:rsid w:val="00F769F3"/>
    <w:rsid w:val="00F76CB3"/>
    <w:rsid w:val="00F76CEC"/>
    <w:rsid w:val="00F76D01"/>
    <w:rsid w:val="00F76E3E"/>
    <w:rsid w:val="00F76E8B"/>
    <w:rsid w:val="00F76F5F"/>
    <w:rsid w:val="00F76FB0"/>
    <w:rsid w:val="00F770DF"/>
    <w:rsid w:val="00F77123"/>
    <w:rsid w:val="00F771F3"/>
    <w:rsid w:val="00F772EC"/>
    <w:rsid w:val="00F774F2"/>
    <w:rsid w:val="00F7750C"/>
    <w:rsid w:val="00F77570"/>
    <w:rsid w:val="00F77658"/>
    <w:rsid w:val="00F77964"/>
    <w:rsid w:val="00F77BC7"/>
    <w:rsid w:val="00F77BE1"/>
    <w:rsid w:val="00F77DCF"/>
    <w:rsid w:val="00F77E75"/>
    <w:rsid w:val="00F77FC2"/>
    <w:rsid w:val="00F8004D"/>
    <w:rsid w:val="00F80084"/>
    <w:rsid w:val="00F8014B"/>
    <w:rsid w:val="00F8021B"/>
    <w:rsid w:val="00F8025B"/>
    <w:rsid w:val="00F802AC"/>
    <w:rsid w:val="00F802EC"/>
    <w:rsid w:val="00F80375"/>
    <w:rsid w:val="00F803D4"/>
    <w:rsid w:val="00F80489"/>
    <w:rsid w:val="00F8053D"/>
    <w:rsid w:val="00F805AB"/>
    <w:rsid w:val="00F805CE"/>
    <w:rsid w:val="00F805F5"/>
    <w:rsid w:val="00F8061D"/>
    <w:rsid w:val="00F8084E"/>
    <w:rsid w:val="00F8090C"/>
    <w:rsid w:val="00F80912"/>
    <w:rsid w:val="00F80AF2"/>
    <w:rsid w:val="00F80B6D"/>
    <w:rsid w:val="00F80BCD"/>
    <w:rsid w:val="00F80C4D"/>
    <w:rsid w:val="00F80CA4"/>
    <w:rsid w:val="00F80DD5"/>
    <w:rsid w:val="00F8113D"/>
    <w:rsid w:val="00F8115D"/>
    <w:rsid w:val="00F8123E"/>
    <w:rsid w:val="00F8133D"/>
    <w:rsid w:val="00F81401"/>
    <w:rsid w:val="00F81408"/>
    <w:rsid w:val="00F8149A"/>
    <w:rsid w:val="00F8167A"/>
    <w:rsid w:val="00F81692"/>
    <w:rsid w:val="00F816D1"/>
    <w:rsid w:val="00F81763"/>
    <w:rsid w:val="00F81AD1"/>
    <w:rsid w:val="00F81B31"/>
    <w:rsid w:val="00F81B3B"/>
    <w:rsid w:val="00F81B68"/>
    <w:rsid w:val="00F81C39"/>
    <w:rsid w:val="00F81CEC"/>
    <w:rsid w:val="00F81CFA"/>
    <w:rsid w:val="00F81DCC"/>
    <w:rsid w:val="00F81E07"/>
    <w:rsid w:val="00F81E9D"/>
    <w:rsid w:val="00F821B9"/>
    <w:rsid w:val="00F8224E"/>
    <w:rsid w:val="00F8227E"/>
    <w:rsid w:val="00F8239F"/>
    <w:rsid w:val="00F82500"/>
    <w:rsid w:val="00F82580"/>
    <w:rsid w:val="00F826E1"/>
    <w:rsid w:val="00F82707"/>
    <w:rsid w:val="00F82821"/>
    <w:rsid w:val="00F82972"/>
    <w:rsid w:val="00F82990"/>
    <w:rsid w:val="00F829CE"/>
    <w:rsid w:val="00F82A14"/>
    <w:rsid w:val="00F82A70"/>
    <w:rsid w:val="00F82A73"/>
    <w:rsid w:val="00F82AD0"/>
    <w:rsid w:val="00F82B36"/>
    <w:rsid w:val="00F82CE1"/>
    <w:rsid w:val="00F82E86"/>
    <w:rsid w:val="00F82F6A"/>
    <w:rsid w:val="00F83003"/>
    <w:rsid w:val="00F83152"/>
    <w:rsid w:val="00F83179"/>
    <w:rsid w:val="00F832CF"/>
    <w:rsid w:val="00F83352"/>
    <w:rsid w:val="00F833C7"/>
    <w:rsid w:val="00F833F5"/>
    <w:rsid w:val="00F8340A"/>
    <w:rsid w:val="00F83493"/>
    <w:rsid w:val="00F835CF"/>
    <w:rsid w:val="00F83632"/>
    <w:rsid w:val="00F8365F"/>
    <w:rsid w:val="00F836A2"/>
    <w:rsid w:val="00F837A9"/>
    <w:rsid w:val="00F837FA"/>
    <w:rsid w:val="00F83935"/>
    <w:rsid w:val="00F83952"/>
    <w:rsid w:val="00F83B31"/>
    <w:rsid w:val="00F83C0E"/>
    <w:rsid w:val="00F83C36"/>
    <w:rsid w:val="00F83CD3"/>
    <w:rsid w:val="00F83D90"/>
    <w:rsid w:val="00F84025"/>
    <w:rsid w:val="00F84046"/>
    <w:rsid w:val="00F841A0"/>
    <w:rsid w:val="00F8427D"/>
    <w:rsid w:val="00F84288"/>
    <w:rsid w:val="00F842C3"/>
    <w:rsid w:val="00F84534"/>
    <w:rsid w:val="00F845E3"/>
    <w:rsid w:val="00F846F7"/>
    <w:rsid w:val="00F84700"/>
    <w:rsid w:val="00F8475F"/>
    <w:rsid w:val="00F8485E"/>
    <w:rsid w:val="00F8490E"/>
    <w:rsid w:val="00F8497D"/>
    <w:rsid w:val="00F84A64"/>
    <w:rsid w:val="00F84B03"/>
    <w:rsid w:val="00F84C0E"/>
    <w:rsid w:val="00F84FC0"/>
    <w:rsid w:val="00F85058"/>
    <w:rsid w:val="00F85062"/>
    <w:rsid w:val="00F85125"/>
    <w:rsid w:val="00F8515E"/>
    <w:rsid w:val="00F851DF"/>
    <w:rsid w:val="00F85215"/>
    <w:rsid w:val="00F853B9"/>
    <w:rsid w:val="00F853F0"/>
    <w:rsid w:val="00F8554F"/>
    <w:rsid w:val="00F85570"/>
    <w:rsid w:val="00F855A6"/>
    <w:rsid w:val="00F856A0"/>
    <w:rsid w:val="00F85971"/>
    <w:rsid w:val="00F8599B"/>
    <w:rsid w:val="00F85A01"/>
    <w:rsid w:val="00F85A20"/>
    <w:rsid w:val="00F85A2B"/>
    <w:rsid w:val="00F85B9E"/>
    <w:rsid w:val="00F85BD0"/>
    <w:rsid w:val="00F85C10"/>
    <w:rsid w:val="00F85D31"/>
    <w:rsid w:val="00F85D7A"/>
    <w:rsid w:val="00F85D97"/>
    <w:rsid w:val="00F85DED"/>
    <w:rsid w:val="00F85E6D"/>
    <w:rsid w:val="00F85E70"/>
    <w:rsid w:val="00F8607D"/>
    <w:rsid w:val="00F860D5"/>
    <w:rsid w:val="00F86138"/>
    <w:rsid w:val="00F8618A"/>
    <w:rsid w:val="00F861B6"/>
    <w:rsid w:val="00F86260"/>
    <w:rsid w:val="00F862B0"/>
    <w:rsid w:val="00F863BA"/>
    <w:rsid w:val="00F86554"/>
    <w:rsid w:val="00F865AB"/>
    <w:rsid w:val="00F8662A"/>
    <w:rsid w:val="00F86681"/>
    <w:rsid w:val="00F8690F"/>
    <w:rsid w:val="00F8699E"/>
    <w:rsid w:val="00F869B7"/>
    <w:rsid w:val="00F86A6B"/>
    <w:rsid w:val="00F86A9B"/>
    <w:rsid w:val="00F86A9D"/>
    <w:rsid w:val="00F86B80"/>
    <w:rsid w:val="00F86B85"/>
    <w:rsid w:val="00F86C36"/>
    <w:rsid w:val="00F86C8F"/>
    <w:rsid w:val="00F86D01"/>
    <w:rsid w:val="00F86D41"/>
    <w:rsid w:val="00F86D67"/>
    <w:rsid w:val="00F86E40"/>
    <w:rsid w:val="00F87235"/>
    <w:rsid w:val="00F8734B"/>
    <w:rsid w:val="00F87457"/>
    <w:rsid w:val="00F87488"/>
    <w:rsid w:val="00F8755A"/>
    <w:rsid w:val="00F875E7"/>
    <w:rsid w:val="00F87638"/>
    <w:rsid w:val="00F87650"/>
    <w:rsid w:val="00F8783C"/>
    <w:rsid w:val="00F87ABD"/>
    <w:rsid w:val="00F87B24"/>
    <w:rsid w:val="00F87D7D"/>
    <w:rsid w:val="00F87E3D"/>
    <w:rsid w:val="00F87F4C"/>
    <w:rsid w:val="00F900DF"/>
    <w:rsid w:val="00F90200"/>
    <w:rsid w:val="00F9025F"/>
    <w:rsid w:val="00F9034E"/>
    <w:rsid w:val="00F9044C"/>
    <w:rsid w:val="00F9049C"/>
    <w:rsid w:val="00F9055A"/>
    <w:rsid w:val="00F9059C"/>
    <w:rsid w:val="00F905B5"/>
    <w:rsid w:val="00F9068C"/>
    <w:rsid w:val="00F9068E"/>
    <w:rsid w:val="00F906B1"/>
    <w:rsid w:val="00F90A2D"/>
    <w:rsid w:val="00F90B18"/>
    <w:rsid w:val="00F90B54"/>
    <w:rsid w:val="00F90C59"/>
    <w:rsid w:val="00F90CDC"/>
    <w:rsid w:val="00F90D22"/>
    <w:rsid w:val="00F90D97"/>
    <w:rsid w:val="00F90DE6"/>
    <w:rsid w:val="00F9106C"/>
    <w:rsid w:val="00F913CF"/>
    <w:rsid w:val="00F914F9"/>
    <w:rsid w:val="00F9152C"/>
    <w:rsid w:val="00F91533"/>
    <w:rsid w:val="00F91915"/>
    <w:rsid w:val="00F9199B"/>
    <w:rsid w:val="00F919CD"/>
    <w:rsid w:val="00F91D4C"/>
    <w:rsid w:val="00F91DE6"/>
    <w:rsid w:val="00F91E6F"/>
    <w:rsid w:val="00F91F6C"/>
    <w:rsid w:val="00F9205D"/>
    <w:rsid w:val="00F920A6"/>
    <w:rsid w:val="00F922C2"/>
    <w:rsid w:val="00F923F5"/>
    <w:rsid w:val="00F92511"/>
    <w:rsid w:val="00F925C2"/>
    <w:rsid w:val="00F925EC"/>
    <w:rsid w:val="00F92621"/>
    <w:rsid w:val="00F92924"/>
    <w:rsid w:val="00F92999"/>
    <w:rsid w:val="00F92A62"/>
    <w:rsid w:val="00F92AB2"/>
    <w:rsid w:val="00F92C78"/>
    <w:rsid w:val="00F92CA1"/>
    <w:rsid w:val="00F92E45"/>
    <w:rsid w:val="00F92FF9"/>
    <w:rsid w:val="00F9308D"/>
    <w:rsid w:val="00F931F7"/>
    <w:rsid w:val="00F93222"/>
    <w:rsid w:val="00F9329C"/>
    <w:rsid w:val="00F932AA"/>
    <w:rsid w:val="00F93471"/>
    <w:rsid w:val="00F934FF"/>
    <w:rsid w:val="00F93559"/>
    <w:rsid w:val="00F9360F"/>
    <w:rsid w:val="00F93795"/>
    <w:rsid w:val="00F938A6"/>
    <w:rsid w:val="00F93976"/>
    <w:rsid w:val="00F93BAE"/>
    <w:rsid w:val="00F93BDD"/>
    <w:rsid w:val="00F93C2B"/>
    <w:rsid w:val="00F93C51"/>
    <w:rsid w:val="00F93E05"/>
    <w:rsid w:val="00F93EA0"/>
    <w:rsid w:val="00F93EC7"/>
    <w:rsid w:val="00F93EDA"/>
    <w:rsid w:val="00F940BC"/>
    <w:rsid w:val="00F940CA"/>
    <w:rsid w:val="00F94107"/>
    <w:rsid w:val="00F94148"/>
    <w:rsid w:val="00F9418E"/>
    <w:rsid w:val="00F941F4"/>
    <w:rsid w:val="00F94272"/>
    <w:rsid w:val="00F942E2"/>
    <w:rsid w:val="00F94310"/>
    <w:rsid w:val="00F9431A"/>
    <w:rsid w:val="00F94336"/>
    <w:rsid w:val="00F943BF"/>
    <w:rsid w:val="00F943F3"/>
    <w:rsid w:val="00F94448"/>
    <w:rsid w:val="00F94582"/>
    <w:rsid w:val="00F94641"/>
    <w:rsid w:val="00F9469E"/>
    <w:rsid w:val="00F94771"/>
    <w:rsid w:val="00F948B5"/>
    <w:rsid w:val="00F948C3"/>
    <w:rsid w:val="00F94A02"/>
    <w:rsid w:val="00F94A39"/>
    <w:rsid w:val="00F94A43"/>
    <w:rsid w:val="00F94B47"/>
    <w:rsid w:val="00F94B5E"/>
    <w:rsid w:val="00F94B89"/>
    <w:rsid w:val="00F94BA5"/>
    <w:rsid w:val="00F94BD9"/>
    <w:rsid w:val="00F94C3F"/>
    <w:rsid w:val="00F94D14"/>
    <w:rsid w:val="00F94D19"/>
    <w:rsid w:val="00F94D71"/>
    <w:rsid w:val="00F94E49"/>
    <w:rsid w:val="00F94F53"/>
    <w:rsid w:val="00F95091"/>
    <w:rsid w:val="00F9516E"/>
    <w:rsid w:val="00F95318"/>
    <w:rsid w:val="00F953A5"/>
    <w:rsid w:val="00F95567"/>
    <w:rsid w:val="00F95697"/>
    <w:rsid w:val="00F9578C"/>
    <w:rsid w:val="00F957AC"/>
    <w:rsid w:val="00F958CB"/>
    <w:rsid w:val="00F958EA"/>
    <w:rsid w:val="00F95A40"/>
    <w:rsid w:val="00F95D4D"/>
    <w:rsid w:val="00F95EAF"/>
    <w:rsid w:val="00F95F5A"/>
    <w:rsid w:val="00F95FDC"/>
    <w:rsid w:val="00F95FDE"/>
    <w:rsid w:val="00F96038"/>
    <w:rsid w:val="00F96085"/>
    <w:rsid w:val="00F960A1"/>
    <w:rsid w:val="00F960D7"/>
    <w:rsid w:val="00F96169"/>
    <w:rsid w:val="00F96348"/>
    <w:rsid w:val="00F963E2"/>
    <w:rsid w:val="00F963EB"/>
    <w:rsid w:val="00F963FF"/>
    <w:rsid w:val="00F9643D"/>
    <w:rsid w:val="00F9661A"/>
    <w:rsid w:val="00F9680D"/>
    <w:rsid w:val="00F968C4"/>
    <w:rsid w:val="00F9694B"/>
    <w:rsid w:val="00F969E3"/>
    <w:rsid w:val="00F969EE"/>
    <w:rsid w:val="00F96A5D"/>
    <w:rsid w:val="00F96A65"/>
    <w:rsid w:val="00F96AA9"/>
    <w:rsid w:val="00F96AB3"/>
    <w:rsid w:val="00F96AC9"/>
    <w:rsid w:val="00F96B30"/>
    <w:rsid w:val="00F96BAA"/>
    <w:rsid w:val="00F96C64"/>
    <w:rsid w:val="00F96D6B"/>
    <w:rsid w:val="00F96E81"/>
    <w:rsid w:val="00F96ED2"/>
    <w:rsid w:val="00F96FDD"/>
    <w:rsid w:val="00F97126"/>
    <w:rsid w:val="00F97216"/>
    <w:rsid w:val="00F972E6"/>
    <w:rsid w:val="00F97422"/>
    <w:rsid w:val="00F974A8"/>
    <w:rsid w:val="00F974D1"/>
    <w:rsid w:val="00F975E1"/>
    <w:rsid w:val="00F976BE"/>
    <w:rsid w:val="00F977A0"/>
    <w:rsid w:val="00F97832"/>
    <w:rsid w:val="00F97856"/>
    <w:rsid w:val="00F97898"/>
    <w:rsid w:val="00F97A59"/>
    <w:rsid w:val="00F97B41"/>
    <w:rsid w:val="00F97B58"/>
    <w:rsid w:val="00F97BDA"/>
    <w:rsid w:val="00F97C02"/>
    <w:rsid w:val="00F97DF2"/>
    <w:rsid w:val="00F97E26"/>
    <w:rsid w:val="00F97FFC"/>
    <w:rsid w:val="00FA010F"/>
    <w:rsid w:val="00FA0151"/>
    <w:rsid w:val="00FA015D"/>
    <w:rsid w:val="00FA016F"/>
    <w:rsid w:val="00FA01BA"/>
    <w:rsid w:val="00FA0286"/>
    <w:rsid w:val="00FA05A7"/>
    <w:rsid w:val="00FA05C3"/>
    <w:rsid w:val="00FA0658"/>
    <w:rsid w:val="00FA0791"/>
    <w:rsid w:val="00FA07C4"/>
    <w:rsid w:val="00FA0891"/>
    <w:rsid w:val="00FA09A1"/>
    <w:rsid w:val="00FA09C7"/>
    <w:rsid w:val="00FA0AAE"/>
    <w:rsid w:val="00FA0AB6"/>
    <w:rsid w:val="00FA0B01"/>
    <w:rsid w:val="00FA0B41"/>
    <w:rsid w:val="00FA0BB3"/>
    <w:rsid w:val="00FA0BCD"/>
    <w:rsid w:val="00FA0D38"/>
    <w:rsid w:val="00FA0D9C"/>
    <w:rsid w:val="00FA0F0F"/>
    <w:rsid w:val="00FA0FC8"/>
    <w:rsid w:val="00FA1047"/>
    <w:rsid w:val="00FA1200"/>
    <w:rsid w:val="00FA120D"/>
    <w:rsid w:val="00FA127A"/>
    <w:rsid w:val="00FA12BF"/>
    <w:rsid w:val="00FA1331"/>
    <w:rsid w:val="00FA1342"/>
    <w:rsid w:val="00FA13E5"/>
    <w:rsid w:val="00FA13E8"/>
    <w:rsid w:val="00FA153E"/>
    <w:rsid w:val="00FA159F"/>
    <w:rsid w:val="00FA15B3"/>
    <w:rsid w:val="00FA15E4"/>
    <w:rsid w:val="00FA1625"/>
    <w:rsid w:val="00FA164F"/>
    <w:rsid w:val="00FA172B"/>
    <w:rsid w:val="00FA1829"/>
    <w:rsid w:val="00FA1837"/>
    <w:rsid w:val="00FA186A"/>
    <w:rsid w:val="00FA18C5"/>
    <w:rsid w:val="00FA18D2"/>
    <w:rsid w:val="00FA18F9"/>
    <w:rsid w:val="00FA19BA"/>
    <w:rsid w:val="00FA19D4"/>
    <w:rsid w:val="00FA1B27"/>
    <w:rsid w:val="00FA1B65"/>
    <w:rsid w:val="00FA1C53"/>
    <w:rsid w:val="00FA1D37"/>
    <w:rsid w:val="00FA1D48"/>
    <w:rsid w:val="00FA1D98"/>
    <w:rsid w:val="00FA1E09"/>
    <w:rsid w:val="00FA1E39"/>
    <w:rsid w:val="00FA1E9D"/>
    <w:rsid w:val="00FA1EE0"/>
    <w:rsid w:val="00FA1F69"/>
    <w:rsid w:val="00FA20A9"/>
    <w:rsid w:val="00FA218C"/>
    <w:rsid w:val="00FA2213"/>
    <w:rsid w:val="00FA226B"/>
    <w:rsid w:val="00FA228B"/>
    <w:rsid w:val="00FA22D2"/>
    <w:rsid w:val="00FA24A0"/>
    <w:rsid w:val="00FA24F8"/>
    <w:rsid w:val="00FA250B"/>
    <w:rsid w:val="00FA259E"/>
    <w:rsid w:val="00FA267A"/>
    <w:rsid w:val="00FA274F"/>
    <w:rsid w:val="00FA278A"/>
    <w:rsid w:val="00FA280C"/>
    <w:rsid w:val="00FA2934"/>
    <w:rsid w:val="00FA29CB"/>
    <w:rsid w:val="00FA2C64"/>
    <w:rsid w:val="00FA2C81"/>
    <w:rsid w:val="00FA2CD4"/>
    <w:rsid w:val="00FA2D89"/>
    <w:rsid w:val="00FA2DA4"/>
    <w:rsid w:val="00FA2E1E"/>
    <w:rsid w:val="00FA2FC5"/>
    <w:rsid w:val="00FA3098"/>
    <w:rsid w:val="00FA30B5"/>
    <w:rsid w:val="00FA317B"/>
    <w:rsid w:val="00FA31D5"/>
    <w:rsid w:val="00FA320E"/>
    <w:rsid w:val="00FA3231"/>
    <w:rsid w:val="00FA324B"/>
    <w:rsid w:val="00FA3274"/>
    <w:rsid w:val="00FA3343"/>
    <w:rsid w:val="00FA3357"/>
    <w:rsid w:val="00FA34D0"/>
    <w:rsid w:val="00FA350B"/>
    <w:rsid w:val="00FA3518"/>
    <w:rsid w:val="00FA3547"/>
    <w:rsid w:val="00FA3555"/>
    <w:rsid w:val="00FA3692"/>
    <w:rsid w:val="00FA36BB"/>
    <w:rsid w:val="00FA37E1"/>
    <w:rsid w:val="00FA38B3"/>
    <w:rsid w:val="00FA39AF"/>
    <w:rsid w:val="00FA3A7E"/>
    <w:rsid w:val="00FA3AB4"/>
    <w:rsid w:val="00FA3B2F"/>
    <w:rsid w:val="00FA3B9C"/>
    <w:rsid w:val="00FA3C70"/>
    <w:rsid w:val="00FA3CCE"/>
    <w:rsid w:val="00FA3D49"/>
    <w:rsid w:val="00FA3D7C"/>
    <w:rsid w:val="00FA3D7F"/>
    <w:rsid w:val="00FA3F35"/>
    <w:rsid w:val="00FA41BE"/>
    <w:rsid w:val="00FA42B7"/>
    <w:rsid w:val="00FA42FE"/>
    <w:rsid w:val="00FA4343"/>
    <w:rsid w:val="00FA444F"/>
    <w:rsid w:val="00FA44B5"/>
    <w:rsid w:val="00FA44F9"/>
    <w:rsid w:val="00FA4540"/>
    <w:rsid w:val="00FA4743"/>
    <w:rsid w:val="00FA4923"/>
    <w:rsid w:val="00FA497F"/>
    <w:rsid w:val="00FA4BD3"/>
    <w:rsid w:val="00FA4D6F"/>
    <w:rsid w:val="00FA4F25"/>
    <w:rsid w:val="00FA5121"/>
    <w:rsid w:val="00FA5174"/>
    <w:rsid w:val="00FA517A"/>
    <w:rsid w:val="00FA5267"/>
    <w:rsid w:val="00FA5284"/>
    <w:rsid w:val="00FA5609"/>
    <w:rsid w:val="00FA569D"/>
    <w:rsid w:val="00FA56D3"/>
    <w:rsid w:val="00FA5791"/>
    <w:rsid w:val="00FA5797"/>
    <w:rsid w:val="00FA5869"/>
    <w:rsid w:val="00FA58B4"/>
    <w:rsid w:val="00FA58FF"/>
    <w:rsid w:val="00FA5B86"/>
    <w:rsid w:val="00FA5C67"/>
    <w:rsid w:val="00FA60A6"/>
    <w:rsid w:val="00FA6201"/>
    <w:rsid w:val="00FA6242"/>
    <w:rsid w:val="00FA62C9"/>
    <w:rsid w:val="00FA6307"/>
    <w:rsid w:val="00FA63C0"/>
    <w:rsid w:val="00FA6459"/>
    <w:rsid w:val="00FA645E"/>
    <w:rsid w:val="00FA64B1"/>
    <w:rsid w:val="00FA6513"/>
    <w:rsid w:val="00FA660C"/>
    <w:rsid w:val="00FA662F"/>
    <w:rsid w:val="00FA66F0"/>
    <w:rsid w:val="00FA6712"/>
    <w:rsid w:val="00FA671D"/>
    <w:rsid w:val="00FA6759"/>
    <w:rsid w:val="00FA67A0"/>
    <w:rsid w:val="00FA67DE"/>
    <w:rsid w:val="00FA67E7"/>
    <w:rsid w:val="00FA6850"/>
    <w:rsid w:val="00FA688A"/>
    <w:rsid w:val="00FA6A29"/>
    <w:rsid w:val="00FA6A8C"/>
    <w:rsid w:val="00FA6B87"/>
    <w:rsid w:val="00FA6C7E"/>
    <w:rsid w:val="00FA6CB5"/>
    <w:rsid w:val="00FA6DAD"/>
    <w:rsid w:val="00FA6F6E"/>
    <w:rsid w:val="00FA7055"/>
    <w:rsid w:val="00FA7249"/>
    <w:rsid w:val="00FA734C"/>
    <w:rsid w:val="00FA7375"/>
    <w:rsid w:val="00FA7440"/>
    <w:rsid w:val="00FA749C"/>
    <w:rsid w:val="00FA74A1"/>
    <w:rsid w:val="00FA74C5"/>
    <w:rsid w:val="00FA74E1"/>
    <w:rsid w:val="00FA75F0"/>
    <w:rsid w:val="00FA7758"/>
    <w:rsid w:val="00FA7767"/>
    <w:rsid w:val="00FA7A58"/>
    <w:rsid w:val="00FA7CDC"/>
    <w:rsid w:val="00FA7D34"/>
    <w:rsid w:val="00FA7D7D"/>
    <w:rsid w:val="00FA7DEA"/>
    <w:rsid w:val="00FA7ED2"/>
    <w:rsid w:val="00FA7FA2"/>
    <w:rsid w:val="00FB00C8"/>
    <w:rsid w:val="00FB00D6"/>
    <w:rsid w:val="00FB00E0"/>
    <w:rsid w:val="00FB0173"/>
    <w:rsid w:val="00FB01FA"/>
    <w:rsid w:val="00FB02D6"/>
    <w:rsid w:val="00FB03F0"/>
    <w:rsid w:val="00FB0507"/>
    <w:rsid w:val="00FB0540"/>
    <w:rsid w:val="00FB0571"/>
    <w:rsid w:val="00FB06A0"/>
    <w:rsid w:val="00FB0796"/>
    <w:rsid w:val="00FB07A3"/>
    <w:rsid w:val="00FB083C"/>
    <w:rsid w:val="00FB0871"/>
    <w:rsid w:val="00FB0A30"/>
    <w:rsid w:val="00FB0AC9"/>
    <w:rsid w:val="00FB0ED0"/>
    <w:rsid w:val="00FB10C1"/>
    <w:rsid w:val="00FB10E8"/>
    <w:rsid w:val="00FB10E9"/>
    <w:rsid w:val="00FB11B4"/>
    <w:rsid w:val="00FB1253"/>
    <w:rsid w:val="00FB1318"/>
    <w:rsid w:val="00FB143B"/>
    <w:rsid w:val="00FB146A"/>
    <w:rsid w:val="00FB14E1"/>
    <w:rsid w:val="00FB152F"/>
    <w:rsid w:val="00FB1584"/>
    <w:rsid w:val="00FB15BC"/>
    <w:rsid w:val="00FB1695"/>
    <w:rsid w:val="00FB16C1"/>
    <w:rsid w:val="00FB16E6"/>
    <w:rsid w:val="00FB1725"/>
    <w:rsid w:val="00FB178F"/>
    <w:rsid w:val="00FB192D"/>
    <w:rsid w:val="00FB1B4D"/>
    <w:rsid w:val="00FB1BD8"/>
    <w:rsid w:val="00FB1C24"/>
    <w:rsid w:val="00FB1C7D"/>
    <w:rsid w:val="00FB1F1B"/>
    <w:rsid w:val="00FB1FA3"/>
    <w:rsid w:val="00FB1FBD"/>
    <w:rsid w:val="00FB1FC5"/>
    <w:rsid w:val="00FB2073"/>
    <w:rsid w:val="00FB2098"/>
    <w:rsid w:val="00FB209F"/>
    <w:rsid w:val="00FB20C7"/>
    <w:rsid w:val="00FB213D"/>
    <w:rsid w:val="00FB2185"/>
    <w:rsid w:val="00FB21CC"/>
    <w:rsid w:val="00FB21E6"/>
    <w:rsid w:val="00FB23AD"/>
    <w:rsid w:val="00FB2401"/>
    <w:rsid w:val="00FB2536"/>
    <w:rsid w:val="00FB2593"/>
    <w:rsid w:val="00FB26FB"/>
    <w:rsid w:val="00FB2788"/>
    <w:rsid w:val="00FB27A6"/>
    <w:rsid w:val="00FB280E"/>
    <w:rsid w:val="00FB2821"/>
    <w:rsid w:val="00FB2840"/>
    <w:rsid w:val="00FB2876"/>
    <w:rsid w:val="00FB2C36"/>
    <w:rsid w:val="00FB2CE8"/>
    <w:rsid w:val="00FB2CF8"/>
    <w:rsid w:val="00FB2D47"/>
    <w:rsid w:val="00FB3054"/>
    <w:rsid w:val="00FB314A"/>
    <w:rsid w:val="00FB31F5"/>
    <w:rsid w:val="00FB327B"/>
    <w:rsid w:val="00FB3347"/>
    <w:rsid w:val="00FB3387"/>
    <w:rsid w:val="00FB339A"/>
    <w:rsid w:val="00FB3703"/>
    <w:rsid w:val="00FB375D"/>
    <w:rsid w:val="00FB3773"/>
    <w:rsid w:val="00FB378B"/>
    <w:rsid w:val="00FB37BE"/>
    <w:rsid w:val="00FB3810"/>
    <w:rsid w:val="00FB3939"/>
    <w:rsid w:val="00FB395C"/>
    <w:rsid w:val="00FB39E0"/>
    <w:rsid w:val="00FB39E6"/>
    <w:rsid w:val="00FB39EC"/>
    <w:rsid w:val="00FB3B3A"/>
    <w:rsid w:val="00FB3BEC"/>
    <w:rsid w:val="00FB3C5F"/>
    <w:rsid w:val="00FB3CFB"/>
    <w:rsid w:val="00FB3DEA"/>
    <w:rsid w:val="00FB3DF8"/>
    <w:rsid w:val="00FB3E60"/>
    <w:rsid w:val="00FB3E6F"/>
    <w:rsid w:val="00FB3E76"/>
    <w:rsid w:val="00FB3EB8"/>
    <w:rsid w:val="00FB3F11"/>
    <w:rsid w:val="00FB3F17"/>
    <w:rsid w:val="00FB3F62"/>
    <w:rsid w:val="00FB403C"/>
    <w:rsid w:val="00FB406D"/>
    <w:rsid w:val="00FB4103"/>
    <w:rsid w:val="00FB4259"/>
    <w:rsid w:val="00FB4355"/>
    <w:rsid w:val="00FB4497"/>
    <w:rsid w:val="00FB4584"/>
    <w:rsid w:val="00FB4604"/>
    <w:rsid w:val="00FB4612"/>
    <w:rsid w:val="00FB4895"/>
    <w:rsid w:val="00FB4AF0"/>
    <w:rsid w:val="00FB4AFA"/>
    <w:rsid w:val="00FB4B0D"/>
    <w:rsid w:val="00FB4B8A"/>
    <w:rsid w:val="00FB4CAE"/>
    <w:rsid w:val="00FB4CE4"/>
    <w:rsid w:val="00FB4DDF"/>
    <w:rsid w:val="00FB4E60"/>
    <w:rsid w:val="00FB4E96"/>
    <w:rsid w:val="00FB4F77"/>
    <w:rsid w:val="00FB50AC"/>
    <w:rsid w:val="00FB50D7"/>
    <w:rsid w:val="00FB513C"/>
    <w:rsid w:val="00FB514B"/>
    <w:rsid w:val="00FB5174"/>
    <w:rsid w:val="00FB519F"/>
    <w:rsid w:val="00FB51B6"/>
    <w:rsid w:val="00FB522A"/>
    <w:rsid w:val="00FB54A6"/>
    <w:rsid w:val="00FB5504"/>
    <w:rsid w:val="00FB5692"/>
    <w:rsid w:val="00FB570B"/>
    <w:rsid w:val="00FB574B"/>
    <w:rsid w:val="00FB5823"/>
    <w:rsid w:val="00FB5837"/>
    <w:rsid w:val="00FB5A1E"/>
    <w:rsid w:val="00FB5CB6"/>
    <w:rsid w:val="00FB5CF6"/>
    <w:rsid w:val="00FB5CF9"/>
    <w:rsid w:val="00FB5D13"/>
    <w:rsid w:val="00FB5D3F"/>
    <w:rsid w:val="00FB5DC2"/>
    <w:rsid w:val="00FB5DD6"/>
    <w:rsid w:val="00FB5E8E"/>
    <w:rsid w:val="00FB5F9E"/>
    <w:rsid w:val="00FB6055"/>
    <w:rsid w:val="00FB60AA"/>
    <w:rsid w:val="00FB60C4"/>
    <w:rsid w:val="00FB61DF"/>
    <w:rsid w:val="00FB628E"/>
    <w:rsid w:val="00FB62C5"/>
    <w:rsid w:val="00FB6321"/>
    <w:rsid w:val="00FB6358"/>
    <w:rsid w:val="00FB649B"/>
    <w:rsid w:val="00FB6567"/>
    <w:rsid w:val="00FB67CA"/>
    <w:rsid w:val="00FB67F9"/>
    <w:rsid w:val="00FB6830"/>
    <w:rsid w:val="00FB6838"/>
    <w:rsid w:val="00FB687D"/>
    <w:rsid w:val="00FB6950"/>
    <w:rsid w:val="00FB6A15"/>
    <w:rsid w:val="00FB6C7B"/>
    <w:rsid w:val="00FB6D2D"/>
    <w:rsid w:val="00FB6D3C"/>
    <w:rsid w:val="00FB6EA2"/>
    <w:rsid w:val="00FB6F53"/>
    <w:rsid w:val="00FB6FAA"/>
    <w:rsid w:val="00FB706D"/>
    <w:rsid w:val="00FB70E3"/>
    <w:rsid w:val="00FB7138"/>
    <w:rsid w:val="00FB714B"/>
    <w:rsid w:val="00FB7263"/>
    <w:rsid w:val="00FB731C"/>
    <w:rsid w:val="00FB7376"/>
    <w:rsid w:val="00FB7384"/>
    <w:rsid w:val="00FB7403"/>
    <w:rsid w:val="00FB75F0"/>
    <w:rsid w:val="00FB7701"/>
    <w:rsid w:val="00FB7745"/>
    <w:rsid w:val="00FB7822"/>
    <w:rsid w:val="00FB787D"/>
    <w:rsid w:val="00FB79E7"/>
    <w:rsid w:val="00FB79EF"/>
    <w:rsid w:val="00FB79FA"/>
    <w:rsid w:val="00FB7A04"/>
    <w:rsid w:val="00FB7C43"/>
    <w:rsid w:val="00FB7E38"/>
    <w:rsid w:val="00FB7F46"/>
    <w:rsid w:val="00FC00FB"/>
    <w:rsid w:val="00FC0106"/>
    <w:rsid w:val="00FC0120"/>
    <w:rsid w:val="00FC014D"/>
    <w:rsid w:val="00FC0191"/>
    <w:rsid w:val="00FC02D4"/>
    <w:rsid w:val="00FC03DC"/>
    <w:rsid w:val="00FC04E9"/>
    <w:rsid w:val="00FC0585"/>
    <w:rsid w:val="00FC05CC"/>
    <w:rsid w:val="00FC0635"/>
    <w:rsid w:val="00FC0638"/>
    <w:rsid w:val="00FC07AA"/>
    <w:rsid w:val="00FC0857"/>
    <w:rsid w:val="00FC085C"/>
    <w:rsid w:val="00FC086A"/>
    <w:rsid w:val="00FC0931"/>
    <w:rsid w:val="00FC09A5"/>
    <w:rsid w:val="00FC0C23"/>
    <w:rsid w:val="00FC0C68"/>
    <w:rsid w:val="00FC0E79"/>
    <w:rsid w:val="00FC0F60"/>
    <w:rsid w:val="00FC1157"/>
    <w:rsid w:val="00FC1168"/>
    <w:rsid w:val="00FC129C"/>
    <w:rsid w:val="00FC1354"/>
    <w:rsid w:val="00FC13C4"/>
    <w:rsid w:val="00FC1478"/>
    <w:rsid w:val="00FC1543"/>
    <w:rsid w:val="00FC1653"/>
    <w:rsid w:val="00FC1713"/>
    <w:rsid w:val="00FC177E"/>
    <w:rsid w:val="00FC1811"/>
    <w:rsid w:val="00FC1824"/>
    <w:rsid w:val="00FC186F"/>
    <w:rsid w:val="00FC1A17"/>
    <w:rsid w:val="00FC1B1A"/>
    <w:rsid w:val="00FC1BE4"/>
    <w:rsid w:val="00FC1C6F"/>
    <w:rsid w:val="00FC1C90"/>
    <w:rsid w:val="00FC1D6D"/>
    <w:rsid w:val="00FC1F66"/>
    <w:rsid w:val="00FC215D"/>
    <w:rsid w:val="00FC217E"/>
    <w:rsid w:val="00FC249A"/>
    <w:rsid w:val="00FC24C8"/>
    <w:rsid w:val="00FC2782"/>
    <w:rsid w:val="00FC27C4"/>
    <w:rsid w:val="00FC2AF7"/>
    <w:rsid w:val="00FC2C37"/>
    <w:rsid w:val="00FC2CFC"/>
    <w:rsid w:val="00FC2EE5"/>
    <w:rsid w:val="00FC2F09"/>
    <w:rsid w:val="00FC300B"/>
    <w:rsid w:val="00FC3104"/>
    <w:rsid w:val="00FC3313"/>
    <w:rsid w:val="00FC342E"/>
    <w:rsid w:val="00FC3480"/>
    <w:rsid w:val="00FC353F"/>
    <w:rsid w:val="00FC35AA"/>
    <w:rsid w:val="00FC35B2"/>
    <w:rsid w:val="00FC37E8"/>
    <w:rsid w:val="00FC38D8"/>
    <w:rsid w:val="00FC3924"/>
    <w:rsid w:val="00FC3927"/>
    <w:rsid w:val="00FC3BF1"/>
    <w:rsid w:val="00FC3DC3"/>
    <w:rsid w:val="00FC3DE4"/>
    <w:rsid w:val="00FC3E3B"/>
    <w:rsid w:val="00FC3E9E"/>
    <w:rsid w:val="00FC4020"/>
    <w:rsid w:val="00FC4068"/>
    <w:rsid w:val="00FC406C"/>
    <w:rsid w:val="00FC407D"/>
    <w:rsid w:val="00FC409B"/>
    <w:rsid w:val="00FC40D9"/>
    <w:rsid w:val="00FC40FC"/>
    <w:rsid w:val="00FC4166"/>
    <w:rsid w:val="00FC4221"/>
    <w:rsid w:val="00FC433F"/>
    <w:rsid w:val="00FC43E6"/>
    <w:rsid w:val="00FC446F"/>
    <w:rsid w:val="00FC44CE"/>
    <w:rsid w:val="00FC450D"/>
    <w:rsid w:val="00FC4556"/>
    <w:rsid w:val="00FC45E1"/>
    <w:rsid w:val="00FC4642"/>
    <w:rsid w:val="00FC46E7"/>
    <w:rsid w:val="00FC487A"/>
    <w:rsid w:val="00FC48FA"/>
    <w:rsid w:val="00FC4AEF"/>
    <w:rsid w:val="00FC4C00"/>
    <w:rsid w:val="00FC4C12"/>
    <w:rsid w:val="00FC4D31"/>
    <w:rsid w:val="00FC4D38"/>
    <w:rsid w:val="00FC4D5C"/>
    <w:rsid w:val="00FC4D8F"/>
    <w:rsid w:val="00FC4DB4"/>
    <w:rsid w:val="00FC4E30"/>
    <w:rsid w:val="00FC4E59"/>
    <w:rsid w:val="00FC4E9F"/>
    <w:rsid w:val="00FC4EF5"/>
    <w:rsid w:val="00FC4F57"/>
    <w:rsid w:val="00FC51B0"/>
    <w:rsid w:val="00FC5203"/>
    <w:rsid w:val="00FC5279"/>
    <w:rsid w:val="00FC5383"/>
    <w:rsid w:val="00FC5451"/>
    <w:rsid w:val="00FC5601"/>
    <w:rsid w:val="00FC5685"/>
    <w:rsid w:val="00FC5688"/>
    <w:rsid w:val="00FC56E9"/>
    <w:rsid w:val="00FC56EB"/>
    <w:rsid w:val="00FC573F"/>
    <w:rsid w:val="00FC57D6"/>
    <w:rsid w:val="00FC5804"/>
    <w:rsid w:val="00FC581F"/>
    <w:rsid w:val="00FC5A59"/>
    <w:rsid w:val="00FC5C66"/>
    <w:rsid w:val="00FC5F81"/>
    <w:rsid w:val="00FC5FD8"/>
    <w:rsid w:val="00FC60AF"/>
    <w:rsid w:val="00FC60E0"/>
    <w:rsid w:val="00FC615D"/>
    <w:rsid w:val="00FC61AA"/>
    <w:rsid w:val="00FC624E"/>
    <w:rsid w:val="00FC629D"/>
    <w:rsid w:val="00FC62AF"/>
    <w:rsid w:val="00FC6332"/>
    <w:rsid w:val="00FC6369"/>
    <w:rsid w:val="00FC6385"/>
    <w:rsid w:val="00FC642E"/>
    <w:rsid w:val="00FC65DB"/>
    <w:rsid w:val="00FC6776"/>
    <w:rsid w:val="00FC67DB"/>
    <w:rsid w:val="00FC6801"/>
    <w:rsid w:val="00FC6818"/>
    <w:rsid w:val="00FC684E"/>
    <w:rsid w:val="00FC688F"/>
    <w:rsid w:val="00FC68DF"/>
    <w:rsid w:val="00FC691B"/>
    <w:rsid w:val="00FC69C9"/>
    <w:rsid w:val="00FC6AE0"/>
    <w:rsid w:val="00FC6B62"/>
    <w:rsid w:val="00FC6B92"/>
    <w:rsid w:val="00FC6CD4"/>
    <w:rsid w:val="00FC6D0A"/>
    <w:rsid w:val="00FC6DA3"/>
    <w:rsid w:val="00FC6DBB"/>
    <w:rsid w:val="00FC6E2C"/>
    <w:rsid w:val="00FC6EB0"/>
    <w:rsid w:val="00FC7003"/>
    <w:rsid w:val="00FC703A"/>
    <w:rsid w:val="00FC7182"/>
    <w:rsid w:val="00FC71E0"/>
    <w:rsid w:val="00FC72E3"/>
    <w:rsid w:val="00FC72F4"/>
    <w:rsid w:val="00FC72F8"/>
    <w:rsid w:val="00FC731C"/>
    <w:rsid w:val="00FC735E"/>
    <w:rsid w:val="00FC74F0"/>
    <w:rsid w:val="00FC7511"/>
    <w:rsid w:val="00FC754C"/>
    <w:rsid w:val="00FC75A0"/>
    <w:rsid w:val="00FC75C9"/>
    <w:rsid w:val="00FC7658"/>
    <w:rsid w:val="00FC778D"/>
    <w:rsid w:val="00FC78CE"/>
    <w:rsid w:val="00FC7935"/>
    <w:rsid w:val="00FC79A1"/>
    <w:rsid w:val="00FC7BE4"/>
    <w:rsid w:val="00FC7D2A"/>
    <w:rsid w:val="00FC7DA4"/>
    <w:rsid w:val="00FC7DFB"/>
    <w:rsid w:val="00FC7FA7"/>
    <w:rsid w:val="00FD020E"/>
    <w:rsid w:val="00FD0277"/>
    <w:rsid w:val="00FD02B4"/>
    <w:rsid w:val="00FD02FB"/>
    <w:rsid w:val="00FD0366"/>
    <w:rsid w:val="00FD0423"/>
    <w:rsid w:val="00FD0571"/>
    <w:rsid w:val="00FD05CA"/>
    <w:rsid w:val="00FD063C"/>
    <w:rsid w:val="00FD0695"/>
    <w:rsid w:val="00FD073A"/>
    <w:rsid w:val="00FD0782"/>
    <w:rsid w:val="00FD088F"/>
    <w:rsid w:val="00FD09F0"/>
    <w:rsid w:val="00FD0A10"/>
    <w:rsid w:val="00FD0A25"/>
    <w:rsid w:val="00FD0ABD"/>
    <w:rsid w:val="00FD0B3E"/>
    <w:rsid w:val="00FD0B8C"/>
    <w:rsid w:val="00FD0D78"/>
    <w:rsid w:val="00FD0DA3"/>
    <w:rsid w:val="00FD0E5C"/>
    <w:rsid w:val="00FD0E60"/>
    <w:rsid w:val="00FD0EBC"/>
    <w:rsid w:val="00FD0EE9"/>
    <w:rsid w:val="00FD1214"/>
    <w:rsid w:val="00FD12E7"/>
    <w:rsid w:val="00FD13B4"/>
    <w:rsid w:val="00FD1434"/>
    <w:rsid w:val="00FD14CA"/>
    <w:rsid w:val="00FD1598"/>
    <w:rsid w:val="00FD16EE"/>
    <w:rsid w:val="00FD1710"/>
    <w:rsid w:val="00FD1721"/>
    <w:rsid w:val="00FD1738"/>
    <w:rsid w:val="00FD17E9"/>
    <w:rsid w:val="00FD1849"/>
    <w:rsid w:val="00FD18DE"/>
    <w:rsid w:val="00FD1940"/>
    <w:rsid w:val="00FD1ADD"/>
    <w:rsid w:val="00FD1C8B"/>
    <w:rsid w:val="00FD1C8E"/>
    <w:rsid w:val="00FD1F0A"/>
    <w:rsid w:val="00FD1F48"/>
    <w:rsid w:val="00FD1FD7"/>
    <w:rsid w:val="00FD2151"/>
    <w:rsid w:val="00FD2395"/>
    <w:rsid w:val="00FD23A7"/>
    <w:rsid w:val="00FD2503"/>
    <w:rsid w:val="00FD265F"/>
    <w:rsid w:val="00FD2702"/>
    <w:rsid w:val="00FD283B"/>
    <w:rsid w:val="00FD2880"/>
    <w:rsid w:val="00FD2A45"/>
    <w:rsid w:val="00FD2A61"/>
    <w:rsid w:val="00FD2A76"/>
    <w:rsid w:val="00FD2AD6"/>
    <w:rsid w:val="00FD2D68"/>
    <w:rsid w:val="00FD2E2E"/>
    <w:rsid w:val="00FD2F24"/>
    <w:rsid w:val="00FD2FB2"/>
    <w:rsid w:val="00FD2FD2"/>
    <w:rsid w:val="00FD30E8"/>
    <w:rsid w:val="00FD31E6"/>
    <w:rsid w:val="00FD327B"/>
    <w:rsid w:val="00FD3285"/>
    <w:rsid w:val="00FD33F4"/>
    <w:rsid w:val="00FD35B4"/>
    <w:rsid w:val="00FD374D"/>
    <w:rsid w:val="00FD37C6"/>
    <w:rsid w:val="00FD3853"/>
    <w:rsid w:val="00FD38B2"/>
    <w:rsid w:val="00FD3981"/>
    <w:rsid w:val="00FD3BA6"/>
    <w:rsid w:val="00FD3CBE"/>
    <w:rsid w:val="00FD3F3A"/>
    <w:rsid w:val="00FD406C"/>
    <w:rsid w:val="00FD40AD"/>
    <w:rsid w:val="00FD420C"/>
    <w:rsid w:val="00FD424A"/>
    <w:rsid w:val="00FD426C"/>
    <w:rsid w:val="00FD428A"/>
    <w:rsid w:val="00FD42A0"/>
    <w:rsid w:val="00FD4470"/>
    <w:rsid w:val="00FD453F"/>
    <w:rsid w:val="00FD4690"/>
    <w:rsid w:val="00FD4817"/>
    <w:rsid w:val="00FD4821"/>
    <w:rsid w:val="00FD497A"/>
    <w:rsid w:val="00FD4A09"/>
    <w:rsid w:val="00FD4A4A"/>
    <w:rsid w:val="00FD4B74"/>
    <w:rsid w:val="00FD4C2A"/>
    <w:rsid w:val="00FD4CFB"/>
    <w:rsid w:val="00FD4D6E"/>
    <w:rsid w:val="00FD4E01"/>
    <w:rsid w:val="00FD4F01"/>
    <w:rsid w:val="00FD4FB7"/>
    <w:rsid w:val="00FD51A2"/>
    <w:rsid w:val="00FD526F"/>
    <w:rsid w:val="00FD5335"/>
    <w:rsid w:val="00FD539E"/>
    <w:rsid w:val="00FD543F"/>
    <w:rsid w:val="00FD5688"/>
    <w:rsid w:val="00FD56D8"/>
    <w:rsid w:val="00FD5797"/>
    <w:rsid w:val="00FD5892"/>
    <w:rsid w:val="00FD5902"/>
    <w:rsid w:val="00FD5961"/>
    <w:rsid w:val="00FD59B9"/>
    <w:rsid w:val="00FD59EC"/>
    <w:rsid w:val="00FD5A21"/>
    <w:rsid w:val="00FD5AF0"/>
    <w:rsid w:val="00FD5BE4"/>
    <w:rsid w:val="00FD5C65"/>
    <w:rsid w:val="00FD5C77"/>
    <w:rsid w:val="00FD5E9F"/>
    <w:rsid w:val="00FD6105"/>
    <w:rsid w:val="00FD62A0"/>
    <w:rsid w:val="00FD62EB"/>
    <w:rsid w:val="00FD630D"/>
    <w:rsid w:val="00FD6313"/>
    <w:rsid w:val="00FD631B"/>
    <w:rsid w:val="00FD6324"/>
    <w:rsid w:val="00FD6437"/>
    <w:rsid w:val="00FD64A6"/>
    <w:rsid w:val="00FD6653"/>
    <w:rsid w:val="00FD667B"/>
    <w:rsid w:val="00FD6691"/>
    <w:rsid w:val="00FD66A2"/>
    <w:rsid w:val="00FD68E9"/>
    <w:rsid w:val="00FD6A23"/>
    <w:rsid w:val="00FD6AB8"/>
    <w:rsid w:val="00FD6AE8"/>
    <w:rsid w:val="00FD6B52"/>
    <w:rsid w:val="00FD6BBE"/>
    <w:rsid w:val="00FD6CD2"/>
    <w:rsid w:val="00FD6DD1"/>
    <w:rsid w:val="00FD6DD7"/>
    <w:rsid w:val="00FD6FA8"/>
    <w:rsid w:val="00FD7099"/>
    <w:rsid w:val="00FD7154"/>
    <w:rsid w:val="00FD7183"/>
    <w:rsid w:val="00FD7269"/>
    <w:rsid w:val="00FD727D"/>
    <w:rsid w:val="00FD7383"/>
    <w:rsid w:val="00FD7395"/>
    <w:rsid w:val="00FD7481"/>
    <w:rsid w:val="00FD74DF"/>
    <w:rsid w:val="00FD75EF"/>
    <w:rsid w:val="00FD77D2"/>
    <w:rsid w:val="00FD77E1"/>
    <w:rsid w:val="00FD783A"/>
    <w:rsid w:val="00FD7903"/>
    <w:rsid w:val="00FD79E9"/>
    <w:rsid w:val="00FD79EB"/>
    <w:rsid w:val="00FD7A6C"/>
    <w:rsid w:val="00FD7BB0"/>
    <w:rsid w:val="00FD7D76"/>
    <w:rsid w:val="00FD7DA6"/>
    <w:rsid w:val="00FD7DA7"/>
    <w:rsid w:val="00FD7DA8"/>
    <w:rsid w:val="00FD7DAD"/>
    <w:rsid w:val="00FD7DF8"/>
    <w:rsid w:val="00FD7E14"/>
    <w:rsid w:val="00FD7E27"/>
    <w:rsid w:val="00FD7F1E"/>
    <w:rsid w:val="00FD7F8C"/>
    <w:rsid w:val="00FD7FE8"/>
    <w:rsid w:val="00FE000E"/>
    <w:rsid w:val="00FE0068"/>
    <w:rsid w:val="00FE0206"/>
    <w:rsid w:val="00FE02AC"/>
    <w:rsid w:val="00FE02D7"/>
    <w:rsid w:val="00FE0431"/>
    <w:rsid w:val="00FE058D"/>
    <w:rsid w:val="00FE063B"/>
    <w:rsid w:val="00FE067B"/>
    <w:rsid w:val="00FE077A"/>
    <w:rsid w:val="00FE081B"/>
    <w:rsid w:val="00FE0914"/>
    <w:rsid w:val="00FE0994"/>
    <w:rsid w:val="00FE0A5B"/>
    <w:rsid w:val="00FE0A71"/>
    <w:rsid w:val="00FE0B72"/>
    <w:rsid w:val="00FE0B87"/>
    <w:rsid w:val="00FE0C17"/>
    <w:rsid w:val="00FE0C88"/>
    <w:rsid w:val="00FE0C94"/>
    <w:rsid w:val="00FE0CE3"/>
    <w:rsid w:val="00FE0DA0"/>
    <w:rsid w:val="00FE0E0B"/>
    <w:rsid w:val="00FE0E75"/>
    <w:rsid w:val="00FE0FD9"/>
    <w:rsid w:val="00FE1011"/>
    <w:rsid w:val="00FE1095"/>
    <w:rsid w:val="00FE10F7"/>
    <w:rsid w:val="00FE1102"/>
    <w:rsid w:val="00FE1107"/>
    <w:rsid w:val="00FE118D"/>
    <w:rsid w:val="00FE128D"/>
    <w:rsid w:val="00FE129B"/>
    <w:rsid w:val="00FE13B5"/>
    <w:rsid w:val="00FE13E7"/>
    <w:rsid w:val="00FE19B2"/>
    <w:rsid w:val="00FE1A4B"/>
    <w:rsid w:val="00FE1A86"/>
    <w:rsid w:val="00FE1B2B"/>
    <w:rsid w:val="00FE1B57"/>
    <w:rsid w:val="00FE1B5E"/>
    <w:rsid w:val="00FE1B64"/>
    <w:rsid w:val="00FE1B9F"/>
    <w:rsid w:val="00FE1C33"/>
    <w:rsid w:val="00FE1CE1"/>
    <w:rsid w:val="00FE1CF1"/>
    <w:rsid w:val="00FE1D2D"/>
    <w:rsid w:val="00FE1DD8"/>
    <w:rsid w:val="00FE1EA4"/>
    <w:rsid w:val="00FE1FDE"/>
    <w:rsid w:val="00FE20F4"/>
    <w:rsid w:val="00FE2226"/>
    <w:rsid w:val="00FE224A"/>
    <w:rsid w:val="00FE2375"/>
    <w:rsid w:val="00FE23E3"/>
    <w:rsid w:val="00FE2401"/>
    <w:rsid w:val="00FE24F9"/>
    <w:rsid w:val="00FE251E"/>
    <w:rsid w:val="00FE2651"/>
    <w:rsid w:val="00FE270F"/>
    <w:rsid w:val="00FE27D8"/>
    <w:rsid w:val="00FE2A29"/>
    <w:rsid w:val="00FE2A4A"/>
    <w:rsid w:val="00FE2A60"/>
    <w:rsid w:val="00FE2CED"/>
    <w:rsid w:val="00FE2CFF"/>
    <w:rsid w:val="00FE2E29"/>
    <w:rsid w:val="00FE2F42"/>
    <w:rsid w:val="00FE2FC8"/>
    <w:rsid w:val="00FE30F8"/>
    <w:rsid w:val="00FE31FD"/>
    <w:rsid w:val="00FE3219"/>
    <w:rsid w:val="00FE3282"/>
    <w:rsid w:val="00FE32D5"/>
    <w:rsid w:val="00FE35D8"/>
    <w:rsid w:val="00FE3673"/>
    <w:rsid w:val="00FE399A"/>
    <w:rsid w:val="00FE3BFA"/>
    <w:rsid w:val="00FE3CE2"/>
    <w:rsid w:val="00FE3E3F"/>
    <w:rsid w:val="00FE3E5A"/>
    <w:rsid w:val="00FE3E9C"/>
    <w:rsid w:val="00FE3F3C"/>
    <w:rsid w:val="00FE3F9B"/>
    <w:rsid w:val="00FE4026"/>
    <w:rsid w:val="00FE4077"/>
    <w:rsid w:val="00FE40B8"/>
    <w:rsid w:val="00FE41A6"/>
    <w:rsid w:val="00FE4232"/>
    <w:rsid w:val="00FE4282"/>
    <w:rsid w:val="00FE4307"/>
    <w:rsid w:val="00FE4355"/>
    <w:rsid w:val="00FE4493"/>
    <w:rsid w:val="00FE466D"/>
    <w:rsid w:val="00FE4763"/>
    <w:rsid w:val="00FE4884"/>
    <w:rsid w:val="00FE48B1"/>
    <w:rsid w:val="00FE4967"/>
    <w:rsid w:val="00FE49EB"/>
    <w:rsid w:val="00FE49FD"/>
    <w:rsid w:val="00FE4A48"/>
    <w:rsid w:val="00FE4B3C"/>
    <w:rsid w:val="00FE4BFA"/>
    <w:rsid w:val="00FE4CB4"/>
    <w:rsid w:val="00FE4D54"/>
    <w:rsid w:val="00FE4F51"/>
    <w:rsid w:val="00FE5166"/>
    <w:rsid w:val="00FE5416"/>
    <w:rsid w:val="00FE5456"/>
    <w:rsid w:val="00FE5486"/>
    <w:rsid w:val="00FE54FE"/>
    <w:rsid w:val="00FE554B"/>
    <w:rsid w:val="00FE5589"/>
    <w:rsid w:val="00FE55A7"/>
    <w:rsid w:val="00FE56DD"/>
    <w:rsid w:val="00FE5823"/>
    <w:rsid w:val="00FE589A"/>
    <w:rsid w:val="00FE58A2"/>
    <w:rsid w:val="00FE5BC2"/>
    <w:rsid w:val="00FE5BE4"/>
    <w:rsid w:val="00FE5C64"/>
    <w:rsid w:val="00FE5C65"/>
    <w:rsid w:val="00FE5DAA"/>
    <w:rsid w:val="00FE5DEE"/>
    <w:rsid w:val="00FE5E59"/>
    <w:rsid w:val="00FE5E80"/>
    <w:rsid w:val="00FE5E8E"/>
    <w:rsid w:val="00FE5EB1"/>
    <w:rsid w:val="00FE5EB6"/>
    <w:rsid w:val="00FE5ECE"/>
    <w:rsid w:val="00FE5F69"/>
    <w:rsid w:val="00FE5F7B"/>
    <w:rsid w:val="00FE6081"/>
    <w:rsid w:val="00FE632E"/>
    <w:rsid w:val="00FE64DE"/>
    <w:rsid w:val="00FE65FE"/>
    <w:rsid w:val="00FE66CA"/>
    <w:rsid w:val="00FE66E6"/>
    <w:rsid w:val="00FE68B7"/>
    <w:rsid w:val="00FE6C7E"/>
    <w:rsid w:val="00FE6CAA"/>
    <w:rsid w:val="00FE6D18"/>
    <w:rsid w:val="00FE6DE0"/>
    <w:rsid w:val="00FE6F19"/>
    <w:rsid w:val="00FE6F5B"/>
    <w:rsid w:val="00FE70D1"/>
    <w:rsid w:val="00FE7381"/>
    <w:rsid w:val="00FE752A"/>
    <w:rsid w:val="00FE764D"/>
    <w:rsid w:val="00FE7655"/>
    <w:rsid w:val="00FE7665"/>
    <w:rsid w:val="00FE7719"/>
    <w:rsid w:val="00FE77A8"/>
    <w:rsid w:val="00FE77ED"/>
    <w:rsid w:val="00FE7899"/>
    <w:rsid w:val="00FE7A86"/>
    <w:rsid w:val="00FE7B1C"/>
    <w:rsid w:val="00FE7B3F"/>
    <w:rsid w:val="00FE7B41"/>
    <w:rsid w:val="00FE7BBD"/>
    <w:rsid w:val="00FE7C42"/>
    <w:rsid w:val="00FE7C55"/>
    <w:rsid w:val="00FE7C5E"/>
    <w:rsid w:val="00FE7D5E"/>
    <w:rsid w:val="00FE7D90"/>
    <w:rsid w:val="00FE7D93"/>
    <w:rsid w:val="00FE7DFB"/>
    <w:rsid w:val="00FE7E0E"/>
    <w:rsid w:val="00FE7EBC"/>
    <w:rsid w:val="00FE7F8E"/>
    <w:rsid w:val="00FE7FE0"/>
    <w:rsid w:val="00FF0032"/>
    <w:rsid w:val="00FF0089"/>
    <w:rsid w:val="00FF009A"/>
    <w:rsid w:val="00FF00B8"/>
    <w:rsid w:val="00FF0194"/>
    <w:rsid w:val="00FF0518"/>
    <w:rsid w:val="00FF057B"/>
    <w:rsid w:val="00FF0695"/>
    <w:rsid w:val="00FF0724"/>
    <w:rsid w:val="00FF073F"/>
    <w:rsid w:val="00FF075C"/>
    <w:rsid w:val="00FF07D7"/>
    <w:rsid w:val="00FF0A18"/>
    <w:rsid w:val="00FF0B12"/>
    <w:rsid w:val="00FF0B22"/>
    <w:rsid w:val="00FF0B93"/>
    <w:rsid w:val="00FF0C00"/>
    <w:rsid w:val="00FF0CE7"/>
    <w:rsid w:val="00FF0DC0"/>
    <w:rsid w:val="00FF0DEF"/>
    <w:rsid w:val="00FF0E56"/>
    <w:rsid w:val="00FF11CE"/>
    <w:rsid w:val="00FF1484"/>
    <w:rsid w:val="00FF149D"/>
    <w:rsid w:val="00FF1521"/>
    <w:rsid w:val="00FF164D"/>
    <w:rsid w:val="00FF1AB7"/>
    <w:rsid w:val="00FF1BFE"/>
    <w:rsid w:val="00FF1CEC"/>
    <w:rsid w:val="00FF1CF2"/>
    <w:rsid w:val="00FF1D10"/>
    <w:rsid w:val="00FF1DD5"/>
    <w:rsid w:val="00FF1E1B"/>
    <w:rsid w:val="00FF1E98"/>
    <w:rsid w:val="00FF2142"/>
    <w:rsid w:val="00FF2145"/>
    <w:rsid w:val="00FF2174"/>
    <w:rsid w:val="00FF226E"/>
    <w:rsid w:val="00FF22BC"/>
    <w:rsid w:val="00FF2314"/>
    <w:rsid w:val="00FF236E"/>
    <w:rsid w:val="00FF237E"/>
    <w:rsid w:val="00FF238F"/>
    <w:rsid w:val="00FF23BA"/>
    <w:rsid w:val="00FF2478"/>
    <w:rsid w:val="00FF250A"/>
    <w:rsid w:val="00FF25E3"/>
    <w:rsid w:val="00FF25F1"/>
    <w:rsid w:val="00FF264B"/>
    <w:rsid w:val="00FF26C2"/>
    <w:rsid w:val="00FF270B"/>
    <w:rsid w:val="00FF2843"/>
    <w:rsid w:val="00FF28C9"/>
    <w:rsid w:val="00FF29AE"/>
    <w:rsid w:val="00FF2A5D"/>
    <w:rsid w:val="00FF2B22"/>
    <w:rsid w:val="00FF2B68"/>
    <w:rsid w:val="00FF2BAC"/>
    <w:rsid w:val="00FF2C7E"/>
    <w:rsid w:val="00FF2DBB"/>
    <w:rsid w:val="00FF2E66"/>
    <w:rsid w:val="00FF2EA7"/>
    <w:rsid w:val="00FF2F60"/>
    <w:rsid w:val="00FF2F68"/>
    <w:rsid w:val="00FF2F8F"/>
    <w:rsid w:val="00FF2FC4"/>
    <w:rsid w:val="00FF315F"/>
    <w:rsid w:val="00FF3214"/>
    <w:rsid w:val="00FF3266"/>
    <w:rsid w:val="00FF32FC"/>
    <w:rsid w:val="00FF334C"/>
    <w:rsid w:val="00FF3462"/>
    <w:rsid w:val="00FF3469"/>
    <w:rsid w:val="00FF358F"/>
    <w:rsid w:val="00FF373F"/>
    <w:rsid w:val="00FF387C"/>
    <w:rsid w:val="00FF39E4"/>
    <w:rsid w:val="00FF3A0C"/>
    <w:rsid w:val="00FF3AB4"/>
    <w:rsid w:val="00FF3AE6"/>
    <w:rsid w:val="00FF3B4E"/>
    <w:rsid w:val="00FF3D04"/>
    <w:rsid w:val="00FF3D90"/>
    <w:rsid w:val="00FF3EC2"/>
    <w:rsid w:val="00FF3FFA"/>
    <w:rsid w:val="00FF403D"/>
    <w:rsid w:val="00FF4048"/>
    <w:rsid w:val="00FF40AD"/>
    <w:rsid w:val="00FF40BD"/>
    <w:rsid w:val="00FF40D4"/>
    <w:rsid w:val="00FF42FC"/>
    <w:rsid w:val="00FF4450"/>
    <w:rsid w:val="00FF457C"/>
    <w:rsid w:val="00FF4717"/>
    <w:rsid w:val="00FF476B"/>
    <w:rsid w:val="00FF4930"/>
    <w:rsid w:val="00FF4A4B"/>
    <w:rsid w:val="00FF4BC1"/>
    <w:rsid w:val="00FF4C70"/>
    <w:rsid w:val="00FF4C77"/>
    <w:rsid w:val="00FF4CC5"/>
    <w:rsid w:val="00FF4F8C"/>
    <w:rsid w:val="00FF50FF"/>
    <w:rsid w:val="00FF51CF"/>
    <w:rsid w:val="00FF535A"/>
    <w:rsid w:val="00FF53E3"/>
    <w:rsid w:val="00FF569F"/>
    <w:rsid w:val="00FF57B0"/>
    <w:rsid w:val="00FF58E3"/>
    <w:rsid w:val="00FF5A6F"/>
    <w:rsid w:val="00FF5AC9"/>
    <w:rsid w:val="00FF5BCA"/>
    <w:rsid w:val="00FF6013"/>
    <w:rsid w:val="00FF60CA"/>
    <w:rsid w:val="00FF61F7"/>
    <w:rsid w:val="00FF6231"/>
    <w:rsid w:val="00FF6261"/>
    <w:rsid w:val="00FF6401"/>
    <w:rsid w:val="00FF6509"/>
    <w:rsid w:val="00FF656E"/>
    <w:rsid w:val="00FF66A9"/>
    <w:rsid w:val="00FF697D"/>
    <w:rsid w:val="00FF69E3"/>
    <w:rsid w:val="00FF6B18"/>
    <w:rsid w:val="00FF6B79"/>
    <w:rsid w:val="00FF6B9B"/>
    <w:rsid w:val="00FF6C56"/>
    <w:rsid w:val="00FF6CB7"/>
    <w:rsid w:val="00FF6D6B"/>
    <w:rsid w:val="00FF6E1B"/>
    <w:rsid w:val="00FF6F74"/>
    <w:rsid w:val="00FF6FC1"/>
    <w:rsid w:val="00FF7066"/>
    <w:rsid w:val="00FF7096"/>
    <w:rsid w:val="00FF70F4"/>
    <w:rsid w:val="00FF71EC"/>
    <w:rsid w:val="00FF72C0"/>
    <w:rsid w:val="00FF74B4"/>
    <w:rsid w:val="00FF74E4"/>
    <w:rsid w:val="00FF75AA"/>
    <w:rsid w:val="00FF7622"/>
    <w:rsid w:val="00FF7640"/>
    <w:rsid w:val="00FF76DA"/>
    <w:rsid w:val="00FF7734"/>
    <w:rsid w:val="00FF79BC"/>
    <w:rsid w:val="00FF7A98"/>
    <w:rsid w:val="00FF7B1D"/>
    <w:rsid w:val="00FF7B92"/>
    <w:rsid w:val="00FF7E28"/>
    <w:rsid w:val="00FF7EF5"/>
    <w:rsid w:val="00FF7F0D"/>
    <w:rsid w:val="00FF7F7D"/>
    <w:rsid w:val="010C6056"/>
    <w:rsid w:val="01C1C2C1"/>
    <w:rsid w:val="01E1291D"/>
    <w:rsid w:val="02261F45"/>
    <w:rsid w:val="02CAFC71"/>
    <w:rsid w:val="03303EA7"/>
    <w:rsid w:val="04E6B73E"/>
    <w:rsid w:val="04F75481"/>
    <w:rsid w:val="04F9ACC3"/>
    <w:rsid w:val="06025BFF"/>
    <w:rsid w:val="061C0839"/>
    <w:rsid w:val="06D6AAA5"/>
    <w:rsid w:val="06D9ECF7"/>
    <w:rsid w:val="06E2C4D5"/>
    <w:rsid w:val="076CD866"/>
    <w:rsid w:val="0781C6C8"/>
    <w:rsid w:val="07D5B7AB"/>
    <w:rsid w:val="08658426"/>
    <w:rsid w:val="08E26913"/>
    <w:rsid w:val="08F3430A"/>
    <w:rsid w:val="0916D943"/>
    <w:rsid w:val="094078C6"/>
    <w:rsid w:val="0A22E2D9"/>
    <w:rsid w:val="0A46436B"/>
    <w:rsid w:val="0A503AE5"/>
    <w:rsid w:val="0BAF0EBC"/>
    <w:rsid w:val="0C10AFF2"/>
    <w:rsid w:val="0C35D204"/>
    <w:rsid w:val="0C4B4EA9"/>
    <w:rsid w:val="0C4C398D"/>
    <w:rsid w:val="0C5D3294"/>
    <w:rsid w:val="0CDAB83C"/>
    <w:rsid w:val="0CF2D70C"/>
    <w:rsid w:val="0D6D5749"/>
    <w:rsid w:val="0DB6D3AA"/>
    <w:rsid w:val="0DFDD016"/>
    <w:rsid w:val="0E02A9DD"/>
    <w:rsid w:val="0E134B00"/>
    <w:rsid w:val="0F3199EA"/>
    <w:rsid w:val="0F4A6DCE"/>
    <w:rsid w:val="0F6EB3C4"/>
    <w:rsid w:val="0FA372CD"/>
    <w:rsid w:val="1009D367"/>
    <w:rsid w:val="1183D076"/>
    <w:rsid w:val="11DB4583"/>
    <w:rsid w:val="123E5C72"/>
    <w:rsid w:val="126AD289"/>
    <w:rsid w:val="12C6BA4C"/>
    <w:rsid w:val="13066822"/>
    <w:rsid w:val="1314F8DB"/>
    <w:rsid w:val="13282DBF"/>
    <w:rsid w:val="141E64FF"/>
    <w:rsid w:val="14542C22"/>
    <w:rsid w:val="149962BD"/>
    <w:rsid w:val="14E8BF4B"/>
    <w:rsid w:val="152E930E"/>
    <w:rsid w:val="15A78EA6"/>
    <w:rsid w:val="162CDA63"/>
    <w:rsid w:val="164E500C"/>
    <w:rsid w:val="1664782D"/>
    <w:rsid w:val="167DF973"/>
    <w:rsid w:val="1752B66C"/>
    <w:rsid w:val="1898A316"/>
    <w:rsid w:val="18B39167"/>
    <w:rsid w:val="18B68A04"/>
    <w:rsid w:val="18BE73B9"/>
    <w:rsid w:val="18FF427C"/>
    <w:rsid w:val="19661C44"/>
    <w:rsid w:val="197C000D"/>
    <w:rsid w:val="199306A8"/>
    <w:rsid w:val="1A1692A6"/>
    <w:rsid w:val="1A9333B0"/>
    <w:rsid w:val="1AE03FD3"/>
    <w:rsid w:val="1AE242D2"/>
    <w:rsid w:val="1B010CBD"/>
    <w:rsid w:val="1B291613"/>
    <w:rsid w:val="1B39944B"/>
    <w:rsid w:val="1B5A30E1"/>
    <w:rsid w:val="1BFE067E"/>
    <w:rsid w:val="1C49B15B"/>
    <w:rsid w:val="1C6DB55A"/>
    <w:rsid w:val="1CB2DFF8"/>
    <w:rsid w:val="1D2BD7EF"/>
    <w:rsid w:val="1D36C836"/>
    <w:rsid w:val="1D3E54BA"/>
    <w:rsid w:val="1D682B6E"/>
    <w:rsid w:val="1D6A9D65"/>
    <w:rsid w:val="1D9DC425"/>
    <w:rsid w:val="1E8C5A22"/>
    <w:rsid w:val="1E96492F"/>
    <w:rsid w:val="1ED45F5A"/>
    <w:rsid w:val="1F210F7E"/>
    <w:rsid w:val="1F315118"/>
    <w:rsid w:val="1F799E74"/>
    <w:rsid w:val="1F857919"/>
    <w:rsid w:val="204F1D39"/>
    <w:rsid w:val="20911749"/>
    <w:rsid w:val="21015404"/>
    <w:rsid w:val="21385CC0"/>
    <w:rsid w:val="2171E983"/>
    <w:rsid w:val="217399C2"/>
    <w:rsid w:val="2181B14D"/>
    <w:rsid w:val="21BDB60F"/>
    <w:rsid w:val="21C6B819"/>
    <w:rsid w:val="235A8C70"/>
    <w:rsid w:val="239AD713"/>
    <w:rsid w:val="23BB75A6"/>
    <w:rsid w:val="23BE7F7A"/>
    <w:rsid w:val="23D61E9A"/>
    <w:rsid w:val="242FCD8C"/>
    <w:rsid w:val="2500047D"/>
    <w:rsid w:val="2503D484"/>
    <w:rsid w:val="2510F6E2"/>
    <w:rsid w:val="256CAAEE"/>
    <w:rsid w:val="258308EC"/>
    <w:rsid w:val="258D3685"/>
    <w:rsid w:val="259D0C19"/>
    <w:rsid w:val="260B75D0"/>
    <w:rsid w:val="264120C9"/>
    <w:rsid w:val="2650D223"/>
    <w:rsid w:val="266CF16D"/>
    <w:rsid w:val="26ED03E7"/>
    <w:rsid w:val="2712015D"/>
    <w:rsid w:val="274E2352"/>
    <w:rsid w:val="276475EA"/>
    <w:rsid w:val="2776B55A"/>
    <w:rsid w:val="27A3BED3"/>
    <w:rsid w:val="27C4740E"/>
    <w:rsid w:val="2838BE54"/>
    <w:rsid w:val="28B4F402"/>
    <w:rsid w:val="28F18C9D"/>
    <w:rsid w:val="2920BB80"/>
    <w:rsid w:val="293E48E5"/>
    <w:rsid w:val="29B532BB"/>
    <w:rsid w:val="2A18F71C"/>
    <w:rsid w:val="2AE1E338"/>
    <w:rsid w:val="2B08010C"/>
    <w:rsid w:val="2B09C686"/>
    <w:rsid w:val="2B1DFC1C"/>
    <w:rsid w:val="2B9AD22C"/>
    <w:rsid w:val="2C30F94E"/>
    <w:rsid w:val="2C805AA1"/>
    <w:rsid w:val="2C813CF5"/>
    <w:rsid w:val="2CB4CDBA"/>
    <w:rsid w:val="2CF21A09"/>
    <w:rsid w:val="2DA3F883"/>
    <w:rsid w:val="2DEA04EF"/>
    <w:rsid w:val="2E752CAA"/>
    <w:rsid w:val="2FBB6159"/>
    <w:rsid w:val="2FBE04C7"/>
    <w:rsid w:val="300AAF31"/>
    <w:rsid w:val="3037C6FE"/>
    <w:rsid w:val="30985B51"/>
    <w:rsid w:val="30A23AA3"/>
    <w:rsid w:val="3106BF01"/>
    <w:rsid w:val="3122EB46"/>
    <w:rsid w:val="316C7619"/>
    <w:rsid w:val="32827E12"/>
    <w:rsid w:val="32D5DF6E"/>
    <w:rsid w:val="331E9308"/>
    <w:rsid w:val="33AC843D"/>
    <w:rsid w:val="33B92A6F"/>
    <w:rsid w:val="34104C23"/>
    <w:rsid w:val="3429F0EA"/>
    <w:rsid w:val="342AE048"/>
    <w:rsid w:val="34418A8A"/>
    <w:rsid w:val="344E9652"/>
    <w:rsid w:val="34649988"/>
    <w:rsid w:val="347BA198"/>
    <w:rsid w:val="34A1A037"/>
    <w:rsid w:val="3563FBD4"/>
    <w:rsid w:val="357971AB"/>
    <w:rsid w:val="357ECCA5"/>
    <w:rsid w:val="3584B238"/>
    <w:rsid w:val="358E5721"/>
    <w:rsid w:val="36028646"/>
    <w:rsid w:val="36274FA1"/>
    <w:rsid w:val="36B838FF"/>
    <w:rsid w:val="373EFA42"/>
    <w:rsid w:val="377ED9E8"/>
    <w:rsid w:val="37938239"/>
    <w:rsid w:val="37EC8E2D"/>
    <w:rsid w:val="381916AB"/>
    <w:rsid w:val="382C94EA"/>
    <w:rsid w:val="383530D9"/>
    <w:rsid w:val="385F955C"/>
    <w:rsid w:val="3873528A"/>
    <w:rsid w:val="3879C758"/>
    <w:rsid w:val="3887B1BB"/>
    <w:rsid w:val="38DCE635"/>
    <w:rsid w:val="38E3A989"/>
    <w:rsid w:val="38F73BF4"/>
    <w:rsid w:val="3985BE4B"/>
    <w:rsid w:val="39BF9CC4"/>
    <w:rsid w:val="39FDB57F"/>
    <w:rsid w:val="3A24A14B"/>
    <w:rsid w:val="3A2BCBE8"/>
    <w:rsid w:val="3A4AED05"/>
    <w:rsid w:val="3B594AD6"/>
    <w:rsid w:val="3B7AFDD7"/>
    <w:rsid w:val="3B875C9B"/>
    <w:rsid w:val="3BC0C5F8"/>
    <w:rsid w:val="3BCE5C52"/>
    <w:rsid w:val="3BEB6F58"/>
    <w:rsid w:val="3C1E3C53"/>
    <w:rsid w:val="3C1E4E74"/>
    <w:rsid w:val="3C2EF675"/>
    <w:rsid w:val="3C55E93D"/>
    <w:rsid w:val="3D191225"/>
    <w:rsid w:val="3D1E979C"/>
    <w:rsid w:val="3D246E2C"/>
    <w:rsid w:val="3DEF3C99"/>
    <w:rsid w:val="3DF62EAC"/>
    <w:rsid w:val="3E510424"/>
    <w:rsid w:val="3EBECA1E"/>
    <w:rsid w:val="3EBF6142"/>
    <w:rsid w:val="3ECEFDA1"/>
    <w:rsid w:val="3ED24415"/>
    <w:rsid w:val="3F56B29A"/>
    <w:rsid w:val="3FF87577"/>
    <w:rsid w:val="406E37FF"/>
    <w:rsid w:val="4124186A"/>
    <w:rsid w:val="41501B45"/>
    <w:rsid w:val="416DF97C"/>
    <w:rsid w:val="416E09AA"/>
    <w:rsid w:val="41D2DB77"/>
    <w:rsid w:val="420BA640"/>
    <w:rsid w:val="42DD8E9D"/>
    <w:rsid w:val="4323A59F"/>
    <w:rsid w:val="433EC0CF"/>
    <w:rsid w:val="437FE854"/>
    <w:rsid w:val="443D3A0C"/>
    <w:rsid w:val="4478A070"/>
    <w:rsid w:val="447E244C"/>
    <w:rsid w:val="450B5DFC"/>
    <w:rsid w:val="450CD11C"/>
    <w:rsid w:val="45245C0D"/>
    <w:rsid w:val="45C7D60B"/>
    <w:rsid w:val="4636AA1C"/>
    <w:rsid w:val="465F82EC"/>
    <w:rsid w:val="4674C800"/>
    <w:rsid w:val="467E3E9F"/>
    <w:rsid w:val="46DFF2C4"/>
    <w:rsid w:val="46F29102"/>
    <w:rsid w:val="472BAD5A"/>
    <w:rsid w:val="472FDF3C"/>
    <w:rsid w:val="475C28A2"/>
    <w:rsid w:val="47C48939"/>
    <w:rsid w:val="47E518D2"/>
    <w:rsid w:val="485A824E"/>
    <w:rsid w:val="485F2804"/>
    <w:rsid w:val="494FD6A4"/>
    <w:rsid w:val="49617030"/>
    <w:rsid w:val="4996A152"/>
    <w:rsid w:val="49ECB0F2"/>
    <w:rsid w:val="4A1A301A"/>
    <w:rsid w:val="4A4A4ACE"/>
    <w:rsid w:val="4A69CE56"/>
    <w:rsid w:val="4AB65D7E"/>
    <w:rsid w:val="4AC4C386"/>
    <w:rsid w:val="4B013623"/>
    <w:rsid w:val="4B1641E2"/>
    <w:rsid w:val="4B6108DA"/>
    <w:rsid w:val="4B89D2D2"/>
    <w:rsid w:val="4BC6597E"/>
    <w:rsid w:val="4BE3864A"/>
    <w:rsid w:val="4C113EF8"/>
    <w:rsid w:val="4C1E35A8"/>
    <w:rsid w:val="4C8275BC"/>
    <w:rsid w:val="4D224D2E"/>
    <w:rsid w:val="4D89A575"/>
    <w:rsid w:val="4D90E508"/>
    <w:rsid w:val="4E00CCFA"/>
    <w:rsid w:val="4E99592D"/>
    <w:rsid w:val="4EB6CF14"/>
    <w:rsid w:val="4F3FE828"/>
    <w:rsid w:val="4F4A551F"/>
    <w:rsid w:val="4F9609DC"/>
    <w:rsid w:val="4FB4F95D"/>
    <w:rsid w:val="4FC5399B"/>
    <w:rsid w:val="4FDCA4CE"/>
    <w:rsid w:val="4FE8176C"/>
    <w:rsid w:val="5024B94E"/>
    <w:rsid w:val="504A7632"/>
    <w:rsid w:val="505100ED"/>
    <w:rsid w:val="5051D2B0"/>
    <w:rsid w:val="50AFF88C"/>
    <w:rsid w:val="50F400BA"/>
    <w:rsid w:val="51F38A2B"/>
    <w:rsid w:val="529CC0F0"/>
    <w:rsid w:val="52E15702"/>
    <w:rsid w:val="536D4398"/>
    <w:rsid w:val="53A5BC5B"/>
    <w:rsid w:val="53F86DE8"/>
    <w:rsid w:val="55325F0D"/>
    <w:rsid w:val="55369F8C"/>
    <w:rsid w:val="556EDED4"/>
    <w:rsid w:val="558AD52B"/>
    <w:rsid w:val="56A6DFBF"/>
    <w:rsid w:val="57005801"/>
    <w:rsid w:val="5757DDDD"/>
    <w:rsid w:val="57EE0105"/>
    <w:rsid w:val="582AA30C"/>
    <w:rsid w:val="58AA0EE9"/>
    <w:rsid w:val="58CAC8D8"/>
    <w:rsid w:val="59251BF0"/>
    <w:rsid w:val="59542FA9"/>
    <w:rsid w:val="599D1046"/>
    <w:rsid w:val="59EC184A"/>
    <w:rsid w:val="5A0234FE"/>
    <w:rsid w:val="5A4B08AD"/>
    <w:rsid w:val="5A945BA8"/>
    <w:rsid w:val="5ACCABFB"/>
    <w:rsid w:val="5AED39DE"/>
    <w:rsid w:val="5AFD9CDF"/>
    <w:rsid w:val="5B06E52E"/>
    <w:rsid w:val="5B28DA5F"/>
    <w:rsid w:val="5C11C112"/>
    <w:rsid w:val="5C3FF9C3"/>
    <w:rsid w:val="5C6538A1"/>
    <w:rsid w:val="5C6CC905"/>
    <w:rsid w:val="5D04DC1A"/>
    <w:rsid w:val="5D56975F"/>
    <w:rsid w:val="5D75AD76"/>
    <w:rsid w:val="5D9E0C4F"/>
    <w:rsid w:val="5F123E8E"/>
    <w:rsid w:val="5F1CCE5C"/>
    <w:rsid w:val="5F2D6953"/>
    <w:rsid w:val="5F979F1A"/>
    <w:rsid w:val="5FBBD3A2"/>
    <w:rsid w:val="5FE630DC"/>
    <w:rsid w:val="60126381"/>
    <w:rsid w:val="60627C40"/>
    <w:rsid w:val="60B7FF5A"/>
    <w:rsid w:val="60E051C3"/>
    <w:rsid w:val="61081226"/>
    <w:rsid w:val="611E0E14"/>
    <w:rsid w:val="61890CA2"/>
    <w:rsid w:val="621E10AC"/>
    <w:rsid w:val="6257A739"/>
    <w:rsid w:val="62FAA47A"/>
    <w:rsid w:val="6370FE62"/>
    <w:rsid w:val="637853FF"/>
    <w:rsid w:val="63B22950"/>
    <w:rsid w:val="63C05A95"/>
    <w:rsid w:val="63D7497D"/>
    <w:rsid w:val="63E88330"/>
    <w:rsid w:val="63EBBF95"/>
    <w:rsid w:val="6408430E"/>
    <w:rsid w:val="6446C62C"/>
    <w:rsid w:val="64BA5164"/>
    <w:rsid w:val="64C6EE02"/>
    <w:rsid w:val="64E35A1F"/>
    <w:rsid w:val="6603044B"/>
    <w:rsid w:val="6621A373"/>
    <w:rsid w:val="673019CE"/>
    <w:rsid w:val="6741DF72"/>
    <w:rsid w:val="676FB8FA"/>
    <w:rsid w:val="682E6569"/>
    <w:rsid w:val="68446EC7"/>
    <w:rsid w:val="686D7559"/>
    <w:rsid w:val="6889D8B8"/>
    <w:rsid w:val="6892C3B2"/>
    <w:rsid w:val="690E0A57"/>
    <w:rsid w:val="691A895A"/>
    <w:rsid w:val="694FB6AF"/>
    <w:rsid w:val="69ADCEDD"/>
    <w:rsid w:val="69C2E19B"/>
    <w:rsid w:val="69D4AB1C"/>
    <w:rsid w:val="69ED1B78"/>
    <w:rsid w:val="6AA496B2"/>
    <w:rsid w:val="6AAC61CD"/>
    <w:rsid w:val="6AD1A275"/>
    <w:rsid w:val="6ADFC3C8"/>
    <w:rsid w:val="6AF955F2"/>
    <w:rsid w:val="6BA7589F"/>
    <w:rsid w:val="6BAAC3D4"/>
    <w:rsid w:val="6BFBCAB4"/>
    <w:rsid w:val="6C0F9170"/>
    <w:rsid w:val="6C3CB35E"/>
    <w:rsid w:val="6CCE2E47"/>
    <w:rsid w:val="6D2A2E8F"/>
    <w:rsid w:val="6D30BC81"/>
    <w:rsid w:val="6D8B401E"/>
    <w:rsid w:val="6DDBB550"/>
    <w:rsid w:val="6DE264FD"/>
    <w:rsid w:val="6E02414E"/>
    <w:rsid w:val="6E322E19"/>
    <w:rsid w:val="6E401CA7"/>
    <w:rsid w:val="6E97BD5D"/>
    <w:rsid w:val="6ED271A3"/>
    <w:rsid w:val="6F7AC663"/>
    <w:rsid w:val="6F961599"/>
    <w:rsid w:val="6FB4821B"/>
    <w:rsid w:val="702448C2"/>
    <w:rsid w:val="7053A459"/>
    <w:rsid w:val="7057A176"/>
    <w:rsid w:val="70627341"/>
    <w:rsid w:val="7065E632"/>
    <w:rsid w:val="706762A9"/>
    <w:rsid w:val="706D2BB6"/>
    <w:rsid w:val="7120EF91"/>
    <w:rsid w:val="71257A15"/>
    <w:rsid w:val="71799E9B"/>
    <w:rsid w:val="7183F9F7"/>
    <w:rsid w:val="71E370E5"/>
    <w:rsid w:val="720C408B"/>
    <w:rsid w:val="720F2D83"/>
    <w:rsid w:val="725537E3"/>
    <w:rsid w:val="731CC2A0"/>
    <w:rsid w:val="734FDB8D"/>
    <w:rsid w:val="73BA69B5"/>
    <w:rsid w:val="73D707A4"/>
    <w:rsid w:val="73F18DB1"/>
    <w:rsid w:val="741220BA"/>
    <w:rsid w:val="74143E6B"/>
    <w:rsid w:val="744CCA61"/>
    <w:rsid w:val="74D0CE4F"/>
    <w:rsid w:val="75A240C6"/>
    <w:rsid w:val="75A5DAAF"/>
    <w:rsid w:val="75B2577D"/>
    <w:rsid w:val="75E94D46"/>
    <w:rsid w:val="76441797"/>
    <w:rsid w:val="769D3AD7"/>
    <w:rsid w:val="769E7A08"/>
    <w:rsid w:val="774EC7F0"/>
    <w:rsid w:val="77EFA1D7"/>
    <w:rsid w:val="7805DFC5"/>
    <w:rsid w:val="78133675"/>
    <w:rsid w:val="78308C09"/>
    <w:rsid w:val="785A75B7"/>
    <w:rsid w:val="78755ACE"/>
    <w:rsid w:val="79877123"/>
    <w:rsid w:val="79A22223"/>
    <w:rsid w:val="7A072E89"/>
    <w:rsid w:val="7A51D879"/>
    <w:rsid w:val="7A587E13"/>
    <w:rsid w:val="7AAF93F7"/>
    <w:rsid w:val="7B29839D"/>
    <w:rsid w:val="7B6BB8C5"/>
    <w:rsid w:val="7C07F963"/>
    <w:rsid w:val="7C188BE6"/>
    <w:rsid w:val="7C2DD7E9"/>
    <w:rsid w:val="7D120E50"/>
    <w:rsid w:val="7DB763FF"/>
    <w:rsid w:val="7DBDC09F"/>
    <w:rsid w:val="7DC7BD09"/>
    <w:rsid w:val="7E36AE1C"/>
    <w:rsid w:val="7E57B55D"/>
    <w:rsid w:val="7E9208CA"/>
    <w:rsid w:val="7E95C06B"/>
    <w:rsid w:val="7F0073F7"/>
    <w:rsid w:val="7F2E8365"/>
    <w:rsid w:val="7F6F1A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CEC99"/>
  <w15:docId w15:val="{7C0BA962-C006-4141-BD28-2B5FF9B0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7FD"/>
    <w:pPr>
      <w:spacing w:before="160" w:line="336" w:lineRule="auto"/>
    </w:pPr>
    <w:rPr>
      <w:lang w:val="en-AU"/>
    </w:rPr>
  </w:style>
  <w:style w:type="paragraph" w:styleId="Heading1">
    <w:name w:val="heading 1"/>
    <w:basedOn w:val="Normal"/>
    <w:next w:val="Normal"/>
    <w:link w:val="Heading1Char"/>
    <w:uiPriority w:val="9"/>
    <w:qFormat/>
    <w:rsid w:val="007E1738"/>
    <w:pPr>
      <w:keepNext/>
      <w:keepLines/>
      <w:pageBreakBefore/>
      <w:spacing w:before="240" w:after="320"/>
      <w:outlineLvl w:val="0"/>
    </w:pPr>
    <w:rPr>
      <w:rFonts w:ascii="Tahoma" w:eastAsiaTheme="majorEastAsia" w:hAnsi="Tahoma" w:cstheme="majorBidi"/>
      <w:color w:val="D50032" w:themeColor="accent6"/>
      <w:sz w:val="40"/>
      <w:szCs w:val="32"/>
    </w:rPr>
  </w:style>
  <w:style w:type="paragraph" w:styleId="Heading2">
    <w:name w:val="heading 2"/>
    <w:basedOn w:val="Normal"/>
    <w:next w:val="Normal"/>
    <w:link w:val="Heading2Char"/>
    <w:uiPriority w:val="9"/>
    <w:unhideWhenUsed/>
    <w:qFormat/>
    <w:rsid w:val="00AB0CA8"/>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AB0CA8"/>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AB0CA8"/>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unhideWhenUsed/>
    <w:rsid w:val="00E4764D"/>
    <w:pPr>
      <w:keepNext/>
      <w:keepLines/>
      <w:spacing w:before="200" w:after="0"/>
      <w:outlineLvl w:val="4"/>
    </w:pPr>
    <w:rPr>
      <w:rFonts w:asciiTheme="majorHAnsi" w:eastAsiaTheme="majorEastAsia" w:hAnsiTheme="majorHAnsi" w:cstheme="majorBidi"/>
      <w:i/>
      <w:color w:val="113048" w:themeColor="accent1" w:themeShade="7F"/>
    </w:rPr>
  </w:style>
  <w:style w:type="paragraph" w:styleId="Heading6">
    <w:name w:val="heading 6"/>
    <w:basedOn w:val="Normal"/>
    <w:next w:val="Normal"/>
    <w:link w:val="Heading6Char"/>
    <w:uiPriority w:val="9"/>
    <w:unhideWhenUsed/>
    <w:qFormat/>
    <w:rsid w:val="00C509DF"/>
    <w:pPr>
      <w:keepNext/>
      <w:keepLines/>
      <w:spacing w:before="40" w:after="0"/>
      <w:outlineLvl w:val="5"/>
    </w:pPr>
    <w:rPr>
      <w:rFonts w:asciiTheme="majorHAnsi" w:eastAsiaTheme="majorEastAsia" w:hAnsiTheme="majorHAnsi" w:cstheme="majorBidi"/>
      <w:color w:val="113048" w:themeColor="accent1" w:themeShade="7F"/>
    </w:rPr>
  </w:style>
  <w:style w:type="paragraph" w:styleId="Heading7">
    <w:name w:val="heading 7"/>
    <w:basedOn w:val="Normal"/>
    <w:next w:val="Normal"/>
    <w:link w:val="Heading7Char"/>
    <w:uiPriority w:val="9"/>
    <w:unhideWhenUsed/>
    <w:qFormat/>
    <w:rsid w:val="00456DBF"/>
    <w:pPr>
      <w:keepNext/>
      <w:keepLines/>
      <w:spacing w:before="40" w:after="0"/>
      <w:outlineLvl w:val="6"/>
    </w:pPr>
    <w:rPr>
      <w:rFonts w:asciiTheme="majorHAnsi" w:eastAsiaTheme="majorEastAsia" w:hAnsiTheme="majorHAnsi" w:cstheme="majorBidi"/>
      <w:i/>
      <w:iCs/>
      <w:color w:val="113048" w:themeColor="accent1" w:themeShade="7F"/>
    </w:rPr>
  </w:style>
  <w:style w:type="paragraph" w:styleId="Heading8">
    <w:name w:val="heading 8"/>
    <w:basedOn w:val="Normal"/>
    <w:next w:val="Normal"/>
    <w:link w:val="Heading8Char"/>
    <w:uiPriority w:val="9"/>
    <w:unhideWhenUsed/>
    <w:qFormat/>
    <w:rsid w:val="002F54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7793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03FA"/>
    <w:pPr>
      <w:tabs>
        <w:tab w:val="center" w:pos="4680"/>
        <w:tab w:val="right" w:pos="9360"/>
      </w:tabs>
      <w:spacing w:after="0"/>
    </w:pPr>
  </w:style>
  <w:style w:type="character" w:customStyle="1" w:styleId="HeaderChar">
    <w:name w:val="Header Char"/>
    <w:basedOn w:val="DefaultParagraphFont"/>
    <w:link w:val="Header"/>
    <w:uiPriority w:val="99"/>
    <w:rsid w:val="003171E1"/>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AB0CA8"/>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3171E1"/>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AB0CA8"/>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AB0CA8"/>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7E1738"/>
    <w:rPr>
      <w:rFonts w:ascii="Tahoma" w:eastAsiaTheme="majorEastAsia" w:hAnsi="Tahoma" w:cstheme="majorBidi"/>
      <w:color w:val="D50032" w:themeColor="accent6"/>
      <w:sz w:val="40"/>
      <w:szCs w:val="32"/>
    </w:rPr>
  </w:style>
  <w:style w:type="character" w:customStyle="1" w:styleId="Heading2Char">
    <w:name w:val="Heading 2 Char"/>
    <w:basedOn w:val="DefaultParagraphFont"/>
    <w:link w:val="Heading2"/>
    <w:uiPriority w:val="9"/>
    <w:rsid w:val="00AB0CA8"/>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1"/>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0"/>
      </w:numPr>
    </w:pPr>
  </w:style>
  <w:style w:type="numbering" w:customStyle="1" w:styleId="NumberedHeadings">
    <w:name w:val="Numbered Headings"/>
    <w:uiPriority w:val="99"/>
    <w:rsid w:val="005F5578"/>
    <w:pPr>
      <w:numPr>
        <w:numId w:val="11"/>
      </w:numPr>
    </w:pPr>
  </w:style>
  <w:style w:type="paragraph" w:styleId="ListBullet2">
    <w:name w:val="List Bullet 2"/>
    <w:basedOn w:val="Normal"/>
    <w:link w:val="ListBullet2Char"/>
    <w:uiPriority w:val="99"/>
    <w:unhideWhenUsed/>
    <w:qFormat/>
    <w:rsid w:val="00DC2B59"/>
    <w:pPr>
      <w:numPr>
        <w:ilvl w:val="1"/>
        <w:numId w:val="63"/>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3171E1"/>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261035"/>
    <w:rPr>
      <w:b/>
      <w:color w:val="FFFFFF" w:themeColor="background1"/>
      <w:sz w:val="22"/>
      <w:bdr w:val="none" w:sz="0" w:space="0" w:color="auto"/>
      <w:shd w:val="clear" w:color="auto" w:fill="D50032" w:themeFill="accent6"/>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AB0CA8"/>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A447FD"/>
    <w:pPr>
      <w:ind w:left="568" w:hanging="284"/>
    </w:pPr>
    <w:rPr>
      <w:b w:val="0"/>
      <w:noProof/>
    </w:rPr>
  </w:style>
  <w:style w:type="paragraph" w:styleId="TOC1">
    <w:name w:val="toc 1"/>
    <w:basedOn w:val="Normal"/>
    <w:next w:val="Normal"/>
    <w:autoRedefine/>
    <w:uiPriority w:val="39"/>
    <w:rsid w:val="00A447FD"/>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362DFF"/>
    <w:rPr>
      <w:color w:val="0000FF"/>
      <w:u w:val="single"/>
    </w:rPr>
  </w:style>
  <w:style w:type="paragraph" w:styleId="TOCHeading">
    <w:name w:val="TOC Heading"/>
    <w:next w:val="Normal"/>
    <w:uiPriority w:val="39"/>
    <w:qFormat/>
    <w:rsid w:val="00755FBF"/>
    <w:pPr>
      <w:spacing w:before="240" w:after="320" w:line="240" w:lineRule="auto"/>
    </w:pPr>
    <w:rPr>
      <w:rFonts w:ascii="Tahoma" w:eastAsiaTheme="majorEastAsia" w:hAnsi="Tahoma" w:cstheme="majorBidi"/>
      <w:color w:val="D50032" w:themeColor="accent6"/>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qFormat/>
    <w:rsid w:val="00DC2B59"/>
    <w:pPr>
      <w:numPr>
        <w:ilvl w:val="2"/>
        <w:numId w:val="63"/>
      </w:numPr>
      <w:contextualSpacing/>
    </w:pPr>
  </w:style>
  <w:style w:type="paragraph" w:styleId="ListBullet3">
    <w:name w:val="List Bullet 3"/>
    <w:basedOn w:val="Normal"/>
    <w:uiPriority w:val="99"/>
    <w:unhideWhenUsed/>
    <w:rsid w:val="00DC2B59"/>
    <w:pPr>
      <w:numPr>
        <w:ilvl w:val="3"/>
        <w:numId w:val="63"/>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17"/>
      </w:numPr>
    </w:pPr>
  </w:style>
  <w:style w:type="paragraph" w:customStyle="1" w:styleId="ListLetters0">
    <w:name w:val="List Letters"/>
    <w:link w:val="ListLettersChar"/>
    <w:qFormat/>
    <w:rsid w:val="00A90C3B"/>
    <w:pPr>
      <w:numPr>
        <w:numId w:val="32"/>
      </w:numPr>
      <w:spacing w:before="160"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rsid w:val="003171E1"/>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A447FD"/>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27"/>
      </w:numPr>
      <w:spacing w:after="0"/>
    </w:pPr>
  </w:style>
  <w:style w:type="paragraph" w:customStyle="1" w:styleId="TableBullet2">
    <w:name w:val="Table Bullet 2"/>
    <w:basedOn w:val="ListBullet2"/>
    <w:link w:val="TableBullet2Char"/>
    <w:qFormat/>
    <w:rsid w:val="00E03B00"/>
    <w:pPr>
      <w:numPr>
        <w:numId w:val="27"/>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26"/>
      </w:numPr>
    </w:pPr>
  </w:style>
  <w:style w:type="character" w:customStyle="1" w:styleId="ListBullet2Char">
    <w:name w:val="List Bullet 2 Char"/>
    <w:basedOn w:val="DefaultParagraphFont"/>
    <w:link w:val="ListBullet2"/>
    <w:uiPriority w:val="99"/>
    <w:rsid w:val="00E03B00"/>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aliases w:val="(NECG) Footnote Text,DTE-Voetnoottekst,ALTS FOOTNOTE,Footnote,fn,FT,ft,SD Footnote Text,Footnote Text AG,Footnote Text Char Char Char,Footnote Text Char1 Char Char,Footnote Text Char Char Char Char Char,Footnote Text Char Char1 Char Char,f"/>
    <w:basedOn w:val="Normal"/>
    <w:link w:val="FootnoteTextChar"/>
    <w:uiPriority w:val="99"/>
    <w:unhideWhenUsed/>
    <w:qFormat/>
    <w:rsid w:val="00CF33F6"/>
    <w:pPr>
      <w:spacing w:after="0" w:line="240" w:lineRule="auto"/>
    </w:pPr>
    <w:rPr>
      <w:sz w:val="18"/>
      <w:szCs w:val="20"/>
    </w:rPr>
  </w:style>
  <w:style w:type="character" w:customStyle="1" w:styleId="FootnoteTextChar">
    <w:name w:val="Footnote Text Char"/>
    <w:aliases w:val="(NECG) Footnote Text Char,DTE-Voetnoottekst Char,ALTS FOOTNOTE Char,Footnote Char,fn Char,FT Char,ft Char,SD Footnote Text Char,Footnote Text AG Char,Footnote Text Char Char Char Char,Footnote Text Char1 Char Char Char,f Char"/>
    <w:basedOn w:val="DefaultParagraphFont"/>
    <w:link w:val="FootnoteText"/>
    <w:uiPriority w:val="99"/>
    <w:rsid w:val="00CF33F6"/>
    <w:rPr>
      <w:sz w:val="18"/>
      <w:szCs w:val="20"/>
    </w:rPr>
  </w:style>
  <w:style w:type="character" w:styleId="FootnoteReference">
    <w:name w:val="footnote reference"/>
    <w:aliases w:val="SFG_Footnote_Reference,(NECG) Footnote Reference,fr,Footnote reference,o,Style 6,Style 20,(NECG) Footnote Reference1,(NECG) Footnote Reference2,(NECG) Footnote Reference3,(NECG) Footnote Reference4,(NECG) Footnote Reference5,Style 3"/>
    <w:basedOn w:val="DefaultParagraphFont"/>
    <w:uiPriority w:val="99"/>
    <w:unhideWhenUsed/>
    <w:qFormat/>
    <w:rsid w:val="00E9393A"/>
    <w:rPr>
      <w:vertAlign w:val="superscript"/>
    </w:rPr>
  </w:style>
  <w:style w:type="paragraph" w:customStyle="1" w:styleId="Figure-Table-BoxHeading">
    <w:name w:val="Figure-Table-Box Heading"/>
    <w:link w:val="Figure-Table-BoxHeadingChar"/>
    <w:qFormat/>
    <w:rsid w:val="004A1377"/>
    <w:pPr>
      <w:spacing w:before="120" w:after="120" w:line="336"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left="851"/>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AB0CA8"/>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32"/>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87"/>
      </w:numPr>
    </w:pPr>
  </w:style>
  <w:style w:type="paragraph" w:customStyle="1" w:styleId="Pull-outBullet2">
    <w:name w:val="Pull-out Bullet 2"/>
    <w:basedOn w:val="Pull-outBullet1"/>
    <w:qFormat/>
    <w:rsid w:val="00BD19DB"/>
  </w:style>
  <w:style w:type="paragraph" w:customStyle="1" w:styleId="Pull-outListNumber1">
    <w:name w:val="Pull-out List Number 1"/>
    <w:basedOn w:val="Pull-outBullet2"/>
    <w:qFormat/>
    <w:rsid w:val="00BD19DB"/>
    <w:pPr>
      <w:numPr>
        <w:ilvl w:val="2"/>
      </w:numPr>
    </w:pPr>
  </w:style>
  <w:style w:type="paragraph" w:customStyle="1" w:styleId="Pull-outListNumber2">
    <w:name w:val="Pull-out List Number 2"/>
    <w:basedOn w:val="Pull-outListNumber1"/>
    <w:qFormat/>
    <w:rsid w:val="00BD19DB"/>
    <w:pPr>
      <w:numPr>
        <w:ilvl w:val="3"/>
      </w:numPr>
    </w:pPr>
  </w:style>
  <w:style w:type="numbering" w:customStyle="1" w:styleId="Pull-outlists">
    <w:name w:val="Pull-out lists"/>
    <w:uiPriority w:val="99"/>
    <w:rsid w:val="00BD19DB"/>
    <w:pPr>
      <w:numPr>
        <w:numId w:val="34"/>
      </w:numPr>
    </w:pPr>
  </w:style>
  <w:style w:type="paragraph" w:styleId="TOC4">
    <w:name w:val="toc 4"/>
    <w:basedOn w:val="Normal"/>
    <w:next w:val="Normal"/>
    <w:autoRedefine/>
    <w:uiPriority w:val="39"/>
    <w:rsid w:val="00FC6818"/>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FC6818"/>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FC6818"/>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rsid w:val="00E4764D"/>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5169F1"/>
    <w:rPr>
      <w:color w:val="FF4C75" w:themeColor="accent6" w:themeTint="99"/>
    </w:rPr>
  </w:style>
  <w:style w:type="paragraph" w:styleId="TOC7">
    <w:name w:val="toc 7"/>
    <w:basedOn w:val="Normal"/>
    <w:next w:val="Normal"/>
    <w:autoRedefine/>
    <w:uiPriority w:val="39"/>
    <w:semiHidden/>
    <w:unhideWhenUsed/>
    <w:rsid w:val="00A447FD"/>
    <w:pPr>
      <w:spacing w:before="40" w:after="40" w:line="288" w:lineRule="auto"/>
      <w:ind w:left="1321"/>
    </w:pPr>
  </w:style>
  <w:style w:type="paragraph" w:styleId="TOC8">
    <w:name w:val="toc 8"/>
    <w:basedOn w:val="Normal"/>
    <w:next w:val="Normal"/>
    <w:autoRedefine/>
    <w:uiPriority w:val="39"/>
    <w:semiHidden/>
    <w:unhideWhenUsed/>
    <w:rsid w:val="00A447FD"/>
    <w:pPr>
      <w:spacing w:before="40" w:after="40" w:line="288" w:lineRule="auto"/>
      <w:ind w:left="1542"/>
    </w:pPr>
  </w:style>
  <w:style w:type="paragraph" w:styleId="TOC9">
    <w:name w:val="toc 9"/>
    <w:basedOn w:val="Normal"/>
    <w:next w:val="Normal"/>
    <w:autoRedefine/>
    <w:uiPriority w:val="39"/>
    <w:semiHidden/>
    <w:unhideWhenUsed/>
    <w:rsid w:val="00A447FD"/>
    <w:pPr>
      <w:spacing w:before="40" w:after="40" w:line="288" w:lineRule="auto"/>
      <w:ind w:left="1758"/>
    </w:pPr>
  </w:style>
  <w:style w:type="character" w:customStyle="1" w:styleId="ui-provider">
    <w:name w:val="ui-provider"/>
    <w:basedOn w:val="DefaultParagraphFont"/>
    <w:rsid w:val="00297690"/>
  </w:style>
  <w:style w:type="character" w:styleId="CommentReference">
    <w:name w:val="annotation reference"/>
    <w:basedOn w:val="DefaultParagraphFont"/>
    <w:uiPriority w:val="99"/>
    <w:unhideWhenUsed/>
    <w:rsid w:val="00D87FAC"/>
    <w:rPr>
      <w:sz w:val="16"/>
      <w:szCs w:val="16"/>
    </w:rPr>
  </w:style>
  <w:style w:type="paragraph" w:styleId="CommentText">
    <w:name w:val="annotation text"/>
    <w:basedOn w:val="Normal"/>
    <w:link w:val="CommentTextChar"/>
    <w:uiPriority w:val="99"/>
    <w:unhideWhenUsed/>
    <w:rsid w:val="00D87FAC"/>
    <w:pPr>
      <w:spacing w:line="240" w:lineRule="auto"/>
    </w:pPr>
    <w:rPr>
      <w:sz w:val="20"/>
      <w:szCs w:val="20"/>
    </w:rPr>
  </w:style>
  <w:style w:type="character" w:customStyle="1" w:styleId="CommentTextChar">
    <w:name w:val="Comment Text Char"/>
    <w:basedOn w:val="DefaultParagraphFont"/>
    <w:link w:val="CommentText"/>
    <w:uiPriority w:val="99"/>
    <w:rsid w:val="00D87FAC"/>
    <w:rPr>
      <w:sz w:val="20"/>
      <w:szCs w:val="20"/>
      <w:lang w:val="en-AU"/>
    </w:rPr>
  </w:style>
  <w:style w:type="character" w:customStyle="1" w:styleId="Heading6Char">
    <w:name w:val="Heading 6 Char"/>
    <w:basedOn w:val="DefaultParagraphFont"/>
    <w:link w:val="Heading6"/>
    <w:uiPriority w:val="9"/>
    <w:rsid w:val="00C509DF"/>
    <w:rPr>
      <w:rFonts w:asciiTheme="majorHAnsi" w:eastAsiaTheme="majorEastAsia" w:hAnsiTheme="majorHAnsi" w:cstheme="majorBidi"/>
      <w:color w:val="113048" w:themeColor="accent1" w:themeShade="7F"/>
      <w:lang w:val="en-AU"/>
    </w:rPr>
  </w:style>
  <w:style w:type="character" w:styleId="Mention">
    <w:name w:val="Mention"/>
    <w:basedOn w:val="DefaultParagraphFont"/>
    <w:uiPriority w:val="99"/>
    <w:unhideWhenUsed/>
    <w:rsid w:val="00C509DF"/>
    <w:rPr>
      <w:color w:val="2B579A"/>
      <w:shd w:val="clear" w:color="auto" w:fill="E1DFDD"/>
    </w:rPr>
  </w:style>
  <w:style w:type="paragraph" w:styleId="NormalWeb">
    <w:name w:val="Normal (Web)"/>
    <w:basedOn w:val="Normal"/>
    <w:uiPriority w:val="99"/>
    <w:unhideWhenUsed/>
    <w:rsid w:val="00F02F9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02F99"/>
    <w:rPr>
      <w:rFonts w:ascii="Segoe UI" w:hAnsi="Segoe UI" w:cs="Segoe UI" w:hint="default"/>
      <w:sz w:val="18"/>
      <w:szCs w:val="18"/>
    </w:rPr>
  </w:style>
  <w:style w:type="table" w:customStyle="1" w:styleId="TableGrid1">
    <w:name w:val="Table Grid1"/>
    <w:basedOn w:val="TableNormal"/>
    <w:next w:val="TableGrid"/>
    <w:uiPriority w:val="39"/>
    <w:rsid w:val="00275412"/>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paragraph" w:styleId="Revision">
    <w:name w:val="Revision"/>
    <w:hidden/>
    <w:uiPriority w:val="99"/>
    <w:semiHidden/>
    <w:rsid w:val="00392FD7"/>
    <w:pPr>
      <w:spacing w:after="0" w:line="240" w:lineRule="auto"/>
    </w:pPr>
    <w:rPr>
      <w:lang w:val="en-AU"/>
    </w:rPr>
  </w:style>
  <w:style w:type="paragraph" w:styleId="CommentSubject">
    <w:name w:val="annotation subject"/>
    <w:basedOn w:val="CommentText"/>
    <w:next w:val="CommentText"/>
    <w:link w:val="CommentSubjectChar"/>
    <w:uiPriority w:val="99"/>
    <w:semiHidden/>
    <w:unhideWhenUsed/>
    <w:rsid w:val="005F349C"/>
    <w:rPr>
      <w:b/>
      <w:bCs/>
    </w:rPr>
  </w:style>
  <w:style w:type="character" w:customStyle="1" w:styleId="CommentSubjectChar">
    <w:name w:val="Comment Subject Char"/>
    <w:basedOn w:val="CommentTextChar"/>
    <w:link w:val="CommentSubject"/>
    <w:uiPriority w:val="99"/>
    <w:semiHidden/>
    <w:rsid w:val="005F349C"/>
    <w:rPr>
      <w:b/>
      <w:bCs/>
      <w:sz w:val="20"/>
      <w:szCs w:val="20"/>
      <w:lang w:val="en-AU"/>
    </w:rPr>
  </w:style>
  <w:style w:type="character" w:styleId="FollowedHyperlink">
    <w:name w:val="FollowedHyperlink"/>
    <w:basedOn w:val="DefaultParagraphFont"/>
    <w:uiPriority w:val="99"/>
    <w:semiHidden/>
    <w:unhideWhenUsed/>
    <w:rsid w:val="0019777A"/>
    <w:rPr>
      <w:color w:val="000000" w:themeColor="followedHyperlink"/>
      <w:u w:val="single"/>
    </w:rPr>
  </w:style>
  <w:style w:type="character" w:styleId="UnresolvedMention">
    <w:name w:val="Unresolved Mention"/>
    <w:basedOn w:val="DefaultParagraphFont"/>
    <w:uiPriority w:val="99"/>
    <w:semiHidden/>
    <w:unhideWhenUsed/>
    <w:rsid w:val="002C3ECC"/>
    <w:rPr>
      <w:color w:val="605E5C"/>
      <w:shd w:val="clear" w:color="auto" w:fill="E1DFDD"/>
    </w:rPr>
  </w:style>
  <w:style w:type="paragraph" w:styleId="EndnoteText">
    <w:name w:val="endnote text"/>
    <w:basedOn w:val="Normal"/>
    <w:link w:val="EndnoteTextChar"/>
    <w:uiPriority w:val="99"/>
    <w:semiHidden/>
    <w:unhideWhenUsed/>
    <w:rsid w:val="004D459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D4592"/>
    <w:rPr>
      <w:sz w:val="20"/>
      <w:szCs w:val="20"/>
      <w:lang w:val="en-AU"/>
    </w:rPr>
  </w:style>
  <w:style w:type="character" w:styleId="EndnoteReference">
    <w:name w:val="endnote reference"/>
    <w:basedOn w:val="DefaultParagraphFont"/>
    <w:uiPriority w:val="99"/>
    <w:semiHidden/>
    <w:unhideWhenUsed/>
    <w:rsid w:val="004D4592"/>
    <w:rPr>
      <w:vertAlign w:val="superscript"/>
    </w:rPr>
  </w:style>
  <w:style w:type="character" w:customStyle="1" w:styleId="Heading7Char">
    <w:name w:val="Heading 7 Char"/>
    <w:basedOn w:val="DefaultParagraphFont"/>
    <w:link w:val="Heading7"/>
    <w:uiPriority w:val="9"/>
    <w:rsid w:val="00456DBF"/>
    <w:rPr>
      <w:rFonts w:asciiTheme="majorHAnsi" w:eastAsiaTheme="majorEastAsia" w:hAnsiTheme="majorHAnsi" w:cstheme="majorBidi"/>
      <w:i/>
      <w:iCs/>
      <w:color w:val="113048" w:themeColor="accent1" w:themeShade="7F"/>
      <w:lang w:val="en-AU"/>
    </w:rPr>
  </w:style>
  <w:style w:type="character" w:customStyle="1" w:styleId="Heading8Char">
    <w:name w:val="Heading 8 Char"/>
    <w:basedOn w:val="DefaultParagraphFont"/>
    <w:link w:val="Heading8"/>
    <w:uiPriority w:val="9"/>
    <w:rsid w:val="002F542C"/>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rsid w:val="0087793A"/>
    <w:rPr>
      <w:rFonts w:asciiTheme="majorHAnsi" w:eastAsiaTheme="majorEastAsia" w:hAnsiTheme="majorHAnsi" w:cstheme="majorBidi"/>
      <w:i/>
      <w:iCs/>
      <w:color w:val="272727" w:themeColor="text1" w:themeTint="D8"/>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2827">
      <w:bodyDiv w:val="1"/>
      <w:marLeft w:val="0"/>
      <w:marRight w:val="0"/>
      <w:marTop w:val="0"/>
      <w:marBottom w:val="0"/>
      <w:divBdr>
        <w:top w:val="none" w:sz="0" w:space="0" w:color="auto"/>
        <w:left w:val="none" w:sz="0" w:space="0" w:color="auto"/>
        <w:bottom w:val="none" w:sz="0" w:space="0" w:color="auto"/>
        <w:right w:val="none" w:sz="0" w:space="0" w:color="auto"/>
      </w:divBdr>
    </w:div>
    <w:div w:id="96561145">
      <w:bodyDiv w:val="1"/>
      <w:marLeft w:val="0"/>
      <w:marRight w:val="0"/>
      <w:marTop w:val="0"/>
      <w:marBottom w:val="0"/>
      <w:divBdr>
        <w:top w:val="none" w:sz="0" w:space="0" w:color="auto"/>
        <w:left w:val="none" w:sz="0" w:space="0" w:color="auto"/>
        <w:bottom w:val="none" w:sz="0" w:space="0" w:color="auto"/>
        <w:right w:val="none" w:sz="0" w:space="0" w:color="auto"/>
      </w:divBdr>
    </w:div>
    <w:div w:id="115222593">
      <w:bodyDiv w:val="1"/>
      <w:marLeft w:val="0"/>
      <w:marRight w:val="0"/>
      <w:marTop w:val="0"/>
      <w:marBottom w:val="0"/>
      <w:divBdr>
        <w:top w:val="none" w:sz="0" w:space="0" w:color="auto"/>
        <w:left w:val="none" w:sz="0" w:space="0" w:color="auto"/>
        <w:bottom w:val="none" w:sz="0" w:space="0" w:color="auto"/>
        <w:right w:val="none" w:sz="0" w:space="0" w:color="auto"/>
      </w:divBdr>
    </w:div>
    <w:div w:id="170797429">
      <w:bodyDiv w:val="1"/>
      <w:marLeft w:val="0"/>
      <w:marRight w:val="0"/>
      <w:marTop w:val="0"/>
      <w:marBottom w:val="0"/>
      <w:divBdr>
        <w:top w:val="none" w:sz="0" w:space="0" w:color="auto"/>
        <w:left w:val="none" w:sz="0" w:space="0" w:color="auto"/>
        <w:bottom w:val="none" w:sz="0" w:space="0" w:color="auto"/>
        <w:right w:val="none" w:sz="0" w:space="0" w:color="auto"/>
      </w:divBdr>
    </w:div>
    <w:div w:id="277377124">
      <w:bodyDiv w:val="1"/>
      <w:marLeft w:val="0"/>
      <w:marRight w:val="0"/>
      <w:marTop w:val="0"/>
      <w:marBottom w:val="0"/>
      <w:divBdr>
        <w:top w:val="none" w:sz="0" w:space="0" w:color="auto"/>
        <w:left w:val="none" w:sz="0" w:space="0" w:color="auto"/>
        <w:bottom w:val="none" w:sz="0" w:space="0" w:color="auto"/>
        <w:right w:val="none" w:sz="0" w:space="0" w:color="auto"/>
      </w:divBdr>
    </w:div>
    <w:div w:id="342057017">
      <w:bodyDiv w:val="1"/>
      <w:marLeft w:val="0"/>
      <w:marRight w:val="0"/>
      <w:marTop w:val="0"/>
      <w:marBottom w:val="0"/>
      <w:divBdr>
        <w:top w:val="none" w:sz="0" w:space="0" w:color="auto"/>
        <w:left w:val="none" w:sz="0" w:space="0" w:color="auto"/>
        <w:bottom w:val="none" w:sz="0" w:space="0" w:color="auto"/>
        <w:right w:val="none" w:sz="0" w:space="0" w:color="auto"/>
      </w:divBdr>
    </w:div>
    <w:div w:id="413866770">
      <w:bodyDiv w:val="1"/>
      <w:marLeft w:val="0"/>
      <w:marRight w:val="0"/>
      <w:marTop w:val="0"/>
      <w:marBottom w:val="0"/>
      <w:divBdr>
        <w:top w:val="none" w:sz="0" w:space="0" w:color="auto"/>
        <w:left w:val="none" w:sz="0" w:space="0" w:color="auto"/>
        <w:bottom w:val="none" w:sz="0" w:space="0" w:color="auto"/>
        <w:right w:val="none" w:sz="0" w:space="0" w:color="auto"/>
      </w:divBdr>
    </w:div>
    <w:div w:id="544874085">
      <w:bodyDiv w:val="1"/>
      <w:marLeft w:val="0"/>
      <w:marRight w:val="0"/>
      <w:marTop w:val="0"/>
      <w:marBottom w:val="0"/>
      <w:divBdr>
        <w:top w:val="none" w:sz="0" w:space="0" w:color="auto"/>
        <w:left w:val="none" w:sz="0" w:space="0" w:color="auto"/>
        <w:bottom w:val="none" w:sz="0" w:space="0" w:color="auto"/>
        <w:right w:val="none" w:sz="0" w:space="0" w:color="auto"/>
      </w:divBdr>
    </w:div>
    <w:div w:id="595791417">
      <w:bodyDiv w:val="1"/>
      <w:marLeft w:val="0"/>
      <w:marRight w:val="0"/>
      <w:marTop w:val="0"/>
      <w:marBottom w:val="0"/>
      <w:divBdr>
        <w:top w:val="none" w:sz="0" w:space="0" w:color="auto"/>
        <w:left w:val="none" w:sz="0" w:space="0" w:color="auto"/>
        <w:bottom w:val="none" w:sz="0" w:space="0" w:color="auto"/>
        <w:right w:val="none" w:sz="0" w:space="0" w:color="auto"/>
      </w:divBdr>
      <w:divsChild>
        <w:div w:id="51270549">
          <w:marLeft w:val="1123"/>
          <w:marRight w:val="0"/>
          <w:marTop w:val="0"/>
          <w:marBottom w:val="20"/>
          <w:divBdr>
            <w:top w:val="none" w:sz="0" w:space="0" w:color="auto"/>
            <w:left w:val="none" w:sz="0" w:space="0" w:color="auto"/>
            <w:bottom w:val="none" w:sz="0" w:space="0" w:color="auto"/>
            <w:right w:val="none" w:sz="0" w:space="0" w:color="auto"/>
          </w:divBdr>
        </w:div>
        <w:div w:id="1328091488">
          <w:marLeft w:val="1123"/>
          <w:marRight w:val="0"/>
          <w:marTop w:val="0"/>
          <w:marBottom w:val="20"/>
          <w:divBdr>
            <w:top w:val="none" w:sz="0" w:space="0" w:color="auto"/>
            <w:left w:val="none" w:sz="0" w:space="0" w:color="auto"/>
            <w:bottom w:val="none" w:sz="0" w:space="0" w:color="auto"/>
            <w:right w:val="none" w:sz="0" w:space="0" w:color="auto"/>
          </w:divBdr>
        </w:div>
        <w:div w:id="1724013689">
          <w:marLeft w:val="446"/>
          <w:marRight w:val="0"/>
          <w:marTop w:val="0"/>
          <w:marBottom w:val="120"/>
          <w:divBdr>
            <w:top w:val="none" w:sz="0" w:space="0" w:color="auto"/>
            <w:left w:val="none" w:sz="0" w:space="0" w:color="auto"/>
            <w:bottom w:val="none" w:sz="0" w:space="0" w:color="auto"/>
            <w:right w:val="none" w:sz="0" w:space="0" w:color="auto"/>
          </w:divBdr>
        </w:div>
      </w:divsChild>
    </w:div>
    <w:div w:id="597366876">
      <w:bodyDiv w:val="1"/>
      <w:marLeft w:val="0"/>
      <w:marRight w:val="0"/>
      <w:marTop w:val="0"/>
      <w:marBottom w:val="0"/>
      <w:divBdr>
        <w:top w:val="none" w:sz="0" w:space="0" w:color="auto"/>
        <w:left w:val="none" w:sz="0" w:space="0" w:color="auto"/>
        <w:bottom w:val="none" w:sz="0" w:space="0" w:color="auto"/>
        <w:right w:val="none" w:sz="0" w:space="0" w:color="auto"/>
      </w:divBdr>
    </w:div>
    <w:div w:id="696471587">
      <w:bodyDiv w:val="1"/>
      <w:marLeft w:val="0"/>
      <w:marRight w:val="0"/>
      <w:marTop w:val="0"/>
      <w:marBottom w:val="0"/>
      <w:divBdr>
        <w:top w:val="none" w:sz="0" w:space="0" w:color="auto"/>
        <w:left w:val="none" w:sz="0" w:space="0" w:color="auto"/>
        <w:bottom w:val="none" w:sz="0" w:space="0" w:color="auto"/>
        <w:right w:val="none" w:sz="0" w:space="0" w:color="auto"/>
      </w:divBdr>
    </w:div>
    <w:div w:id="698822425">
      <w:bodyDiv w:val="1"/>
      <w:marLeft w:val="0"/>
      <w:marRight w:val="0"/>
      <w:marTop w:val="0"/>
      <w:marBottom w:val="0"/>
      <w:divBdr>
        <w:top w:val="none" w:sz="0" w:space="0" w:color="auto"/>
        <w:left w:val="none" w:sz="0" w:space="0" w:color="auto"/>
        <w:bottom w:val="none" w:sz="0" w:space="0" w:color="auto"/>
        <w:right w:val="none" w:sz="0" w:space="0" w:color="auto"/>
      </w:divBdr>
    </w:div>
    <w:div w:id="843204835">
      <w:bodyDiv w:val="1"/>
      <w:marLeft w:val="0"/>
      <w:marRight w:val="0"/>
      <w:marTop w:val="0"/>
      <w:marBottom w:val="0"/>
      <w:divBdr>
        <w:top w:val="none" w:sz="0" w:space="0" w:color="auto"/>
        <w:left w:val="none" w:sz="0" w:space="0" w:color="auto"/>
        <w:bottom w:val="none" w:sz="0" w:space="0" w:color="auto"/>
        <w:right w:val="none" w:sz="0" w:space="0" w:color="auto"/>
      </w:divBdr>
    </w:div>
    <w:div w:id="878322831">
      <w:bodyDiv w:val="1"/>
      <w:marLeft w:val="0"/>
      <w:marRight w:val="0"/>
      <w:marTop w:val="0"/>
      <w:marBottom w:val="0"/>
      <w:divBdr>
        <w:top w:val="none" w:sz="0" w:space="0" w:color="auto"/>
        <w:left w:val="none" w:sz="0" w:space="0" w:color="auto"/>
        <w:bottom w:val="none" w:sz="0" w:space="0" w:color="auto"/>
        <w:right w:val="none" w:sz="0" w:space="0" w:color="auto"/>
      </w:divBdr>
    </w:div>
    <w:div w:id="883181675">
      <w:bodyDiv w:val="1"/>
      <w:marLeft w:val="0"/>
      <w:marRight w:val="0"/>
      <w:marTop w:val="0"/>
      <w:marBottom w:val="0"/>
      <w:divBdr>
        <w:top w:val="none" w:sz="0" w:space="0" w:color="auto"/>
        <w:left w:val="none" w:sz="0" w:space="0" w:color="auto"/>
        <w:bottom w:val="none" w:sz="0" w:space="0" w:color="auto"/>
        <w:right w:val="none" w:sz="0" w:space="0" w:color="auto"/>
      </w:divBdr>
    </w:div>
    <w:div w:id="911934810">
      <w:bodyDiv w:val="1"/>
      <w:marLeft w:val="0"/>
      <w:marRight w:val="0"/>
      <w:marTop w:val="0"/>
      <w:marBottom w:val="0"/>
      <w:divBdr>
        <w:top w:val="none" w:sz="0" w:space="0" w:color="auto"/>
        <w:left w:val="none" w:sz="0" w:space="0" w:color="auto"/>
        <w:bottom w:val="none" w:sz="0" w:space="0" w:color="auto"/>
        <w:right w:val="none" w:sz="0" w:space="0" w:color="auto"/>
      </w:divBdr>
    </w:div>
    <w:div w:id="914166614">
      <w:bodyDiv w:val="1"/>
      <w:marLeft w:val="0"/>
      <w:marRight w:val="0"/>
      <w:marTop w:val="0"/>
      <w:marBottom w:val="0"/>
      <w:divBdr>
        <w:top w:val="none" w:sz="0" w:space="0" w:color="auto"/>
        <w:left w:val="none" w:sz="0" w:space="0" w:color="auto"/>
        <w:bottom w:val="none" w:sz="0" w:space="0" w:color="auto"/>
        <w:right w:val="none" w:sz="0" w:space="0" w:color="auto"/>
      </w:divBdr>
    </w:div>
    <w:div w:id="941500053">
      <w:bodyDiv w:val="1"/>
      <w:marLeft w:val="0"/>
      <w:marRight w:val="0"/>
      <w:marTop w:val="0"/>
      <w:marBottom w:val="0"/>
      <w:divBdr>
        <w:top w:val="none" w:sz="0" w:space="0" w:color="auto"/>
        <w:left w:val="none" w:sz="0" w:space="0" w:color="auto"/>
        <w:bottom w:val="none" w:sz="0" w:space="0" w:color="auto"/>
        <w:right w:val="none" w:sz="0" w:space="0" w:color="auto"/>
      </w:divBdr>
    </w:div>
    <w:div w:id="979462679">
      <w:bodyDiv w:val="1"/>
      <w:marLeft w:val="0"/>
      <w:marRight w:val="0"/>
      <w:marTop w:val="0"/>
      <w:marBottom w:val="0"/>
      <w:divBdr>
        <w:top w:val="none" w:sz="0" w:space="0" w:color="auto"/>
        <w:left w:val="none" w:sz="0" w:space="0" w:color="auto"/>
        <w:bottom w:val="none" w:sz="0" w:space="0" w:color="auto"/>
        <w:right w:val="none" w:sz="0" w:space="0" w:color="auto"/>
      </w:divBdr>
    </w:div>
    <w:div w:id="997223131">
      <w:bodyDiv w:val="1"/>
      <w:marLeft w:val="0"/>
      <w:marRight w:val="0"/>
      <w:marTop w:val="0"/>
      <w:marBottom w:val="0"/>
      <w:divBdr>
        <w:top w:val="none" w:sz="0" w:space="0" w:color="auto"/>
        <w:left w:val="none" w:sz="0" w:space="0" w:color="auto"/>
        <w:bottom w:val="none" w:sz="0" w:space="0" w:color="auto"/>
        <w:right w:val="none" w:sz="0" w:space="0" w:color="auto"/>
      </w:divBdr>
    </w:div>
    <w:div w:id="1017266845">
      <w:bodyDiv w:val="1"/>
      <w:marLeft w:val="0"/>
      <w:marRight w:val="0"/>
      <w:marTop w:val="0"/>
      <w:marBottom w:val="0"/>
      <w:divBdr>
        <w:top w:val="none" w:sz="0" w:space="0" w:color="auto"/>
        <w:left w:val="none" w:sz="0" w:space="0" w:color="auto"/>
        <w:bottom w:val="none" w:sz="0" w:space="0" w:color="auto"/>
        <w:right w:val="none" w:sz="0" w:space="0" w:color="auto"/>
      </w:divBdr>
    </w:div>
    <w:div w:id="1023239980">
      <w:bodyDiv w:val="1"/>
      <w:marLeft w:val="0"/>
      <w:marRight w:val="0"/>
      <w:marTop w:val="0"/>
      <w:marBottom w:val="0"/>
      <w:divBdr>
        <w:top w:val="none" w:sz="0" w:space="0" w:color="auto"/>
        <w:left w:val="none" w:sz="0" w:space="0" w:color="auto"/>
        <w:bottom w:val="none" w:sz="0" w:space="0" w:color="auto"/>
        <w:right w:val="none" w:sz="0" w:space="0" w:color="auto"/>
      </w:divBdr>
    </w:div>
    <w:div w:id="1048457814">
      <w:bodyDiv w:val="1"/>
      <w:marLeft w:val="0"/>
      <w:marRight w:val="0"/>
      <w:marTop w:val="0"/>
      <w:marBottom w:val="0"/>
      <w:divBdr>
        <w:top w:val="none" w:sz="0" w:space="0" w:color="auto"/>
        <w:left w:val="none" w:sz="0" w:space="0" w:color="auto"/>
        <w:bottom w:val="none" w:sz="0" w:space="0" w:color="auto"/>
        <w:right w:val="none" w:sz="0" w:space="0" w:color="auto"/>
      </w:divBdr>
    </w:div>
    <w:div w:id="1080639581">
      <w:bodyDiv w:val="1"/>
      <w:marLeft w:val="0"/>
      <w:marRight w:val="0"/>
      <w:marTop w:val="0"/>
      <w:marBottom w:val="0"/>
      <w:divBdr>
        <w:top w:val="none" w:sz="0" w:space="0" w:color="auto"/>
        <w:left w:val="none" w:sz="0" w:space="0" w:color="auto"/>
        <w:bottom w:val="none" w:sz="0" w:space="0" w:color="auto"/>
        <w:right w:val="none" w:sz="0" w:space="0" w:color="auto"/>
      </w:divBdr>
    </w:div>
    <w:div w:id="1104808947">
      <w:bodyDiv w:val="1"/>
      <w:marLeft w:val="0"/>
      <w:marRight w:val="0"/>
      <w:marTop w:val="0"/>
      <w:marBottom w:val="0"/>
      <w:divBdr>
        <w:top w:val="none" w:sz="0" w:space="0" w:color="auto"/>
        <w:left w:val="none" w:sz="0" w:space="0" w:color="auto"/>
        <w:bottom w:val="none" w:sz="0" w:space="0" w:color="auto"/>
        <w:right w:val="none" w:sz="0" w:space="0" w:color="auto"/>
      </w:divBdr>
    </w:div>
    <w:div w:id="1135953945">
      <w:bodyDiv w:val="1"/>
      <w:marLeft w:val="0"/>
      <w:marRight w:val="0"/>
      <w:marTop w:val="0"/>
      <w:marBottom w:val="0"/>
      <w:divBdr>
        <w:top w:val="none" w:sz="0" w:space="0" w:color="auto"/>
        <w:left w:val="none" w:sz="0" w:space="0" w:color="auto"/>
        <w:bottom w:val="none" w:sz="0" w:space="0" w:color="auto"/>
        <w:right w:val="none" w:sz="0" w:space="0" w:color="auto"/>
      </w:divBdr>
    </w:div>
    <w:div w:id="1157302172">
      <w:bodyDiv w:val="1"/>
      <w:marLeft w:val="0"/>
      <w:marRight w:val="0"/>
      <w:marTop w:val="0"/>
      <w:marBottom w:val="0"/>
      <w:divBdr>
        <w:top w:val="none" w:sz="0" w:space="0" w:color="auto"/>
        <w:left w:val="none" w:sz="0" w:space="0" w:color="auto"/>
        <w:bottom w:val="none" w:sz="0" w:space="0" w:color="auto"/>
        <w:right w:val="none" w:sz="0" w:space="0" w:color="auto"/>
      </w:divBdr>
    </w:div>
    <w:div w:id="1174224666">
      <w:bodyDiv w:val="1"/>
      <w:marLeft w:val="0"/>
      <w:marRight w:val="0"/>
      <w:marTop w:val="0"/>
      <w:marBottom w:val="0"/>
      <w:divBdr>
        <w:top w:val="none" w:sz="0" w:space="0" w:color="auto"/>
        <w:left w:val="none" w:sz="0" w:space="0" w:color="auto"/>
        <w:bottom w:val="none" w:sz="0" w:space="0" w:color="auto"/>
        <w:right w:val="none" w:sz="0" w:space="0" w:color="auto"/>
      </w:divBdr>
    </w:div>
    <w:div w:id="1192255906">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45147893">
      <w:bodyDiv w:val="1"/>
      <w:marLeft w:val="0"/>
      <w:marRight w:val="0"/>
      <w:marTop w:val="0"/>
      <w:marBottom w:val="0"/>
      <w:divBdr>
        <w:top w:val="none" w:sz="0" w:space="0" w:color="auto"/>
        <w:left w:val="none" w:sz="0" w:space="0" w:color="auto"/>
        <w:bottom w:val="none" w:sz="0" w:space="0" w:color="auto"/>
        <w:right w:val="none" w:sz="0" w:space="0" w:color="auto"/>
      </w:divBdr>
    </w:div>
    <w:div w:id="1319071141">
      <w:bodyDiv w:val="1"/>
      <w:marLeft w:val="0"/>
      <w:marRight w:val="0"/>
      <w:marTop w:val="0"/>
      <w:marBottom w:val="0"/>
      <w:divBdr>
        <w:top w:val="none" w:sz="0" w:space="0" w:color="auto"/>
        <w:left w:val="none" w:sz="0" w:space="0" w:color="auto"/>
        <w:bottom w:val="none" w:sz="0" w:space="0" w:color="auto"/>
        <w:right w:val="none" w:sz="0" w:space="0" w:color="auto"/>
      </w:divBdr>
    </w:div>
    <w:div w:id="1330714235">
      <w:bodyDiv w:val="1"/>
      <w:marLeft w:val="0"/>
      <w:marRight w:val="0"/>
      <w:marTop w:val="0"/>
      <w:marBottom w:val="0"/>
      <w:divBdr>
        <w:top w:val="none" w:sz="0" w:space="0" w:color="auto"/>
        <w:left w:val="none" w:sz="0" w:space="0" w:color="auto"/>
        <w:bottom w:val="none" w:sz="0" w:space="0" w:color="auto"/>
        <w:right w:val="none" w:sz="0" w:space="0" w:color="auto"/>
      </w:divBdr>
    </w:div>
    <w:div w:id="1459029450">
      <w:bodyDiv w:val="1"/>
      <w:marLeft w:val="0"/>
      <w:marRight w:val="0"/>
      <w:marTop w:val="0"/>
      <w:marBottom w:val="0"/>
      <w:divBdr>
        <w:top w:val="none" w:sz="0" w:space="0" w:color="auto"/>
        <w:left w:val="none" w:sz="0" w:space="0" w:color="auto"/>
        <w:bottom w:val="none" w:sz="0" w:space="0" w:color="auto"/>
        <w:right w:val="none" w:sz="0" w:space="0" w:color="auto"/>
      </w:divBdr>
    </w:div>
    <w:div w:id="1461920079">
      <w:bodyDiv w:val="1"/>
      <w:marLeft w:val="0"/>
      <w:marRight w:val="0"/>
      <w:marTop w:val="0"/>
      <w:marBottom w:val="0"/>
      <w:divBdr>
        <w:top w:val="none" w:sz="0" w:space="0" w:color="auto"/>
        <w:left w:val="none" w:sz="0" w:space="0" w:color="auto"/>
        <w:bottom w:val="none" w:sz="0" w:space="0" w:color="auto"/>
        <w:right w:val="none" w:sz="0" w:space="0" w:color="auto"/>
      </w:divBdr>
    </w:div>
    <w:div w:id="1487893163">
      <w:bodyDiv w:val="1"/>
      <w:marLeft w:val="0"/>
      <w:marRight w:val="0"/>
      <w:marTop w:val="0"/>
      <w:marBottom w:val="0"/>
      <w:divBdr>
        <w:top w:val="none" w:sz="0" w:space="0" w:color="auto"/>
        <w:left w:val="none" w:sz="0" w:space="0" w:color="auto"/>
        <w:bottom w:val="none" w:sz="0" w:space="0" w:color="auto"/>
        <w:right w:val="none" w:sz="0" w:space="0" w:color="auto"/>
      </w:divBdr>
    </w:div>
    <w:div w:id="1493376996">
      <w:bodyDiv w:val="1"/>
      <w:marLeft w:val="0"/>
      <w:marRight w:val="0"/>
      <w:marTop w:val="0"/>
      <w:marBottom w:val="0"/>
      <w:divBdr>
        <w:top w:val="none" w:sz="0" w:space="0" w:color="auto"/>
        <w:left w:val="none" w:sz="0" w:space="0" w:color="auto"/>
        <w:bottom w:val="none" w:sz="0" w:space="0" w:color="auto"/>
        <w:right w:val="none" w:sz="0" w:space="0" w:color="auto"/>
      </w:divBdr>
    </w:div>
    <w:div w:id="1500467968">
      <w:bodyDiv w:val="1"/>
      <w:marLeft w:val="0"/>
      <w:marRight w:val="0"/>
      <w:marTop w:val="0"/>
      <w:marBottom w:val="0"/>
      <w:divBdr>
        <w:top w:val="none" w:sz="0" w:space="0" w:color="auto"/>
        <w:left w:val="none" w:sz="0" w:space="0" w:color="auto"/>
        <w:bottom w:val="none" w:sz="0" w:space="0" w:color="auto"/>
        <w:right w:val="none" w:sz="0" w:space="0" w:color="auto"/>
      </w:divBdr>
    </w:div>
    <w:div w:id="1513184194">
      <w:bodyDiv w:val="1"/>
      <w:marLeft w:val="0"/>
      <w:marRight w:val="0"/>
      <w:marTop w:val="0"/>
      <w:marBottom w:val="0"/>
      <w:divBdr>
        <w:top w:val="none" w:sz="0" w:space="0" w:color="auto"/>
        <w:left w:val="none" w:sz="0" w:space="0" w:color="auto"/>
        <w:bottom w:val="none" w:sz="0" w:space="0" w:color="auto"/>
        <w:right w:val="none" w:sz="0" w:space="0" w:color="auto"/>
      </w:divBdr>
    </w:div>
    <w:div w:id="1554544102">
      <w:bodyDiv w:val="1"/>
      <w:marLeft w:val="0"/>
      <w:marRight w:val="0"/>
      <w:marTop w:val="0"/>
      <w:marBottom w:val="0"/>
      <w:divBdr>
        <w:top w:val="none" w:sz="0" w:space="0" w:color="auto"/>
        <w:left w:val="none" w:sz="0" w:space="0" w:color="auto"/>
        <w:bottom w:val="none" w:sz="0" w:space="0" w:color="auto"/>
        <w:right w:val="none" w:sz="0" w:space="0" w:color="auto"/>
      </w:divBdr>
    </w:div>
    <w:div w:id="1571307149">
      <w:bodyDiv w:val="1"/>
      <w:marLeft w:val="0"/>
      <w:marRight w:val="0"/>
      <w:marTop w:val="0"/>
      <w:marBottom w:val="0"/>
      <w:divBdr>
        <w:top w:val="none" w:sz="0" w:space="0" w:color="auto"/>
        <w:left w:val="none" w:sz="0" w:space="0" w:color="auto"/>
        <w:bottom w:val="none" w:sz="0" w:space="0" w:color="auto"/>
        <w:right w:val="none" w:sz="0" w:space="0" w:color="auto"/>
      </w:divBdr>
    </w:div>
    <w:div w:id="1675643080">
      <w:bodyDiv w:val="1"/>
      <w:marLeft w:val="0"/>
      <w:marRight w:val="0"/>
      <w:marTop w:val="0"/>
      <w:marBottom w:val="0"/>
      <w:divBdr>
        <w:top w:val="none" w:sz="0" w:space="0" w:color="auto"/>
        <w:left w:val="none" w:sz="0" w:space="0" w:color="auto"/>
        <w:bottom w:val="none" w:sz="0" w:space="0" w:color="auto"/>
        <w:right w:val="none" w:sz="0" w:space="0" w:color="auto"/>
      </w:divBdr>
      <w:divsChild>
        <w:div w:id="33313896">
          <w:marLeft w:val="547"/>
          <w:marRight w:val="0"/>
          <w:marTop w:val="0"/>
          <w:marBottom w:val="120"/>
          <w:divBdr>
            <w:top w:val="none" w:sz="0" w:space="0" w:color="auto"/>
            <w:left w:val="none" w:sz="0" w:space="0" w:color="auto"/>
            <w:bottom w:val="none" w:sz="0" w:space="0" w:color="auto"/>
            <w:right w:val="none" w:sz="0" w:space="0" w:color="auto"/>
          </w:divBdr>
        </w:div>
        <w:div w:id="147602842">
          <w:marLeft w:val="547"/>
          <w:marRight w:val="0"/>
          <w:marTop w:val="0"/>
          <w:marBottom w:val="120"/>
          <w:divBdr>
            <w:top w:val="none" w:sz="0" w:space="0" w:color="auto"/>
            <w:left w:val="none" w:sz="0" w:space="0" w:color="auto"/>
            <w:bottom w:val="none" w:sz="0" w:space="0" w:color="auto"/>
            <w:right w:val="none" w:sz="0" w:space="0" w:color="auto"/>
          </w:divBdr>
        </w:div>
        <w:div w:id="849370013">
          <w:marLeft w:val="547"/>
          <w:marRight w:val="0"/>
          <w:marTop w:val="0"/>
          <w:marBottom w:val="120"/>
          <w:divBdr>
            <w:top w:val="none" w:sz="0" w:space="0" w:color="auto"/>
            <w:left w:val="none" w:sz="0" w:space="0" w:color="auto"/>
            <w:bottom w:val="none" w:sz="0" w:space="0" w:color="auto"/>
            <w:right w:val="none" w:sz="0" w:space="0" w:color="auto"/>
          </w:divBdr>
        </w:div>
        <w:div w:id="1407067600">
          <w:marLeft w:val="547"/>
          <w:marRight w:val="0"/>
          <w:marTop w:val="0"/>
          <w:marBottom w:val="120"/>
          <w:divBdr>
            <w:top w:val="none" w:sz="0" w:space="0" w:color="auto"/>
            <w:left w:val="none" w:sz="0" w:space="0" w:color="auto"/>
            <w:bottom w:val="none" w:sz="0" w:space="0" w:color="auto"/>
            <w:right w:val="none" w:sz="0" w:space="0" w:color="auto"/>
          </w:divBdr>
        </w:div>
      </w:divsChild>
    </w:div>
    <w:div w:id="1764497726">
      <w:bodyDiv w:val="1"/>
      <w:marLeft w:val="0"/>
      <w:marRight w:val="0"/>
      <w:marTop w:val="0"/>
      <w:marBottom w:val="0"/>
      <w:divBdr>
        <w:top w:val="none" w:sz="0" w:space="0" w:color="auto"/>
        <w:left w:val="none" w:sz="0" w:space="0" w:color="auto"/>
        <w:bottom w:val="none" w:sz="0" w:space="0" w:color="auto"/>
        <w:right w:val="none" w:sz="0" w:space="0" w:color="auto"/>
      </w:divBdr>
    </w:div>
    <w:div w:id="1774009976">
      <w:bodyDiv w:val="1"/>
      <w:marLeft w:val="0"/>
      <w:marRight w:val="0"/>
      <w:marTop w:val="0"/>
      <w:marBottom w:val="0"/>
      <w:divBdr>
        <w:top w:val="none" w:sz="0" w:space="0" w:color="auto"/>
        <w:left w:val="none" w:sz="0" w:space="0" w:color="auto"/>
        <w:bottom w:val="none" w:sz="0" w:space="0" w:color="auto"/>
        <w:right w:val="none" w:sz="0" w:space="0" w:color="auto"/>
      </w:divBdr>
    </w:div>
    <w:div w:id="1784301016">
      <w:bodyDiv w:val="1"/>
      <w:marLeft w:val="0"/>
      <w:marRight w:val="0"/>
      <w:marTop w:val="0"/>
      <w:marBottom w:val="0"/>
      <w:divBdr>
        <w:top w:val="none" w:sz="0" w:space="0" w:color="auto"/>
        <w:left w:val="none" w:sz="0" w:space="0" w:color="auto"/>
        <w:bottom w:val="none" w:sz="0" w:space="0" w:color="auto"/>
        <w:right w:val="none" w:sz="0" w:space="0" w:color="auto"/>
      </w:divBdr>
    </w:div>
    <w:div w:id="1797062763">
      <w:bodyDiv w:val="1"/>
      <w:marLeft w:val="0"/>
      <w:marRight w:val="0"/>
      <w:marTop w:val="0"/>
      <w:marBottom w:val="0"/>
      <w:divBdr>
        <w:top w:val="none" w:sz="0" w:space="0" w:color="auto"/>
        <w:left w:val="none" w:sz="0" w:space="0" w:color="auto"/>
        <w:bottom w:val="none" w:sz="0" w:space="0" w:color="auto"/>
        <w:right w:val="none" w:sz="0" w:space="0" w:color="auto"/>
      </w:divBdr>
    </w:div>
    <w:div w:id="1830704453">
      <w:bodyDiv w:val="1"/>
      <w:marLeft w:val="0"/>
      <w:marRight w:val="0"/>
      <w:marTop w:val="0"/>
      <w:marBottom w:val="0"/>
      <w:divBdr>
        <w:top w:val="none" w:sz="0" w:space="0" w:color="auto"/>
        <w:left w:val="none" w:sz="0" w:space="0" w:color="auto"/>
        <w:bottom w:val="none" w:sz="0" w:space="0" w:color="auto"/>
        <w:right w:val="none" w:sz="0" w:space="0" w:color="auto"/>
      </w:divBdr>
    </w:div>
    <w:div w:id="1932664061">
      <w:bodyDiv w:val="1"/>
      <w:marLeft w:val="0"/>
      <w:marRight w:val="0"/>
      <w:marTop w:val="0"/>
      <w:marBottom w:val="0"/>
      <w:divBdr>
        <w:top w:val="none" w:sz="0" w:space="0" w:color="auto"/>
        <w:left w:val="none" w:sz="0" w:space="0" w:color="auto"/>
        <w:bottom w:val="none" w:sz="0" w:space="0" w:color="auto"/>
        <w:right w:val="none" w:sz="0" w:space="0" w:color="auto"/>
      </w:divBdr>
    </w:div>
    <w:div w:id="1972980442">
      <w:bodyDiv w:val="1"/>
      <w:marLeft w:val="0"/>
      <w:marRight w:val="0"/>
      <w:marTop w:val="0"/>
      <w:marBottom w:val="0"/>
      <w:divBdr>
        <w:top w:val="none" w:sz="0" w:space="0" w:color="auto"/>
        <w:left w:val="none" w:sz="0" w:space="0" w:color="auto"/>
        <w:bottom w:val="none" w:sz="0" w:space="0" w:color="auto"/>
        <w:right w:val="none" w:sz="0" w:space="0" w:color="auto"/>
      </w:divBdr>
    </w:div>
    <w:div w:id="1982229981">
      <w:bodyDiv w:val="1"/>
      <w:marLeft w:val="0"/>
      <w:marRight w:val="0"/>
      <w:marTop w:val="0"/>
      <w:marBottom w:val="0"/>
      <w:divBdr>
        <w:top w:val="none" w:sz="0" w:space="0" w:color="auto"/>
        <w:left w:val="none" w:sz="0" w:space="0" w:color="auto"/>
        <w:bottom w:val="none" w:sz="0" w:space="0" w:color="auto"/>
        <w:right w:val="none" w:sz="0" w:space="0" w:color="auto"/>
      </w:divBdr>
    </w:div>
    <w:div w:id="1994218920">
      <w:bodyDiv w:val="1"/>
      <w:marLeft w:val="0"/>
      <w:marRight w:val="0"/>
      <w:marTop w:val="0"/>
      <w:marBottom w:val="0"/>
      <w:divBdr>
        <w:top w:val="none" w:sz="0" w:space="0" w:color="auto"/>
        <w:left w:val="none" w:sz="0" w:space="0" w:color="auto"/>
        <w:bottom w:val="none" w:sz="0" w:space="0" w:color="auto"/>
        <w:right w:val="none" w:sz="0" w:space="0" w:color="auto"/>
      </w:divBdr>
    </w:div>
    <w:div w:id="2007707460">
      <w:bodyDiv w:val="1"/>
      <w:marLeft w:val="0"/>
      <w:marRight w:val="0"/>
      <w:marTop w:val="0"/>
      <w:marBottom w:val="0"/>
      <w:divBdr>
        <w:top w:val="none" w:sz="0" w:space="0" w:color="auto"/>
        <w:left w:val="none" w:sz="0" w:space="0" w:color="auto"/>
        <w:bottom w:val="none" w:sz="0" w:space="0" w:color="auto"/>
        <w:right w:val="none" w:sz="0" w:space="0" w:color="auto"/>
      </w:divBdr>
    </w:div>
    <w:div w:id="2035767649">
      <w:bodyDiv w:val="1"/>
      <w:marLeft w:val="0"/>
      <w:marRight w:val="0"/>
      <w:marTop w:val="0"/>
      <w:marBottom w:val="0"/>
      <w:divBdr>
        <w:top w:val="none" w:sz="0" w:space="0" w:color="auto"/>
        <w:left w:val="none" w:sz="0" w:space="0" w:color="auto"/>
        <w:bottom w:val="none" w:sz="0" w:space="0" w:color="auto"/>
        <w:right w:val="none" w:sz="0" w:space="0" w:color="auto"/>
      </w:divBdr>
    </w:div>
    <w:div w:id="213290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3.png"/><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image" Target="media/image15.png"/><Relationship Id="rId68" Type="http://schemas.openxmlformats.org/officeDocument/2006/relationships/image" Target="media/image20.png"/><Relationship Id="rId16" Type="http://schemas.openxmlformats.org/officeDocument/2006/relationships/header" Target="header4.xml"/><Relationship Id="rId11" Type="http://schemas.openxmlformats.org/officeDocument/2006/relationships/header" Target="header1.xml"/><Relationship Id="rId24"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oter" Target="footer5.xml"/><Relationship Id="rId53" Type="http://schemas.openxmlformats.org/officeDocument/2006/relationships/header" Target="header21.xml"/><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footer" Target="footer10.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3.png"/><Relationship Id="rId19" Type="http://schemas.openxmlformats.org/officeDocument/2006/relationships/header" Target="header6.xml"/><Relationship Id="rId14" Type="http://schemas.openxmlformats.org/officeDocument/2006/relationships/hyperlink" Target="http://creativecommons.org/licenses/by/4.0/" TargetMode="External"/><Relationship Id="rId22" Type="http://schemas.openxmlformats.org/officeDocument/2006/relationships/image" Target="media/image4.png"/><Relationship Id="rId27" Type="http://schemas.openxmlformats.org/officeDocument/2006/relationships/header" Target="header10.xml"/><Relationship Id="rId30" Type="http://schemas.openxmlformats.org/officeDocument/2006/relationships/diagramQuickStyle" Target="diagrams/quickStyle1.xml"/><Relationship Id="rId35" Type="http://schemas.openxmlformats.org/officeDocument/2006/relationships/image" Target="media/image7.png"/><Relationship Id="rId43" Type="http://schemas.openxmlformats.org/officeDocument/2006/relationships/hyperlink" Target="https://www.abs.gov.au/statistics/economy/price-indexes-and-inflation/consumer-price-index-australia/latest-release" TargetMode="External"/><Relationship Id="rId48" Type="http://schemas.openxmlformats.org/officeDocument/2006/relationships/footer" Target="footer6.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eader" Target="header24.xm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footer" Target="footer3.xml"/><Relationship Id="rId46" Type="http://schemas.openxmlformats.org/officeDocument/2006/relationships/header" Target="header16.xm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www.esc.vic.gov.au/electricity-and-gas/prices-tariffs-and-benchmarks/victorian-default-offer/victorian-default-offer-price-review-2025-26" TargetMode="External"/><Relationship Id="rId41" Type="http://schemas.openxmlformats.org/officeDocument/2006/relationships/footer" Target="footer4.xml"/><Relationship Id="rId54" Type="http://schemas.openxmlformats.org/officeDocument/2006/relationships/footer" Target="footer8.xml"/><Relationship Id="rId62" Type="http://schemas.openxmlformats.org/officeDocument/2006/relationships/image" Target="media/image14.png"/><Relationship Id="rId70" Type="http://schemas.openxmlformats.org/officeDocument/2006/relationships/header" Target="header23.xml"/><Relationship Id="rId7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diagramData" Target="diagrams/data1.xml"/><Relationship Id="rId36" Type="http://schemas.openxmlformats.org/officeDocument/2006/relationships/image" Target="cid:image004.png@01DB8F4D.770C4C30" TargetMode="External"/><Relationship Id="rId49" Type="http://schemas.openxmlformats.org/officeDocument/2006/relationships/header" Target="header18.xm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header" Target="header15.xml"/><Relationship Id="rId52" Type="http://schemas.openxmlformats.org/officeDocument/2006/relationships/header" Target="header20.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eader" Target="header25.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header" Target="header12.xml"/><Relationship Id="rId34" Type="http://schemas.openxmlformats.org/officeDocument/2006/relationships/image" Target="media/image6.png"/><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8" Type="http://schemas.openxmlformats.org/officeDocument/2006/relationships/hyperlink" Target="https://www.cleanenergyregulator.gov.au/RET/About-the-Renewable-Energy-Target/How-the-scheme-works/Small-scale-Renewable-Energy-Scheme" TargetMode="External"/><Relationship Id="rId13" Type="http://schemas.openxmlformats.org/officeDocument/2006/relationships/hyperlink" Target="https://www.esc.vic.gov.au/victorian-energy-upgrades-program/participating-veu-program/energy-retailers-veu-program" TargetMode="External"/><Relationship Id="rId18" Type="http://schemas.openxmlformats.org/officeDocument/2006/relationships/hyperlink" Target="https://energy-rules.aemc.gov.au/ner/639/570859" TargetMode="External"/><Relationship Id="rId26" Type="http://schemas.openxmlformats.org/officeDocument/2006/relationships/hyperlink" Target="https://aemo.com.au/energy-systems/electricity/national-electricity-market-nem/data-nem/ancillary-services-data/ancillary-services-payments-and-recovery" TargetMode="External"/><Relationship Id="rId3" Type="http://schemas.openxmlformats.org/officeDocument/2006/relationships/hyperlink" Target="https://www.budget.vic.gov.au/help-cost-living" TargetMode="External"/><Relationship Id="rId21" Type="http://schemas.openxmlformats.org/officeDocument/2006/relationships/hyperlink" Target="https://aemo.com.au/energy-systems/electricity/emergency-management/reliability-and-emergency-reserve-trader-rert/rert-reporting" TargetMode="External"/><Relationship Id="rId7" Type="http://schemas.openxmlformats.org/officeDocument/2006/relationships/hyperlink" Target="https://www.cleanenergyregulator.gov.au/RET/Scheme-participants-and-industry/the-renewable-power-percentage" TargetMode="External"/><Relationship Id="rId12" Type="http://schemas.openxmlformats.org/officeDocument/2006/relationships/hyperlink" Target="https://www.energy.vic.gov.au/victorian-energy-upgrades/installers/industry-market-update-work-program" TargetMode="External"/><Relationship Id="rId17" Type="http://schemas.openxmlformats.org/officeDocument/2006/relationships/hyperlink" Target="https://www.accc.gov.au/about-us/publications/serial-publications/inquiry-into-the-national-electricity-market-2018-25-reports/inquiry-into-the-national-electricity-market-report-december-2024" TargetMode="External"/><Relationship Id="rId25" Type="http://schemas.openxmlformats.org/officeDocument/2006/relationships/hyperlink" Target="https://aemo.com.au/-/media/files/stakeholder_consultation/consultations/nem-consultations/2025/draft-fy26-budget/aemo-fy26-draft-budget-and-fees_document.pdf?la=en" TargetMode="External"/><Relationship Id="rId2" Type="http://schemas.openxmlformats.org/officeDocument/2006/relationships/hyperlink" Target="https://www.energy.vic.gov.au/households/help-paying-your-energy-bills/energy-bill-relief-fund" TargetMode="External"/><Relationship Id="rId16" Type="http://schemas.openxmlformats.org/officeDocument/2006/relationships/hyperlink" Target="https://www.abs.gov.au/statistics/economy/price-indexes-and-inflation/consumer-price-index-australia/latest-release" TargetMode="External"/><Relationship Id="rId20" Type="http://schemas.openxmlformats.org/officeDocument/2006/relationships/hyperlink" Target="https://aemo.com.au/-/media/files/electricity/nem/market_notices_and_events/market_event_reports/2024/preliminary-report---nem-market-suspension.pdf?la=en" TargetMode="External"/><Relationship Id="rId1" Type="http://schemas.openxmlformats.org/officeDocument/2006/relationships/hyperlink" Target="https://www.esc.vic.gov.au/electricity-and-gas/codes-guidelines-and-policies/energy-retail-code-practice/reviewing-energy-retail-code-practice" TargetMode="External"/><Relationship Id="rId6" Type="http://schemas.openxmlformats.org/officeDocument/2006/relationships/hyperlink" Target="https://www.aer.gov.au/industry/registers/resources/reviews/default-market-offer-prices-2024-25" TargetMode="External"/><Relationship Id="rId11" Type="http://schemas.openxmlformats.org/officeDocument/2006/relationships/hyperlink" Target="https://www.esc.vic.gov.au/victorian-energy-upgrades/about-victorian-energy-upgrades-program" TargetMode="External"/><Relationship Id="rId24" Type="http://schemas.openxmlformats.org/officeDocument/2006/relationships/hyperlink" Target="https://aemo.com.au/-/media/files/stakeholder_consultation/consultations/nem-consultations/2025/draft-fy26-budget/aemo-fy26-draft-budget-and-fees_document.pdf?la=en" TargetMode="External"/><Relationship Id="rId5" Type="http://schemas.openxmlformats.org/officeDocument/2006/relationships/hyperlink" Target="https://www.aer.gov.au/industry/registers/resources/reviews/default-market-offer-prices-2025-26/draft-decision" TargetMode="External"/><Relationship Id="rId15" Type="http://schemas.openxmlformats.org/officeDocument/2006/relationships/hyperlink" Target="https://www.abs.gov.au/statistics/economy/price-indexes-and-inflation/consumer-price-index-australia/latest-release" TargetMode="External"/><Relationship Id="rId23" Type="http://schemas.openxmlformats.org/officeDocument/2006/relationships/hyperlink" Target="https://aemo.com.au/about/corporate-governance/energy-market-fees-and-charges" TargetMode="External"/><Relationship Id="rId10" Type="http://schemas.openxmlformats.org/officeDocument/2006/relationships/hyperlink" Target="https://www.cleanenergyregulator.gov.au/OSR/REC/STC-clearing-house" TargetMode="External"/><Relationship Id="rId19" Type="http://schemas.openxmlformats.org/officeDocument/2006/relationships/hyperlink" Target="https://aemo.com.au/-/media/files/electricity/nem/market_notices_and_events/market_event_reports/2024/2024020320240302-system-security-energy-directions-report.xlsx?la=en" TargetMode="External"/><Relationship Id="rId4" Type="http://schemas.openxmlformats.org/officeDocument/2006/relationships/hyperlink" Target="https://www.aer.gov.au/news/articles/communications/aer-publishes-2025-26-pricing-proposals-electricity-distributors" TargetMode="External"/><Relationship Id="rId9" Type="http://schemas.openxmlformats.org/officeDocument/2006/relationships/hyperlink" Target="https://www.cleanenergyregulator.gov.au/RET/Scheme-participants-and-industry/the-small-scale-technology-percentage" TargetMode="External"/><Relationship Id="rId14" Type="http://schemas.openxmlformats.org/officeDocument/2006/relationships/hyperlink" Target="https://www.abs.gov.au/statistics/economy/price-indexes-and-inflation/consumer-price-index-australia/latest-release" TargetMode="External"/><Relationship Id="rId22" Type="http://schemas.openxmlformats.org/officeDocument/2006/relationships/hyperlink" Target="https://aemo.com.au/-/media/files/electricity/nem/emergency_management/rert/2024/rert-quarterly-report-q1-2024.pdf?la=en" TargetMode="External"/><Relationship Id="rId27" Type="http://schemas.openxmlformats.org/officeDocument/2006/relationships/hyperlink" Target="https://www.accc.gov.au/system/files/appendix-c-inquiry-national-electricity-market-december-2024.xls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D3519-073E-4F11-9623-F3E509825978}"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en-US"/>
        </a:p>
      </dgm:t>
    </dgm:pt>
    <dgm:pt modelId="{DE731B82-FF45-4B9D-B016-DE6F0633239A}">
      <dgm:prSet phldrT="[Text]"/>
      <dgm:spPr>
        <a:xfrm>
          <a:off x="1669"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Wholesale electricity costs</a:t>
          </a:r>
        </a:p>
      </dgm:t>
    </dgm:pt>
    <dgm:pt modelId="{B92BDF2A-ADD4-4CDA-9B4A-76630B97C80B}" type="parTrans" cxnId="{3911AAC3-7F49-4DD8-B8B6-700AF9FF50A1}">
      <dgm:prSet/>
      <dgm:spPr>
        <a:xfrm>
          <a:off x="388771" y="634691"/>
          <a:ext cx="2810358"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674F9CAC-96B0-453E-B96C-30C00925BA98}" type="sibTrans" cxnId="{3911AAC3-7F49-4DD8-B8B6-700AF9FF50A1}">
      <dgm:prSet/>
      <dgm:spPr/>
      <dgm:t>
        <a:bodyPr/>
        <a:lstStyle/>
        <a:p>
          <a:endParaRPr lang="en-US"/>
        </a:p>
      </dgm:t>
    </dgm:pt>
    <dgm:pt modelId="{1D8BAA58-3DA6-4960-BED4-9BAD3D7507EA}">
      <dgm:prSet phldrT="[Text]"/>
      <dgm:spPr>
        <a:xfrm>
          <a:off x="938455"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Network costs</a:t>
          </a:r>
        </a:p>
      </dgm:t>
    </dgm:pt>
    <dgm:pt modelId="{49E86799-3C09-49FF-A0C4-A4A96A8EF001}" type="parTrans" cxnId="{91577721-5766-4ACF-A0C1-4DC833C0226B}">
      <dgm:prSet/>
      <dgm:spPr>
        <a:xfrm>
          <a:off x="1325557" y="634691"/>
          <a:ext cx="1873572"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2154DFE3-CFBA-4095-B475-FF65E47474B8}" type="sibTrans" cxnId="{91577721-5766-4ACF-A0C1-4DC833C0226B}">
      <dgm:prSet/>
      <dgm:spPr/>
      <dgm:t>
        <a:bodyPr/>
        <a:lstStyle/>
        <a:p>
          <a:endParaRPr lang="en-US"/>
        </a:p>
      </dgm:t>
    </dgm:pt>
    <dgm:pt modelId="{CFF08FB6-81CC-4687-9F86-511D65A9B699}">
      <dgm:prSet phldrT="[Text]"/>
      <dgm:spPr>
        <a:xfrm>
          <a:off x="2812028"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operating  costs</a:t>
          </a:r>
        </a:p>
      </dgm:t>
    </dgm:pt>
    <dgm:pt modelId="{9BDA0461-193F-4719-8B09-67120BB95025}" type="parTrans" cxnId="{F1A86A02-1D51-43A7-A38B-3A717ED30FB7}">
      <dgm:prSet/>
      <dgm:spPr>
        <a:xfrm>
          <a:off x="3153410" y="634691"/>
          <a:ext cx="91440"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82A24B88-A0D7-45A6-8090-AE4DDA1860CF}" type="sibTrans" cxnId="{F1A86A02-1D51-43A7-A38B-3A717ED30FB7}">
      <dgm:prSet/>
      <dgm:spPr/>
      <dgm:t>
        <a:bodyPr/>
        <a:lstStyle/>
        <a:p>
          <a:endParaRPr lang="en-US"/>
        </a:p>
      </dgm:t>
    </dgm:pt>
    <dgm:pt modelId="{F085D67E-4DC8-41EE-8827-B267843A31B9}">
      <dgm:prSet phldrT="[Text]"/>
      <dgm:spPr>
        <a:xfrm>
          <a:off x="195220" y="1346959"/>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Energy purchase costs</a:t>
          </a:r>
        </a:p>
      </dgm:t>
    </dgm:pt>
    <dgm:pt modelId="{B6AB0307-71D9-424C-AC7E-29D971E2B689}" type="parTrans" cxnId="{5FAD60E7-C58F-4FFE-A8B3-F819CE4C0C45}">
      <dgm:prSet/>
      <dgm:spPr>
        <a:xfrm>
          <a:off x="79089" y="1184376"/>
          <a:ext cx="116130" cy="356133"/>
        </a:xfr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A643FEFF-9100-4C4E-A63A-0EBF65B9ACD0}" type="sibTrans" cxnId="{5FAD60E7-C58F-4FFE-A8B3-F819CE4C0C45}">
      <dgm:prSet/>
      <dgm:spPr/>
      <dgm:t>
        <a:bodyPr/>
        <a:lstStyle/>
        <a:p>
          <a:endParaRPr lang="en-US"/>
        </a:p>
      </dgm:t>
    </dgm:pt>
    <dgm:pt modelId="{3AE70819-C5ED-496F-AB00-2F25293A2BF1}">
      <dgm:prSet phldrT="[Text]"/>
      <dgm:spPr>
        <a:xfrm>
          <a:off x="3005579" y="1346959"/>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operating costs</a:t>
          </a:r>
        </a:p>
      </dgm:t>
    </dgm:pt>
    <dgm:pt modelId="{D723E379-1660-4FAC-8D2D-4E703B3A4D0D}" type="parTrans" cxnId="{B6B658A7-A6B6-41F0-9B0E-829E748EA199}">
      <dgm:prSet/>
      <dgm:spPr>
        <a:xfrm>
          <a:off x="2889448" y="1184376"/>
          <a:ext cx="116130" cy="356133"/>
        </a:xfr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2384A6E0-A1CE-4CD1-8E39-1811D1871E64}" type="sibTrans" cxnId="{B6B658A7-A6B6-41F0-9B0E-829E748EA199}">
      <dgm:prSet/>
      <dgm:spPr/>
      <dgm:t>
        <a:bodyPr/>
        <a:lstStyle/>
        <a:p>
          <a:endParaRPr lang="en-US"/>
        </a:p>
      </dgm:t>
    </dgm:pt>
    <dgm:pt modelId="{F9F55C23-D35E-4ACE-B630-CA0B3D86E01D}">
      <dgm:prSet phldrT="[Text]"/>
      <dgm:spPr>
        <a:xfrm>
          <a:off x="3748814"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Other costs</a:t>
          </a:r>
        </a:p>
      </dgm:t>
    </dgm:pt>
    <dgm:pt modelId="{43246753-95F1-43A8-AD41-2853ECA401D6}" type="parTrans" cxnId="{2CAB69FC-AB18-4443-A3BD-171B083D5B6C}">
      <dgm:prSet/>
      <dgm:spPr>
        <a:xfrm>
          <a:off x="3199130" y="634691"/>
          <a:ext cx="936786"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F02DC235-0AA8-488C-8ABE-C8FA7E5B98C6}" type="sibTrans" cxnId="{2CAB69FC-AB18-4443-A3BD-171B083D5B6C}">
      <dgm:prSet/>
      <dgm:spPr/>
      <dgm:t>
        <a:bodyPr/>
        <a:lstStyle/>
        <a:p>
          <a:endParaRPr lang="en-US"/>
        </a:p>
      </dgm:t>
    </dgm:pt>
    <dgm:pt modelId="{7A3B6181-1ACA-4B4B-8CE8-90B31FC757DA}">
      <dgm:prSet phldrT="[Text]"/>
      <dgm:spPr>
        <a:xfrm>
          <a:off x="3942365" y="1346959"/>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Market fees</a:t>
          </a:r>
        </a:p>
      </dgm:t>
    </dgm:pt>
    <dgm:pt modelId="{632F94F0-7CE8-47D2-BE92-3F5F4F006B04}" type="parTrans" cxnId="{EEF30187-9C7E-45F2-96A0-25864BF0F0D9}">
      <dgm:prSet/>
      <dgm:spPr>
        <a:xfrm>
          <a:off x="3826234" y="1184376"/>
          <a:ext cx="116130" cy="356133"/>
        </a:xfr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C5B45024-446C-4DAF-A0E1-4A00B54C96C5}" type="sibTrans" cxnId="{EEF30187-9C7E-45F2-96A0-25864BF0F0D9}">
      <dgm:prSet/>
      <dgm:spPr/>
      <dgm:t>
        <a:bodyPr/>
        <a:lstStyle/>
        <a:p>
          <a:endParaRPr lang="en-US"/>
        </a:p>
      </dgm:t>
    </dgm:pt>
    <dgm:pt modelId="{F75CD983-C623-4EF8-8660-2BB0560A0192}">
      <dgm:prSet phldrT="[Text]"/>
      <dgm:spPr>
        <a:xfrm>
          <a:off x="3942365" y="2446328"/>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Licence fees</a:t>
          </a:r>
        </a:p>
      </dgm:t>
    </dgm:pt>
    <dgm:pt modelId="{AA105F14-27CA-4C36-B4CA-CCACE1A73D4D}" type="parTrans" cxnId="{58AF3E01-FDF5-48BE-B9FB-43D4FAC41D42}">
      <dgm:prSet/>
      <dgm:spPr>
        <a:xfrm>
          <a:off x="3826234" y="1184376"/>
          <a:ext cx="116130" cy="1455502"/>
        </a:xfr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3868D3D7-2486-40A7-8422-BECB354594B0}" type="sibTrans" cxnId="{58AF3E01-FDF5-48BE-B9FB-43D4FAC41D42}">
      <dgm:prSet/>
      <dgm:spPr/>
      <dgm:t>
        <a:bodyPr/>
        <a:lstStyle/>
        <a:p>
          <a:endParaRPr lang="en-US"/>
        </a:p>
      </dgm:t>
    </dgm:pt>
    <dgm:pt modelId="{3D2F35AF-9F29-4037-B88A-4FEA531E9CCD}">
      <dgm:prSet phldrT="[Text]"/>
      <dgm:spPr>
        <a:xfrm>
          <a:off x="2812028" y="247590"/>
          <a:ext cx="774203" cy="387101"/>
        </a:xfrm>
        <a:solidFill>
          <a:srgbClr val="23619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Victorian Default Offer cost components</a:t>
          </a:r>
        </a:p>
      </dgm:t>
    </dgm:pt>
    <dgm:pt modelId="{EB824C88-0EEA-4010-8C38-D4FF13EAB241}" type="parTrans" cxnId="{E4BD5B50-160E-4819-89DC-0C51C5E77F6A}">
      <dgm:prSet/>
      <dgm:spPr/>
      <dgm:t>
        <a:bodyPr/>
        <a:lstStyle/>
        <a:p>
          <a:endParaRPr lang="en-US"/>
        </a:p>
      </dgm:t>
    </dgm:pt>
    <dgm:pt modelId="{8BB52629-47D6-43EB-B19E-388A16962B96}" type="sibTrans" cxnId="{E4BD5B50-160E-4819-89DC-0C51C5E77F6A}">
      <dgm:prSet/>
      <dgm:spPr/>
      <dgm:t>
        <a:bodyPr/>
        <a:lstStyle/>
        <a:p>
          <a:endParaRPr lang="en-US"/>
        </a:p>
      </dgm:t>
    </dgm:pt>
    <dgm:pt modelId="{CFFCEC08-EAAF-4A54-B5BF-4B73599A6288}">
      <dgm:prSet phldrT="[Text]"/>
      <dgm:spPr>
        <a:xfrm>
          <a:off x="3005579" y="1896643"/>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Modest customer acquisition and retention costs</a:t>
          </a:r>
        </a:p>
      </dgm:t>
    </dgm:pt>
    <dgm:pt modelId="{90AE6C98-10D9-4AF6-B3C4-B3BFC7B7838F}" type="parTrans" cxnId="{3A20345B-123F-466D-972C-48BDA9B642B9}">
      <dgm:prSet/>
      <dgm:spPr>
        <a:xfrm>
          <a:off x="2889448" y="1184376"/>
          <a:ext cx="116130" cy="905818"/>
        </a:xfr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ADB5E2CB-53EE-4ED8-AF3C-3CE0A9F20112}" type="sibTrans" cxnId="{3A20345B-123F-466D-972C-48BDA9B642B9}">
      <dgm:prSet/>
      <dgm:spPr/>
      <dgm:t>
        <a:bodyPr/>
        <a:lstStyle/>
        <a:p>
          <a:endParaRPr lang="en-AU"/>
        </a:p>
      </dgm:t>
    </dgm:pt>
    <dgm:pt modelId="{6BECD059-561B-4263-8CBF-59EE9A5CE5B2}">
      <dgm:prSet phldrT="[Text]"/>
      <dgm:spPr>
        <a:xfrm>
          <a:off x="195220" y="1896643"/>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Volatility adjustment</a:t>
          </a:r>
        </a:p>
      </dgm:t>
    </dgm:pt>
    <dgm:pt modelId="{7D3C3036-A004-4D0B-8BC7-21758F749884}" type="parTrans" cxnId="{535906FD-C592-488E-8000-CAACBD54E951}">
      <dgm:prSet/>
      <dgm:spPr>
        <a:xfrm>
          <a:off x="79089" y="1184376"/>
          <a:ext cx="116130" cy="905818"/>
        </a:xfr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C335CFCF-38F4-4FCC-A9F9-871A483FCFE9}" type="sibTrans" cxnId="{535906FD-C592-488E-8000-CAACBD54E951}">
      <dgm:prSet/>
      <dgm:spPr/>
      <dgm:t>
        <a:bodyPr/>
        <a:lstStyle/>
        <a:p>
          <a:endParaRPr lang="en-AU"/>
        </a:p>
      </dgm:t>
    </dgm:pt>
    <dgm:pt modelId="{1D42193F-CBA2-4226-81AD-8B2DD5C0E139}">
      <dgm:prSet phldrT="[Text]"/>
      <dgm:spPr>
        <a:xfrm>
          <a:off x="3942365" y="1896643"/>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Ancillary charges</a:t>
          </a:r>
        </a:p>
      </dgm:t>
    </dgm:pt>
    <dgm:pt modelId="{EC9B4DFA-8CAD-47AD-BF82-CF9D42E50016}" type="parTrans" cxnId="{8FEC5E23-3B90-4216-BC07-A28911119909}">
      <dgm:prSet/>
      <dgm:spPr>
        <a:xfrm>
          <a:off x="3826234" y="1184376"/>
          <a:ext cx="116130" cy="905818"/>
        </a:xfr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CEFA424E-FB8E-4720-B338-06DD9D0B9F3F}" type="sibTrans" cxnId="{8FEC5E23-3B90-4216-BC07-A28911119909}">
      <dgm:prSet/>
      <dgm:spPr/>
      <dgm:t>
        <a:bodyPr/>
        <a:lstStyle/>
        <a:p>
          <a:endParaRPr lang="en-AU"/>
        </a:p>
      </dgm:t>
    </dgm:pt>
    <dgm:pt modelId="{3D2895F0-DFD3-41B7-B57C-8E8DEC27A618}">
      <dgm:prSet phldrT="[Text]"/>
      <dgm:spPr>
        <a:xfrm>
          <a:off x="1875241"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Environmental  costs</a:t>
          </a:r>
        </a:p>
      </dgm:t>
    </dgm:pt>
    <dgm:pt modelId="{62DFA893-50BD-4BEE-AF03-919B8B13F7DB}" type="parTrans" cxnId="{EBD1A535-E74E-42B6-9025-8330371B373B}">
      <dgm:prSet/>
      <dgm:spPr>
        <a:xfrm>
          <a:off x="2262343" y="634691"/>
          <a:ext cx="936786"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AU"/>
        </a:p>
      </dgm:t>
    </dgm:pt>
    <dgm:pt modelId="{E5B27CE6-AAB2-4AA1-A472-5F7D97214190}" type="sibTrans" cxnId="{EBD1A535-E74E-42B6-9025-8330371B373B}">
      <dgm:prSet/>
      <dgm:spPr/>
      <dgm:t>
        <a:bodyPr/>
        <a:lstStyle/>
        <a:p>
          <a:endParaRPr lang="en-AU"/>
        </a:p>
      </dgm:t>
    </dgm:pt>
    <dgm:pt modelId="{66D1C2D2-5E8B-42F4-8AFC-815FD131F151}">
      <dgm:prSet phldrT="[Text]"/>
      <dgm:spPr>
        <a:xfrm>
          <a:off x="2068792" y="1346959"/>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Renewable energy schemes</a:t>
          </a:r>
        </a:p>
      </dgm:t>
    </dgm:pt>
    <dgm:pt modelId="{D6B64A15-AFD6-4AB5-99C0-EC24E27AD804}" type="parTrans" cxnId="{2310A56D-FD65-49F3-9F05-F2CF53B2ED73}">
      <dgm:prSet/>
      <dgm:spPr>
        <a:xfrm>
          <a:off x="1952662" y="1184376"/>
          <a:ext cx="116130" cy="356133"/>
        </a:xfr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20B85E19-2757-4A08-AFA0-36BCE45D67E1}" type="sibTrans" cxnId="{2310A56D-FD65-49F3-9F05-F2CF53B2ED73}">
      <dgm:prSet/>
      <dgm:spPr/>
      <dgm:t>
        <a:bodyPr/>
        <a:lstStyle/>
        <a:p>
          <a:endParaRPr lang="en-AU"/>
        </a:p>
      </dgm:t>
    </dgm:pt>
    <dgm:pt modelId="{239BFF1F-ED18-41B4-9065-D972D135138C}">
      <dgm:prSet phldrT="[Text]"/>
      <dgm:spPr>
        <a:xfrm>
          <a:off x="2068792" y="1896643"/>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Victorian Energy Upgrades program</a:t>
          </a:r>
        </a:p>
      </dgm:t>
    </dgm:pt>
    <dgm:pt modelId="{D0302C65-A403-41B0-9179-9040ACAF90AC}" type="parTrans" cxnId="{FA196BEA-7A7E-4639-8F58-A2CB3E4F15DB}">
      <dgm:prSet/>
      <dgm:spPr>
        <a:xfrm>
          <a:off x="1952662" y="1184376"/>
          <a:ext cx="116130" cy="905818"/>
        </a:xfr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85E0E19C-BC39-4FB8-AD82-F16B20573853}" type="sibTrans" cxnId="{FA196BEA-7A7E-4639-8F58-A2CB3E4F15DB}">
      <dgm:prSet/>
      <dgm:spPr/>
      <dgm:t>
        <a:bodyPr/>
        <a:lstStyle/>
        <a:p>
          <a:endParaRPr lang="en-AU"/>
        </a:p>
      </dgm:t>
    </dgm:pt>
    <dgm:pt modelId="{58EA8CCD-CFF8-49E7-9E34-EE8160305401}">
      <dgm:prSet phldrT="[Text]"/>
      <dgm:spPr>
        <a:xfrm>
          <a:off x="5622387"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operating margin</a:t>
          </a:r>
        </a:p>
      </dgm:t>
    </dgm:pt>
    <dgm:pt modelId="{E3073993-7C88-43E2-BE0B-1987C965BCB8}" type="parTrans" cxnId="{FB1316B2-2AA6-482E-8CB6-A6AD5F677B85}">
      <dgm:prSet/>
      <dgm:spPr>
        <a:xfrm>
          <a:off x="3199130" y="634691"/>
          <a:ext cx="2810358" cy="162582"/>
        </a:xfrm>
        <a:noFill/>
        <a:ln w="12700" cap="flat" cmpd="sng" algn="ctr">
          <a:solidFill>
            <a:srgbClr val="236192">
              <a:tint val="99000"/>
              <a:hueOff val="0"/>
              <a:satOff val="0"/>
              <a:lumOff val="0"/>
              <a:alphaOff val="0"/>
            </a:srgbClr>
          </a:solidFill>
          <a:prstDash val="solid"/>
          <a:miter lim="800000"/>
        </a:ln>
        <a:effectLst/>
      </dgm:spPr>
      <dgm:t>
        <a:bodyPr/>
        <a:lstStyle/>
        <a:p>
          <a:endParaRPr lang="en-AU"/>
        </a:p>
      </dgm:t>
    </dgm:pt>
    <dgm:pt modelId="{7DBA3B1A-E036-4DC4-913D-BBB1AD89A2F1}" type="sibTrans" cxnId="{FB1316B2-2AA6-482E-8CB6-A6AD5F677B85}">
      <dgm:prSet/>
      <dgm:spPr/>
      <dgm:t>
        <a:bodyPr/>
        <a:lstStyle/>
        <a:p>
          <a:endParaRPr lang="en-AU"/>
        </a:p>
      </dgm:t>
    </dgm:pt>
    <dgm:pt modelId="{DA9ACBDE-F15D-49D8-B5DD-B1D448EA9E1A}">
      <dgm:prSet phldrT="[Text]"/>
      <dgm:spPr>
        <a:xfrm>
          <a:off x="5622387" y="797274"/>
          <a:ext cx="774203" cy="387101"/>
        </a:xfr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Network loss </a:t>
          </a:r>
          <a:br>
            <a:rPr lang="en-US">
              <a:solidFill>
                <a:sysClr val="window" lastClr="FFFFFF"/>
              </a:solidFill>
              <a:latin typeface="Arial" panose="020B0604020202020204"/>
              <a:ea typeface="+mn-ea"/>
              <a:cs typeface="+mn-cs"/>
            </a:rPr>
          </a:br>
          <a:r>
            <a:rPr lang="en-US">
              <a:solidFill>
                <a:sysClr val="window" lastClr="FFFFFF"/>
              </a:solidFill>
              <a:latin typeface="Arial" panose="020B0604020202020204"/>
              <a:ea typeface="+mn-ea"/>
              <a:cs typeface="+mn-cs"/>
            </a:rPr>
            <a:t>factor</a:t>
          </a:r>
        </a:p>
      </dgm:t>
    </dgm:pt>
    <dgm:pt modelId="{4B9A939B-A723-4D0D-A7F5-69EC3CD83AAA}" type="parTrans" cxnId="{64788515-1EB3-4DAD-865B-6B049223359B}">
      <dgm:prSet/>
      <dgm:spPr/>
      <dgm:t>
        <a:bodyPr/>
        <a:lstStyle/>
        <a:p>
          <a:endParaRPr lang="en-AU"/>
        </a:p>
      </dgm:t>
    </dgm:pt>
    <dgm:pt modelId="{69D3177E-7C98-4C1B-8503-A7DBBB9D185E}" type="sibTrans" cxnId="{64788515-1EB3-4DAD-865B-6B049223359B}">
      <dgm:prSet/>
      <dgm:spPr/>
      <dgm:t>
        <a:bodyPr/>
        <a:lstStyle/>
        <a:p>
          <a:endParaRPr lang="en-AU"/>
        </a:p>
      </dgm:t>
    </dgm:pt>
    <dgm:pt modelId="{0227CFA8-87FC-46A1-B6E4-332AF2BAB2AD}">
      <dgm:prSet phldrT="[Text]"/>
      <dgm:spPr>
        <a:xfrm>
          <a:off x="938455" y="797274"/>
          <a:ext cx="774203" cy="387101"/>
        </a:xfrm>
        <a:solidFill>
          <a:srgbClr val="7F94A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Network tariffs</a:t>
          </a:r>
        </a:p>
      </dgm:t>
    </dgm:pt>
    <dgm:pt modelId="{5294EED8-CD61-46B9-8F1D-36F4589A29A1}" type="parTrans" cxnId="{47DD0FBE-D853-49CC-B280-B08926446EB8}">
      <dgm:prSet/>
      <dgm:spPr/>
      <dgm:t>
        <a:bodyPr/>
        <a:lstStyle/>
        <a:p>
          <a:endParaRPr lang="en-AU"/>
        </a:p>
      </dgm:t>
    </dgm:pt>
    <dgm:pt modelId="{3F41527E-6239-44C9-8FD7-B2151A6F03C9}" type="sibTrans" cxnId="{47DD0FBE-D853-49CC-B280-B08926446EB8}">
      <dgm:prSet/>
      <dgm:spPr/>
      <dgm:t>
        <a:bodyPr/>
        <a:lstStyle/>
        <a:p>
          <a:endParaRPr lang="en-AU"/>
        </a:p>
      </dgm:t>
    </dgm:pt>
    <dgm:pt modelId="{351A428A-E2AC-4370-A5DB-74E6BF81F046}">
      <dgm:prSet phldrT="[Text]"/>
      <dgm:spPr>
        <a:xfrm>
          <a:off x="938455" y="797274"/>
          <a:ext cx="774203" cy="387101"/>
        </a:xfrm>
        <a:solidFill>
          <a:srgbClr val="7F94A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Metering charges</a:t>
          </a:r>
        </a:p>
      </dgm:t>
    </dgm:pt>
    <dgm:pt modelId="{CC63A405-4C9B-4313-95ED-41EFF071A6EC}" type="parTrans" cxnId="{FB4158CD-EC34-4365-8D7C-EC9FE994A33E}">
      <dgm:prSet/>
      <dgm:spPr/>
      <dgm:t>
        <a:bodyPr/>
        <a:lstStyle/>
        <a:p>
          <a:endParaRPr lang="en-AU"/>
        </a:p>
      </dgm:t>
    </dgm:pt>
    <dgm:pt modelId="{F542A7D7-F26A-43A8-AB0D-A7A4B75A118B}" type="sibTrans" cxnId="{FB4158CD-EC34-4365-8D7C-EC9FE994A33E}">
      <dgm:prSet/>
      <dgm:spPr/>
      <dgm:t>
        <a:bodyPr/>
        <a:lstStyle/>
        <a:p>
          <a:endParaRPr lang="en-AU"/>
        </a:p>
      </dgm:t>
    </dgm:pt>
    <dgm:pt modelId="{C8FBA9F8-85EB-4387-BEA3-41FC96E3D5EF}">
      <dgm:prSet phldrT="[Text]"/>
      <dgm:spPr>
        <a:xfrm>
          <a:off x="195220" y="1346959"/>
          <a:ext cx="774203" cy="387101"/>
        </a:xfr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Wholesale electricity cost of exports</a:t>
          </a:r>
        </a:p>
      </dgm:t>
    </dgm:pt>
    <dgm:pt modelId="{1BE9DB66-48F5-4147-B2EA-542166D79CE5}" type="parTrans" cxnId="{EF6568DC-4913-42E3-8FE4-A6D488BA7491}">
      <dgm:prSet/>
      <dgm:spPr/>
    </dgm:pt>
    <dgm:pt modelId="{72A418A7-065F-4F57-B84C-00054A98162E}" type="sibTrans" cxnId="{EF6568DC-4913-42E3-8FE4-A6D488BA7491}">
      <dgm:prSet/>
      <dgm:spPr/>
    </dgm:pt>
    <dgm:pt modelId="{B5EE3E4A-C2F3-437F-91BB-140B2A6F71A1}" type="pres">
      <dgm:prSet presAssocID="{BE4D3519-073E-4F11-9623-F3E509825978}" presName="hierChild1" presStyleCnt="0">
        <dgm:presLayoutVars>
          <dgm:orgChart val="1"/>
          <dgm:chPref val="1"/>
          <dgm:dir/>
          <dgm:animOne val="branch"/>
          <dgm:animLvl val="lvl"/>
          <dgm:resizeHandles/>
        </dgm:presLayoutVars>
      </dgm:prSet>
      <dgm:spPr/>
    </dgm:pt>
    <dgm:pt modelId="{9E7491B1-4745-48F2-A906-949EACF718EE}" type="pres">
      <dgm:prSet presAssocID="{3D2F35AF-9F29-4037-B88A-4FEA531E9CCD}" presName="hierRoot1" presStyleCnt="0">
        <dgm:presLayoutVars>
          <dgm:hierBranch val="init"/>
        </dgm:presLayoutVars>
      </dgm:prSet>
      <dgm:spPr/>
    </dgm:pt>
    <dgm:pt modelId="{4F8CBC8C-185D-4C88-98B5-769D0C4558BB}" type="pres">
      <dgm:prSet presAssocID="{3D2F35AF-9F29-4037-B88A-4FEA531E9CCD}" presName="rootComposite1" presStyleCnt="0"/>
      <dgm:spPr/>
    </dgm:pt>
    <dgm:pt modelId="{F5DD851D-5769-4F7A-85D5-179F87A1D197}" type="pres">
      <dgm:prSet presAssocID="{3D2F35AF-9F29-4037-B88A-4FEA531E9CCD}" presName="rootText1" presStyleLbl="node0" presStyleIdx="0" presStyleCnt="1" custScaleX="170109">
        <dgm:presLayoutVars>
          <dgm:chPref val="3"/>
        </dgm:presLayoutVars>
      </dgm:prSet>
      <dgm:spPr>
        <a:prstGeom prst="rect">
          <a:avLst/>
        </a:prstGeom>
      </dgm:spPr>
    </dgm:pt>
    <dgm:pt modelId="{AFDD3768-41C1-4610-A65B-1D34C2213219}" type="pres">
      <dgm:prSet presAssocID="{3D2F35AF-9F29-4037-B88A-4FEA531E9CCD}" presName="rootConnector1" presStyleLbl="node1" presStyleIdx="0" presStyleCnt="0"/>
      <dgm:spPr/>
    </dgm:pt>
    <dgm:pt modelId="{052C445A-CFBA-46CF-B5B1-253A4039E366}" type="pres">
      <dgm:prSet presAssocID="{3D2F35AF-9F29-4037-B88A-4FEA531E9CCD}" presName="hierChild2" presStyleCnt="0"/>
      <dgm:spPr/>
    </dgm:pt>
    <dgm:pt modelId="{3D9EB983-9F39-4816-B228-4EBBC3D7EA7C}" type="pres">
      <dgm:prSet presAssocID="{49E86799-3C09-49FF-A0C4-A4A96A8EF001}" presName="Name37" presStyleLbl="parChTrans1D2" presStyleIdx="0" presStyleCnt="7"/>
      <dgm:spPr>
        <a:custGeom>
          <a:avLst/>
          <a:gdLst/>
          <a:ahLst/>
          <a:cxnLst/>
          <a:rect l="0" t="0" r="0" b="0"/>
          <a:pathLst>
            <a:path>
              <a:moveTo>
                <a:pt x="1873572" y="0"/>
              </a:moveTo>
              <a:lnTo>
                <a:pt x="1873572" y="81291"/>
              </a:lnTo>
              <a:lnTo>
                <a:pt x="0" y="81291"/>
              </a:lnTo>
              <a:lnTo>
                <a:pt x="0" y="162582"/>
              </a:lnTo>
            </a:path>
          </a:pathLst>
        </a:custGeom>
      </dgm:spPr>
    </dgm:pt>
    <dgm:pt modelId="{85CD9480-FC63-489C-A7D8-7659683B58FC}" type="pres">
      <dgm:prSet presAssocID="{1D8BAA58-3DA6-4960-BED4-9BAD3D7507EA}" presName="hierRoot2" presStyleCnt="0">
        <dgm:presLayoutVars>
          <dgm:hierBranch val="init"/>
        </dgm:presLayoutVars>
      </dgm:prSet>
      <dgm:spPr/>
    </dgm:pt>
    <dgm:pt modelId="{5AAACA20-5B9B-4717-9C69-ACBC3E6FBB43}" type="pres">
      <dgm:prSet presAssocID="{1D8BAA58-3DA6-4960-BED4-9BAD3D7507EA}" presName="rootComposite" presStyleCnt="0"/>
      <dgm:spPr/>
    </dgm:pt>
    <dgm:pt modelId="{E1876B05-C4C7-4EFC-B1C1-EB578C2C01DB}" type="pres">
      <dgm:prSet presAssocID="{1D8BAA58-3DA6-4960-BED4-9BAD3D7507EA}" presName="rootText" presStyleLbl="node2" presStyleIdx="0" presStyleCnt="7">
        <dgm:presLayoutVars>
          <dgm:chPref val="3"/>
        </dgm:presLayoutVars>
      </dgm:prSet>
      <dgm:spPr>
        <a:prstGeom prst="rect">
          <a:avLst/>
        </a:prstGeom>
      </dgm:spPr>
    </dgm:pt>
    <dgm:pt modelId="{86A72D4F-872E-42D9-8A55-4A3D4F9CC1E8}" type="pres">
      <dgm:prSet presAssocID="{1D8BAA58-3DA6-4960-BED4-9BAD3D7507EA}" presName="rootConnector" presStyleLbl="node2" presStyleIdx="0" presStyleCnt="7"/>
      <dgm:spPr/>
    </dgm:pt>
    <dgm:pt modelId="{5E8798C4-903D-4088-95D9-C5225A3EB674}" type="pres">
      <dgm:prSet presAssocID="{1D8BAA58-3DA6-4960-BED4-9BAD3D7507EA}" presName="hierChild4" presStyleCnt="0"/>
      <dgm:spPr/>
    </dgm:pt>
    <dgm:pt modelId="{9938D235-D3EF-46A3-AC52-11C3E5A050F2}" type="pres">
      <dgm:prSet presAssocID="{5294EED8-CD61-46B9-8F1D-36F4589A29A1}" presName="Name37" presStyleLbl="parChTrans1D3" presStyleIdx="0" presStyleCnt="12"/>
      <dgm:spPr/>
    </dgm:pt>
    <dgm:pt modelId="{EB423BC0-4935-4C94-BFAC-BCF647B395D2}" type="pres">
      <dgm:prSet presAssocID="{0227CFA8-87FC-46A1-B6E4-332AF2BAB2AD}" presName="hierRoot2" presStyleCnt="0">
        <dgm:presLayoutVars>
          <dgm:hierBranch val="init"/>
        </dgm:presLayoutVars>
      </dgm:prSet>
      <dgm:spPr/>
    </dgm:pt>
    <dgm:pt modelId="{9701314B-0DB5-4105-8761-D76DE936CEBF}" type="pres">
      <dgm:prSet presAssocID="{0227CFA8-87FC-46A1-B6E4-332AF2BAB2AD}" presName="rootComposite" presStyleCnt="0"/>
      <dgm:spPr/>
    </dgm:pt>
    <dgm:pt modelId="{C8D53AB7-41CA-498E-8B08-6B0E3C3AA91E}" type="pres">
      <dgm:prSet presAssocID="{0227CFA8-87FC-46A1-B6E4-332AF2BAB2AD}" presName="rootText" presStyleLbl="node3" presStyleIdx="0" presStyleCnt="12">
        <dgm:presLayoutVars>
          <dgm:chPref val="3"/>
        </dgm:presLayoutVars>
      </dgm:prSet>
      <dgm:spPr/>
    </dgm:pt>
    <dgm:pt modelId="{01ECEA7C-57DA-4AE8-B68F-62EB3CC17A94}" type="pres">
      <dgm:prSet presAssocID="{0227CFA8-87FC-46A1-B6E4-332AF2BAB2AD}" presName="rootConnector" presStyleLbl="node3" presStyleIdx="0" presStyleCnt="12"/>
      <dgm:spPr/>
    </dgm:pt>
    <dgm:pt modelId="{B654983A-11FC-434C-9E05-2F16DA6C6DEE}" type="pres">
      <dgm:prSet presAssocID="{0227CFA8-87FC-46A1-B6E4-332AF2BAB2AD}" presName="hierChild4" presStyleCnt="0"/>
      <dgm:spPr/>
    </dgm:pt>
    <dgm:pt modelId="{4CF86959-9BC4-45B3-BB94-72C67AC0260E}" type="pres">
      <dgm:prSet presAssocID="{0227CFA8-87FC-46A1-B6E4-332AF2BAB2AD}" presName="hierChild5" presStyleCnt="0"/>
      <dgm:spPr/>
    </dgm:pt>
    <dgm:pt modelId="{4A887CAB-27BF-4976-83F0-9BC9C1CD04FA}" type="pres">
      <dgm:prSet presAssocID="{CC63A405-4C9B-4313-95ED-41EFF071A6EC}" presName="Name37" presStyleLbl="parChTrans1D3" presStyleIdx="1" presStyleCnt="12"/>
      <dgm:spPr/>
    </dgm:pt>
    <dgm:pt modelId="{FB3B3AE2-E631-4B55-AE3B-1193C91B1425}" type="pres">
      <dgm:prSet presAssocID="{351A428A-E2AC-4370-A5DB-74E6BF81F046}" presName="hierRoot2" presStyleCnt="0">
        <dgm:presLayoutVars>
          <dgm:hierBranch val="init"/>
        </dgm:presLayoutVars>
      </dgm:prSet>
      <dgm:spPr/>
    </dgm:pt>
    <dgm:pt modelId="{96959E06-52FB-4EB7-8633-DEB8E9C08E80}" type="pres">
      <dgm:prSet presAssocID="{351A428A-E2AC-4370-A5DB-74E6BF81F046}" presName="rootComposite" presStyleCnt="0"/>
      <dgm:spPr/>
    </dgm:pt>
    <dgm:pt modelId="{5E16D252-5AAE-4D36-B488-669C855C6D4C}" type="pres">
      <dgm:prSet presAssocID="{351A428A-E2AC-4370-A5DB-74E6BF81F046}" presName="rootText" presStyleLbl="node3" presStyleIdx="1" presStyleCnt="12">
        <dgm:presLayoutVars>
          <dgm:chPref val="3"/>
        </dgm:presLayoutVars>
      </dgm:prSet>
      <dgm:spPr/>
    </dgm:pt>
    <dgm:pt modelId="{3B696CD3-8E7E-45D2-B043-0D801BE6E656}" type="pres">
      <dgm:prSet presAssocID="{351A428A-E2AC-4370-A5DB-74E6BF81F046}" presName="rootConnector" presStyleLbl="node3" presStyleIdx="1" presStyleCnt="12"/>
      <dgm:spPr/>
    </dgm:pt>
    <dgm:pt modelId="{FC6DE28C-7092-411F-9D2E-E3674B0D03B3}" type="pres">
      <dgm:prSet presAssocID="{351A428A-E2AC-4370-A5DB-74E6BF81F046}" presName="hierChild4" presStyleCnt="0"/>
      <dgm:spPr/>
    </dgm:pt>
    <dgm:pt modelId="{458916AE-E091-478B-81A7-C1C893C656D2}" type="pres">
      <dgm:prSet presAssocID="{351A428A-E2AC-4370-A5DB-74E6BF81F046}" presName="hierChild5" presStyleCnt="0"/>
      <dgm:spPr/>
    </dgm:pt>
    <dgm:pt modelId="{9CE0E69E-8A8B-4FEA-A2E1-F56F43976DC9}" type="pres">
      <dgm:prSet presAssocID="{1D8BAA58-3DA6-4960-BED4-9BAD3D7507EA}" presName="hierChild5" presStyleCnt="0"/>
      <dgm:spPr/>
    </dgm:pt>
    <dgm:pt modelId="{D9551913-295C-48C6-9790-791354B8B6D6}" type="pres">
      <dgm:prSet presAssocID="{B92BDF2A-ADD4-4CDA-9B4A-76630B97C80B}" presName="Name37" presStyleLbl="parChTrans1D2" presStyleIdx="1" presStyleCnt="7"/>
      <dgm:spPr/>
    </dgm:pt>
    <dgm:pt modelId="{AA261B9E-7533-4A42-B6EB-5F158881EC07}" type="pres">
      <dgm:prSet presAssocID="{DE731B82-FF45-4B9D-B016-DE6F0633239A}" presName="hierRoot2" presStyleCnt="0">
        <dgm:presLayoutVars>
          <dgm:hierBranch val="init"/>
        </dgm:presLayoutVars>
      </dgm:prSet>
      <dgm:spPr/>
    </dgm:pt>
    <dgm:pt modelId="{F394A42E-1870-4123-84A8-19B3F9FF7DF4}" type="pres">
      <dgm:prSet presAssocID="{DE731B82-FF45-4B9D-B016-DE6F0633239A}" presName="rootComposite" presStyleCnt="0"/>
      <dgm:spPr/>
    </dgm:pt>
    <dgm:pt modelId="{6E97755A-9EF7-4F89-88FB-F134982164C4}" type="pres">
      <dgm:prSet presAssocID="{DE731B82-FF45-4B9D-B016-DE6F0633239A}" presName="rootText" presStyleLbl="node2" presStyleIdx="1" presStyleCnt="7">
        <dgm:presLayoutVars>
          <dgm:chPref val="3"/>
        </dgm:presLayoutVars>
      </dgm:prSet>
      <dgm:spPr/>
    </dgm:pt>
    <dgm:pt modelId="{C5A5FEEC-57D2-4D2C-A54A-83EF723EB291}" type="pres">
      <dgm:prSet presAssocID="{DE731B82-FF45-4B9D-B016-DE6F0633239A}" presName="rootConnector" presStyleLbl="node2" presStyleIdx="1" presStyleCnt="7"/>
      <dgm:spPr/>
    </dgm:pt>
    <dgm:pt modelId="{94418E3E-A417-484A-9CA7-2E8E6E27278F}" type="pres">
      <dgm:prSet presAssocID="{DE731B82-FF45-4B9D-B016-DE6F0633239A}" presName="hierChild4" presStyleCnt="0"/>
      <dgm:spPr/>
    </dgm:pt>
    <dgm:pt modelId="{D54224EF-8985-46B2-A471-B8C1B5E03ADC}" type="pres">
      <dgm:prSet presAssocID="{B6AB0307-71D9-424C-AC7E-29D971E2B689}" presName="Name37" presStyleLbl="parChTrans1D3" presStyleIdx="2" presStyleCnt="12"/>
      <dgm:spPr>
        <a:custGeom>
          <a:avLst/>
          <a:gdLst/>
          <a:ahLst/>
          <a:cxnLst/>
          <a:rect l="0" t="0" r="0" b="0"/>
          <a:pathLst>
            <a:path>
              <a:moveTo>
                <a:pt x="0" y="0"/>
              </a:moveTo>
              <a:lnTo>
                <a:pt x="0" y="356133"/>
              </a:lnTo>
              <a:lnTo>
                <a:pt x="116130" y="356133"/>
              </a:lnTo>
            </a:path>
          </a:pathLst>
        </a:custGeom>
      </dgm:spPr>
    </dgm:pt>
    <dgm:pt modelId="{BA2B37D5-F534-4AD8-BD57-87ECE4465E01}" type="pres">
      <dgm:prSet presAssocID="{F085D67E-4DC8-41EE-8827-B267843A31B9}" presName="hierRoot2" presStyleCnt="0">
        <dgm:presLayoutVars>
          <dgm:hierBranch val="init"/>
        </dgm:presLayoutVars>
      </dgm:prSet>
      <dgm:spPr/>
    </dgm:pt>
    <dgm:pt modelId="{DF2E4283-F21A-4AAA-BBEE-1C58A76E0D32}" type="pres">
      <dgm:prSet presAssocID="{F085D67E-4DC8-41EE-8827-B267843A31B9}" presName="rootComposite" presStyleCnt="0"/>
      <dgm:spPr/>
    </dgm:pt>
    <dgm:pt modelId="{2E664954-59F9-4650-B43B-5F75499072E3}" type="pres">
      <dgm:prSet presAssocID="{F085D67E-4DC8-41EE-8827-B267843A31B9}" presName="rootText" presStyleLbl="node3" presStyleIdx="2" presStyleCnt="12">
        <dgm:presLayoutVars>
          <dgm:chPref val="3"/>
        </dgm:presLayoutVars>
      </dgm:prSet>
      <dgm:spPr>
        <a:prstGeom prst="rect">
          <a:avLst/>
        </a:prstGeom>
      </dgm:spPr>
    </dgm:pt>
    <dgm:pt modelId="{57276538-3DF5-4BB5-BD3B-88735DF174B2}" type="pres">
      <dgm:prSet presAssocID="{F085D67E-4DC8-41EE-8827-B267843A31B9}" presName="rootConnector" presStyleLbl="node3" presStyleIdx="2" presStyleCnt="12"/>
      <dgm:spPr/>
    </dgm:pt>
    <dgm:pt modelId="{2D7E2C9F-6F4D-4DA0-B929-491EE931C562}" type="pres">
      <dgm:prSet presAssocID="{F085D67E-4DC8-41EE-8827-B267843A31B9}" presName="hierChild4" presStyleCnt="0"/>
      <dgm:spPr/>
    </dgm:pt>
    <dgm:pt modelId="{81E519AB-B891-43C8-8B9D-0459B34D799C}" type="pres">
      <dgm:prSet presAssocID="{F085D67E-4DC8-41EE-8827-B267843A31B9}" presName="hierChild5" presStyleCnt="0"/>
      <dgm:spPr/>
    </dgm:pt>
    <dgm:pt modelId="{92DE26BC-8C62-4D19-B7F1-F8AF8958F3C7}" type="pres">
      <dgm:prSet presAssocID="{7D3C3036-A004-4D0B-8BC7-21758F749884}" presName="Name37" presStyleLbl="parChTrans1D3" presStyleIdx="3" presStyleCnt="12"/>
      <dgm:spPr>
        <a:custGeom>
          <a:avLst/>
          <a:gdLst/>
          <a:ahLst/>
          <a:cxnLst/>
          <a:rect l="0" t="0" r="0" b="0"/>
          <a:pathLst>
            <a:path>
              <a:moveTo>
                <a:pt x="0" y="0"/>
              </a:moveTo>
              <a:lnTo>
                <a:pt x="0" y="905818"/>
              </a:lnTo>
              <a:lnTo>
                <a:pt x="116130" y="905818"/>
              </a:lnTo>
            </a:path>
          </a:pathLst>
        </a:custGeom>
      </dgm:spPr>
    </dgm:pt>
    <dgm:pt modelId="{65387853-8530-47F1-A33C-1339C07C78B2}" type="pres">
      <dgm:prSet presAssocID="{6BECD059-561B-4263-8CBF-59EE9A5CE5B2}" presName="hierRoot2" presStyleCnt="0">
        <dgm:presLayoutVars>
          <dgm:hierBranch val="init"/>
        </dgm:presLayoutVars>
      </dgm:prSet>
      <dgm:spPr/>
    </dgm:pt>
    <dgm:pt modelId="{1E0CA878-3F3D-4751-8261-D643FD674EFD}" type="pres">
      <dgm:prSet presAssocID="{6BECD059-561B-4263-8CBF-59EE9A5CE5B2}" presName="rootComposite" presStyleCnt="0"/>
      <dgm:spPr/>
    </dgm:pt>
    <dgm:pt modelId="{A0EF2AC5-C953-4E17-9D99-2FEEAFA64631}" type="pres">
      <dgm:prSet presAssocID="{6BECD059-561B-4263-8CBF-59EE9A5CE5B2}" presName="rootText" presStyleLbl="node3" presStyleIdx="3" presStyleCnt="12">
        <dgm:presLayoutVars>
          <dgm:chPref val="3"/>
        </dgm:presLayoutVars>
      </dgm:prSet>
      <dgm:spPr>
        <a:prstGeom prst="rect">
          <a:avLst/>
        </a:prstGeom>
      </dgm:spPr>
    </dgm:pt>
    <dgm:pt modelId="{36D2D85D-1264-4A89-81C5-14940C3DBFC7}" type="pres">
      <dgm:prSet presAssocID="{6BECD059-561B-4263-8CBF-59EE9A5CE5B2}" presName="rootConnector" presStyleLbl="node3" presStyleIdx="3" presStyleCnt="12"/>
      <dgm:spPr/>
    </dgm:pt>
    <dgm:pt modelId="{AC4DB0E6-8164-4E05-8430-C56084B99155}" type="pres">
      <dgm:prSet presAssocID="{6BECD059-561B-4263-8CBF-59EE9A5CE5B2}" presName="hierChild4" presStyleCnt="0"/>
      <dgm:spPr/>
    </dgm:pt>
    <dgm:pt modelId="{8B88E299-EB3E-4F66-A1A2-A87BF26C1FFA}" type="pres">
      <dgm:prSet presAssocID="{6BECD059-561B-4263-8CBF-59EE9A5CE5B2}" presName="hierChild5" presStyleCnt="0"/>
      <dgm:spPr/>
    </dgm:pt>
    <dgm:pt modelId="{82A96365-DB22-432A-9F66-8C595637A2B1}" type="pres">
      <dgm:prSet presAssocID="{1BE9DB66-48F5-4147-B2EA-542166D79CE5}" presName="Name37" presStyleLbl="parChTrans1D3" presStyleIdx="4" presStyleCnt="12"/>
      <dgm:spPr/>
    </dgm:pt>
    <dgm:pt modelId="{74D2702A-67DC-4EB4-B4CA-F265DF04AB59}" type="pres">
      <dgm:prSet presAssocID="{C8FBA9F8-85EB-4387-BEA3-41FC96E3D5EF}" presName="hierRoot2" presStyleCnt="0">
        <dgm:presLayoutVars>
          <dgm:hierBranch val="init"/>
        </dgm:presLayoutVars>
      </dgm:prSet>
      <dgm:spPr/>
    </dgm:pt>
    <dgm:pt modelId="{9D3D143A-0809-49B6-94E8-CA80C9D8F7B3}" type="pres">
      <dgm:prSet presAssocID="{C8FBA9F8-85EB-4387-BEA3-41FC96E3D5EF}" presName="rootComposite" presStyleCnt="0"/>
      <dgm:spPr/>
    </dgm:pt>
    <dgm:pt modelId="{5037A621-A5A7-4865-B4FA-38F7AA6E6D64}" type="pres">
      <dgm:prSet presAssocID="{C8FBA9F8-85EB-4387-BEA3-41FC96E3D5EF}" presName="rootText" presStyleLbl="node3" presStyleIdx="4" presStyleCnt="12">
        <dgm:presLayoutVars>
          <dgm:chPref val="3"/>
        </dgm:presLayoutVars>
      </dgm:prSet>
      <dgm:spPr/>
    </dgm:pt>
    <dgm:pt modelId="{5BC04639-6FD6-44CD-946C-38A4D2CC37C0}" type="pres">
      <dgm:prSet presAssocID="{C8FBA9F8-85EB-4387-BEA3-41FC96E3D5EF}" presName="rootConnector" presStyleLbl="node3" presStyleIdx="4" presStyleCnt="12"/>
      <dgm:spPr/>
    </dgm:pt>
    <dgm:pt modelId="{F74AD202-98E6-40D7-86A2-756E5679C040}" type="pres">
      <dgm:prSet presAssocID="{C8FBA9F8-85EB-4387-BEA3-41FC96E3D5EF}" presName="hierChild4" presStyleCnt="0"/>
      <dgm:spPr/>
    </dgm:pt>
    <dgm:pt modelId="{15BD09FD-80A6-4A74-88E1-394C9A51DAEE}" type="pres">
      <dgm:prSet presAssocID="{C8FBA9F8-85EB-4387-BEA3-41FC96E3D5EF}" presName="hierChild5" presStyleCnt="0"/>
      <dgm:spPr/>
    </dgm:pt>
    <dgm:pt modelId="{78CE4E1A-95F3-466E-BC3D-F53BBF34D88A}" type="pres">
      <dgm:prSet presAssocID="{DE731B82-FF45-4B9D-B016-DE6F0633239A}" presName="hierChild5" presStyleCnt="0"/>
      <dgm:spPr/>
    </dgm:pt>
    <dgm:pt modelId="{CB5A67CE-BF14-4990-A2CF-351B6DEA2CCC}" type="pres">
      <dgm:prSet presAssocID="{62DFA893-50BD-4BEE-AF03-919B8B13F7DB}" presName="Name37" presStyleLbl="parChTrans1D2" presStyleIdx="2" presStyleCnt="7"/>
      <dgm:spPr>
        <a:custGeom>
          <a:avLst/>
          <a:gdLst/>
          <a:ahLst/>
          <a:cxnLst/>
          <a:rect l="0" t="0" r="0" b="0"/>
          <a:pathLst>
            <a:path>
              <a:moveTo>
                <a:pt x="936786" y="0"/>
              </a:moveTo>
              <a:lnTo>
                <a:pt x="936786" y="81291"/>
              </a:lnTo>
              <a:lnTo>
                <a:pt x="0" y="81291"/>
              </a:lnTo>
              <a:lnTo>
                <a:pt x="0" y="162582"/>
              </a:lnTo>
            </a:path>
          </a:pathLst>
        </a:custGeom>
      </dgm:spPr>
    </dgm:pt>
    <dgm:pt modelId="{D73A84A1-A53C-4A81-8D69-D1A0D761A9B2}" type="pres">
      <dgm:prSet presAssocID="{3D2895F0-DFD3-41B7-B57C-8E8DEC27A618}" presName="hierRoot2" presStyleCnt="0">
        <dgm:presLayoutVars>
          <dgm:hierBranch val="init"/>
        </dgm:presLayoutVars>
      </dgm:prSet>
      <dgm:spPr/>
    </dgm:pt>
    <dgm:pt modelId="{22056AC9-0371-4707-94EC-9C2C9C2D8703}" type="pres">
      <dgm:prSet presAssocID="{3D2895F0-DFD3-41B7-B57C-8E8DEC27A618}" presName="rootComposite" presStyleCnt="0"/>
      <dgm:spPr/>
    </dgm:pt>
    <dgm:pt modelId="{7B08A14F-E20D-41A3-8A91-A654FAB5F6D6}" type="pres">
      <dgm:prSet presAssocID="{3D2895F0-DFD3-41B7-B57C-8E8DEC27A618}" presName="rootText" presStyleLbl="node2" presStyleIdx="2" presStyleCnt="7">
        <dgm:presLayoutVars>
          <dgm:chPref val="3"/>
        </dgm:presLayoutVars>
      </dgm:prSet>
      <dgm:spPr>
        <a:prstGeom prst="rect">
          <a:avLst/>
        </a:prstGeom>
      </dgm:spPr>
    </dgm:pt>
    <dgm:pt modelId="{1FDF5970-25AB-41FE-B344-D42C12C776C6}" type="pres">
      <dgm:prSet presAssocID="{3D2895F0-DFD3-41B7-B57C-8E8DEC27A618}" presName="rootConnector" presStyleLbl="node2" presStyleIdx="2" presStyleCnt="7"/>
      <dgm:spPr/>
    </dgm:pt>
    <dgm:pt modelId="{5FC71B7E-3A44-4FFD-9335-48CD48EDEA9D}" type="pres">
      <dgm:prSet presAssocID="{3D2895F0-DFD3-41B7-B57C-8E8DEC27A618}" presName="hierChild4" presStyleCnt="0"/>
      <dgm:spPr/>
    </dgm:pt>
    <dgm:pt modelId="{26738A9B-0B92-4891-9AE6-8AC4271884C6}" type="pres">
      <dgm:prSet presAssocID="{D6B64A15-AFD6-4AB5-99C0-EC24E27AD804}" presName="Name37" presStyleLbl="parChTrans1D3" presStyleIdx="5" presStyleCnt="12"/>
      <dgm:spPr>
        <a:custGeom>
          <a:avLst/>
          <a:gdLst/>
          <a:ahLst/>
          <a:cxnLst/>
          <a:rect l="0" t="0" r="0" b="0"/>
          <a:pathLst>
            <a:path>
              <a:moveTo>
                <a:pt x="0" y="0"/>
              </a:moveTo>
              <a:lnTo>
                <a:pt x="0" y="356133"/>
              </a:lnTo>
              <a:lnTo>
                <a:pt x="116130" y="356133"/>
              </a:lnTo>
            </a:path>
          </a:pathLst>
        </a:custGeom>
      </dgm:spPr>
    </dgm:pt>
    <dgm:pt modelId="{0EBDB33A-C843-468A-96F7-80C89E778BC2}" type="pres">
      <dgm:prSet presAssocID="{66D1C2D2-5E8B-42F4-8AFC-815FD131F151}" presName="hierRoot2" presStyleCnt="0">
        <dgm:presLayoutVars>
          <dgm:hierBranch val="init"/>
        </dgm:presLayoutVars>
      </dgm:prSet>
      <dgm:spPr/>
    </dgm:pt>
    <dgm:pt modelId="{7BA4CEFC-D4AC-4A5B-94B9-50AD0931A41C}" type="pres">
      <dgm:prSet presAssocID="{66D1C2D2-5E8B-42F4-8AFC-815FD131F151}" presName="rootComposite" presStyleCnt="0"/>
      <dgm:spPr/>
    </dgm:pt>
    <dgm:pt modelId="{940D4632-9053-4CFB-9A9A-77F2BCA1318C}" type="pres">
      <dgm:prSet presAssocID="{66D1C2D2-5E8B-42F4-8AFC-815FD131F151}" presName="rootText" presStyleLbl="node3" presStyleIdx="5" presStyleCnt="12">
        <dgm:presLayoutVars>
          <dgm:chPref val="3"/>
        </dgm:presLayoutVars>
      </dgm:prSet>
      <dgm:spPr>
        <a:prstGeom prst="rect">
          <a:avLst/>
        </a:prstGeom>
      </dgm:spPr>
    </dgm:pt>
    <dgm:pt modelId="{5FF2AFC9-58A9-41D6-B565-004F1B1EAA23}" type="pres">
      <dgm:prSet presAssocID="{66D1C2D2-5E8B-42F4-8AFC-815FD131F151}" presName="rootConnector" presStyleLbl="node3" presStyleIdx="5" presStyleCnt="12"/>
      <dgm:spPr/>
    </dgm:pt>
    <dgm:pt modelId="{E943CA5E-3B46-46AE-BB8A-1103E9C95889}" type="pres">
      <dgm:prSet presAssocID="{66D1C2D2-5E8B-42F4-8AFC-815FD131F151}" presName="hierChild4" presStyleCnt="0"/>
      <dgm:spPr/>
    </dgm:pt>
    <dgm:pt modelId="{A6DD7194-194B-48F9-A8A4-4F9477318A17}" type="pres">
      <dgm:prSet presAssocID="{66D1C2D2-5E8B-42F4-8AFC-815FD131F151}" presName="hierChild5" presStyleCnt="0"/>
      <dgm:spPr/>
    </dgm:pt>
    <dgm:pt modelId="{97617F25-98A8-4EA0-B7CD-0E4D41AF4979}" type="pres">
      <dgm:prSet presAssocID="{D0302C65-A403-41B0-9179-9040ACAF90AC}" presName="Name37" presStyleLbl="parChTrans1D3" presStyleIdx="6" presStyleCnt="12"/>
      <dgm:spPr>
        <a:custGeom>
          <a:avLst/>
          <a:gdLst/>
          <a:ahLst/>
          <a:cxnLst/>
          <a:rect l="0" t="0" r="0" b="0"/>
          <a:pathLst>
            <a:path>
              <a:moveTo>
                <a:pt x="0" y="0"/>
              </a:moveTo>
              <a:lnTo>
                <a:pt x="0" y="905818"/>
              </a:lnTo>
              <a:lnTo>
                <a:pt x="116130" y="905818"/>
              </a:lnTo>
            </a:path>
          </a:pathLst>
        </a:custGeom>
      </dgm:spPr>
    </dgm:pt>
    <dgm:pt modelId="{0663EC83-6AA8-4753-9CAD-6E6F70E5E335}" type="pres">
      <dgm:prSet presAssocID="{239BFF1F-ED18-41B4-9065-D972D135138C}" presName="hierRoot2" presStyleCnt="0">
        <dgm:presLayoutVars>
          <dgm:hierBranch val="init"/>
        </dgm:presLayoutVars>
      </dgm:prSet>
      <dgm:spPr/>
    </dgm:pt>
    <dgm:pt modelId="{A065EC4F-A8D1-46E4-88B5-29920D009588}" type="pres">
      <dgm:prSet presAssocID="{239BFF1F-ED18-41B4-9065-D972D135138C}" presName="rootComposite" presStyleCnt="0"/>
      <dgm:spPr/>
    </dgm:pt>
    <dgm:pt modelId="{D7E54772-17F8-44A0-B293-D8F5A80452B3}" type="pres">
      <dgm:prSet presAssocID="{239BFF1F-ED18-41B4-9065-D972D135138C}" presName="rootText" presStyleLbl="node3" presStyleIdx="6" presStyleCnt="12">
        <dgm:presLayoutVars>
          <dgm:chPref val="3"/>
        </dgm:presLayoutVars>
      </dgm:prSet>
      <dgm:spPr>
        <a:prstGeom prst="rect">
          <a:avLst/>
        </a:prstGeom>
      </dgm:spPr>
    </dgm:pt>
    <dgm:pt modelId="{F4968DB4-FF52-4583-9599-5F4992FC16E6}" type="pres">
      <dgm:prSet presAssocID="{239BFF1F-ED18-41B4-9065-D972D135138C}" presName="rootConnector" presStyleLbl="node3" presStyleIdx="6" presStyleCnt="12"/>
      <dgm:spPr/>
    </dgm:pt>
    <dgm:pt modelId="{CC7323F8-5622-4F34-876C-6BF1337675D7}" type="pres">
      <dgm:prSet presAssocID="{239BFF1F-ED18-41B4-9065-D972D135138C}" presName="hierChild4" presStyleCnt="0"/>
      <dgm:spPr/>
    </dgm:pt>
    <dgm:pt modelId="{61EECF1A-CC07-44EB-85D5-12E2EB34B9A8}" type="pres">
      <dgm:prSet presAssocID="{239BFF1F-ED18-41B4-9065-D972D135138C}" presName="hierChild5" presStyleCnt="0"/>
      <dgm:spPr/>
    </dgm:pt>
    <dgm:pt modelId="{DFE58151-624D-4C5C-9ED4-F36BF00F4552}" type="pres">
      <dgm:prSet presAssocID="{3D2895F0-DFD3-41B7-B57C-8E8DEC27A618}" presName="hierChild5" presStyleCnt="0"/>
      <dgm:spPr/>
    </dgm:pt>
    <dgm:pt modelId="{4921A7D4-7DAB-4A5B-BF6D-3255D50A0431}" type="pres">
      <dgm:prSet presAssocID="{9BDA0461-193F-4719-8B09-67120BB95025}" presName="Name37" presStyleLbl="parChTrans1D2" presStyleIdx="3" presStyleCnt="7"/>
      <dgm:spPr>
        <a:custGeom>
          <a:avLst/>
          <a:gdLst/>
          <a:ahLst/>
          <a:cxnLst/>
          <a:rect l="0" t="0" r="0" b="0"/>
          <a:pathLst>
            <a:path>
              <a:moveTo>
                <a:pt x="45720" y="0"/>
              </a:moveTo>
              <a:lnTo>
                <a:pt x="45720" y="162582"/>
              </a:lnTo>
            </a:path>
          </a:pathLst>
        </a:custGeom>
      </dgm:spPr>
    </dgm:pt>
    <dgm:pt modelId="{5F538C2C-8D0E-4919-98CE-CEB78746DECC}" type="pres">
      <dgm:prSet presAssocID="{CFF08FB6-81CC-4687-9F86-511D65A9B699}" presName="hierRoot2" presStyleCnt="0">
        <dgm:presLayoutVars>
          <dgm:hierBranch val="init"/>
        </dgm:presLayoutVars>
      </dgm:prSet>
      <dgm:spPr/>
    </dgm:pt>
    <dgm:pt modelId="{A40D0222-A43F-4917-9BDA-045A5984DA3A}" type="pres">
      <dgm:prSet presAssocID="{CFF08FB6-81CC-4687-9F86-511D65A9B699}" presName="rootComposite" presStyleCnt="0"/>
      <dgm:spPr/>
    </dgm:pt>
    <dgm:pt modelId="{FE2328FC-D112-416B-B268-0571CB201E98}" type="pres">
      <dgm:prSet presAssocID="{CFF08FB6-81CC-4687-9F86-511D65A9B699}" presName="rootText" presStyleLbl="node2" presStyleIdx="3" presStyleCnt="7">
        <dgm:presLayoutVars>
          <dgm:chPref val="3"/>
        </dgm:presLayoutVars>
      </dgm:prSet>
      <dgm:spPr>
        <a:prstGeom prst="rect">
          <a:avLst/>
        </a:prstGeom>
      </dgm:spPr>
    </dgm:pt>
    <dgm:pt modelId="{3CD211B4-D223-4DDE-9EB0-F7A199556F2C}" type="pres">
      <dgm:prSet presAssocID="{CFF08FB6-81CC-4687-9F86-511D65A9B699}" presName="rootConnector" presStyleLbl="node2" presStyleIdx="3" presStyleCnt="7"/>
      <dgm:spPr/>
    </dgm:pt>
    <dgm:pt modelId="{81F56847-5324-4404-BF4B-BF63A08FBCF4}" type="pres">
      <dgm:prSet presAssocID="{CFF08FB6-81CC-4687-9F86-511D65A9B699}" presName="hierChild4" presStyleCnt="0"/>
      <dgm:spPr/>
    </dgm:pt>
    <dgm:pt modelId="{A21C3830-C181-4BD5-9B3E-D33115349081}" type="pres">
      <dgm:prSet presAssocID="{D723E379-1660-4FAC-8D2D-4E703B3A4D0D}" presName="Name37" presStyleLbl="parChTrans1D3" presStyleIdx="7" presStyleCnt="12"/>
      <dgm:spPr>
        <a:custGeom>
          <a:avLst/>
          <a:gdLst/>
          <a:ahLst/>
          <a:cxnLst/>
          <a:rect l="0" t="0" r="0" b="0"/>
          <a:pathLst>
            <a:path>
              <a:moveTo>
                <a:pt x="0" y="0"/>
              </a:moveTo>
              <a:lnTo>
                <a:pt x="0" y="356133"/>
              </a:lnTo>
              <a:lnTo>
                <a:pt x="116130" y="356133"/>
              </a:lnTo>
            </a:path>
          </a:pathLst>
        </a:custGeom>
      </dgm:spPr>
    </dgm:pt>
    <dgm:pt modelId="{F3857D2E-20B1-446C-9CEA-9ECF5DF2FCC9}" type="pres">
      <dgm:prSet presAssocID="{3AE70819-C5ED-496F-AB00-2F25293A2BF1}" presName="hierRoot2" presStyleCnt="0">
        <dgm:presLayoutVars>
          <dgm:hierBranch val="init"/>
        </dgm:presLayoutVars>
      </dgm:prSet>
      <dgm:spPr/>
    </dgm:pt>
    <dgm:pt modelId="{7BD268DE-7817-4095-A5A0-1EB15AEE7603}" type="pres">
      <dgm:prSet presAssocID="{3AE70819-C5ED-496F-AB00-2F25293A2BF1}" presName="rootComposite" presStyleCnt="0"/>
      <dgm:spPr/>
    </dgm:pt>
    <dgm:pt modelId="{3E388F50-ED5E-4C2A-B2A6-5F1DDA95C632}" type="pres">
      <dgm:prSet presAssocID="{3AE70819-C5ED-496F-AB00-2F25293A2BF1}" presName="rootText" presStyleLbl="node3" presStyleIdx="7" presStyleCnt="12">
        <dgm:presLayoutVars>
          <dgm:chPref val="3"/>
        </dgm:presLayoutVars>
      </dgm:prSet>
      <dgm:spPr>
        <a:prstGeom prst="rect">
          <a:avLst/>
        </a:prstGeom>
      </dgm:spPr>
    </dgm:pt>
    <dgm:pt modelId="{0EDF95B1-A1B1-47EA-A2A4-CD6952D14B62}" type="pres">
      <dgm:prSet presAssocID="{3AE70819-C5ED-496F-AB00-2F25293A2BF1}" presName="rootConnector" presStyleLbl="node3" presStyleIdx="7" presStyleCnt="12"/>
      <dgm:spPr/>
    </dgm:pt>
    <dgm:pt modelId="{330A3D38-224C-4011-8115-C122E82CCD15}" type="pres">
      <dgm:prSet presAssocID="{3AE70819-C5ED-496F-AB00-2F25293A2BF1}" presName="hierChild4" presStyleCnt="0"/>
      <dgm:spPr/>
    </dgm:pt>
    <dgm:pt modelId="{069A2D47-522E-459C-B92D-C402F5EC796D}" type="pres">
      <dgm:prSet presAssocID="{3AE70819-C5ED-496F-AB00-2F25293A2BF1}" presName="hierChild5" presStyleCnt="0"/>
      <dgm:spPr/>
    </dgm:pt>
    <dgm:pt modelId="{D8B2028F-D0F4-48B6-A165-178907706921}" type="pres">
      <dgm:prSet presAssocID="{90AE6C98-10D9-4AF6-B3C4-B3BFC7B7838F}" presName="Name37" presStyleLbl="parChTrans1D3" presStyleIdx="8" presStyleCnt="12"/>
      <dgm:spPr>
        <a:custGeom>
          <a:avLst/>
          <a:gdLst/>
          <a:ahLst/>
          <a:cxnLst/>
          <a:rect l="0" t="0" r="0" b="0"/>
          <a:pathLst>
            <a:path>
              <a:moveTo>
                <a:pt x="0" y="0"/>
              </a:moveTo>
              <a:lnTo>
                <a:pt x="0" y="905818"/>
              </a:lnTo>
              <a:lnTo>
                <a:pt x="116130" y="905818"/>
              </a:lnTo>
            </a:path>
          </a:pathLst>
        </a:custGeom>
      </dgm:spPr>
    </dgm:pt>
    <dgm:pt modelId="{C34F0486-11C6-43FF-98DF-2733DDEB8382}" type="pres">
      <dgm:prSet presAssocID="{CFFCEC08-EAAF-4A54-B5BF-4B73599A6288}" presName="hierRoot2" presStyleCnt="0">
        <dgm:presLayoutVars>
          <dgm:hierBranch val="init"/>
        </dgm:presLayoutVars>
      </dgm:prSet>
      <dgm:spPr/>
    </dgm:pt>
    <dgm:pt modelId="{B56DC9A0-ECF1-4831-9F97-CB5F9B52B491}" type="pres">
      <dgm:prSet presAssocID="{CFFCEC08-EAAF-4A54-B5BF-4B73599A6288}" presName="rootComposite" presStyleCnt="0"/>
      <dgm:spPr/>
    </dgm:pt>
    <dgm:pt modelId="{52B9448B-F5A4-486C-8803-78565DEA128C}" type="pres">
      <dgm:prSet presAssocID="{CFFCEC08-EAAF-4A54-B5BF-4B73599A6288}" presName="rootText" presStyleLbl="node3" presStyleIdx="8" presStyleCnt="12">
        <dgm:presLayoutVars>
          <dgm:chPref val="3"/>
        </dgm:presLayoutVars>
      </dgm:prSet>
      <dgm:spPr>
        <a:prstGeom prst="rect">
          <a:avLst/>
        </a:prstGeom>
      </dgm:spPr>
    </dgm:pt>
    <dgm:pt modelId="{8AC45793-0782-4E2B-97B7-38D4924DD7FC}" type="pres">
      <dgm:prSet presAssocID="{CFFCEC08-EAAF-4A54-B5BF-4B73599A6288}" presName="rootConnector" presStyleLbl="node3" presStyleIdx="8" presStyleCnt="12"/>
      <dgm:spPr/>
    </dgm:pt>
    <dgm:pt modelId="{6FA2B0FF-C1B5-465E-99DA-1A3D43D33209}" type="pres">
      <dgm:prSet presAssocID="{CFFCEC08-EAAF-4A54-B5BF-4B73599A6288}" presName="hierChild4" presStyleCnt="0"/>
      <dgm:spPr/>
    </dgm:pt>
    <dgm:pt modelId="{8B493A41-50DF-4958-951C-934A77102257}" type="pres">
      <dgm:prSet presAssocID="{CFFCEC08-EAAF-4A54-B5BF-4B73599A6288}" presName="hierChild5" presStyleCnt="0"/>
      <dgm:spPr/>
    </dgm:pt>
    <dgm:pt modelId="{6277620F-D860-4A52-ABD2-6CED7F3429B1}" type="pres">
      <dgm:prSet presAssocID="{CFF08FB6-81CC-4687-9F86-511D65A9B699}" presName="hierChild5" presStyleCnt="0"/>
      <dgm:spPr/>
    </dgm:pt>
    <dgm:pt modelId="{6B0B2D87-0711-4C83-988D-26D01334F195}" type="pres">
      <dgm:prSet presAssocID="{43246753-95F1-43A8-AD41-2853ECA401D6}" presName="Name37" presStyleLbl="parChTrans1D2" presStyleIdx="4" presStyleCnt="7"/>
      <dgm:spPr>
        <a:custGeom>
          <a:avLst/>
          <a:gdLst/>
          <a:ahLst/>
          <a:cxnLst/>
          <a:rect l="0" t="0" r="0" b="0"/>
          <a:pathLst>
            <a:path>
              <a:moveTo>
                <a:pt x="0" y="0"/>
              </a:moveTo>
              <a:lnTo>
                <a:pt x="0" y="81291"/>
              </a:lnTo>
              <a:lnTo>
                <a:pt x="936786" y="81291"/>
              </a:lnTo>
              <a:lnTo>
                <a:pt x="936786" y="162582"/>
              </a:lnTo>
            </a:path>
          </a:pathLst>
        </a:custGeom>
      </dgm:spPr>
    </dgm:pt>
    <dgm:pt modelId="{D9692EFD-CFD2-4489-B4F8-B3E4247246E2}" type="pres">
      <dgm:prSet presAssocID="{F9F55C23-D35E-4ACE-B630-CA0B3D86E01D}" presName="hierRoot2" presStyleCnt="0">
        <dgm:presLayoutVars>
          <dgm:hierBranch val="init"/>
        </dgm:presLayoutVars>
      </dgm:prSet>
      <dgm:spPr/>
    </dgm:pt>
    <dgm:pt modelId="{08E4CA61-0B38-4F1B-B020-435CA20DA1FF}" type="pres">
      <dgm:prSet presAssocID="{F9F55C23-D35E-4ACE-B630-CA0B3D86E01D}" presName="rootComposite" presStyleCnt="0"/>
      <dgm:spPr/>
    </dgm:pt>
    <dgm:pt modelId="{36DBA998-B41F-4B34-BF86-DD96A3DAE66E}" type="pres">
      <dgm:prSet presAssocID="{F9F55C23-D35E-4ACE-B630-CA0B3D86E01D}" presName="rootText" presStyleLbl="node2" presStyleIdx="4" presStyleCnt="7">
        <dgm:presLayoutVars>
          <dgm:chPref val="3"/>
        </dgm:presLayoutVars>
      </dgm:prSet>
      <dgm:spPr>
        <a:prstGeom prst="rect">
          <a:avLst/>
        </a:prstGeom>
      </dgm:spPr>
    </dgm:pt>
    <dgm:pt modelId="{0D12F8F9-DD35-48C8-8534-04C578D0CFEB}" type="pres">
      <dgm:prSet presAssocID="{F9F55C23-D35E-4ACE-B630-CA0B3D86E01D}" presName="rootConnector" presStyleLbl="node2" presStyleIdx="4" presStyleCnt="7"/>
      <dgm:spPr/>
    </dgm:pt>
    <dgm:pt modelId="{D098EB65-43D6-4F8B-99BA-C5ABCBC7545C}" type="pres">
      <dgm:prSet presAssocID="{F9F55C23-D35E-4ACE-B630-CA0B3D86E01D}" presName="hierChild4" presStyleCnt="0"/>
      <dgm:spPr/>
    </dgm:pt>
    <dgm:pt modelId="{37D46373-26F2-4980-9EAF-0E2CB6FEF3BD}" type="pres">
      <dgm:prSet presAssocID="{632F94F0-7CE8-47D2-BE92-3F5F4F006B04}" presName="Name37" presStyleLbl="parChTrans1D3" presStyleIdx="9" presStyleCnt="12"/>
      <dgm:spPr>
        <a:custGeom>
          <a:avLst/>
          <a:gdLst/>
          <a:ahLst/>
          <a:cxnLst/>
          <a:rect l="0" t="0" r="0" b="0"/>
          <a:pathLst>
            <a:path>
              <a:moveTo>
                <a:pt x="0" y="0"/>
              </a:moveTo>
              <a:lnTo>
                <a:pt x="0" y="356133"/>
              </a:lnTo>
              <a:lnTo>
                <a:pt x="116130" y="356133"/>
              </a:lnTo>
            </a:path>
          </a:pathLst>
        </a:custGeom>
      </dgm:spPr>
    </dgm:pt>
    <dgm:pt modelId="{3E6BF4DB-799E-46A3-8954-7ECE0EB3B809}" type="pres">
      <dgm:prSet presAssocID="{7A3B6181-1ACA-4B4B-8CE8-90B31FC757DA}" presName="hierRoot2" presStyleCnt="0">
        <dgm:presLayoutVars>
          <dgm:hierBranch val="init"/>
        </dgm:presLayoutVars>
      </dgm:prSet>
      <dgm:spPr/>
    </dgm:pt>
    <dgm:pt modelId="{82E19AD3-F18C-4CC3-BDFF-D2A6105ABD4A}" type="pres">
      <dgm:prSet presAssocID="{7A3B6181-1ACA-4B4B-8CE8-90B31FC757DA}" presName="rootComposite" presStyleCnt="0"/>
      <dgm:spPr/>
    </dgm:pt>
    <dgm:pt modelId="{D7C399BA-E5B9-45CD-AADB-8A48C76FAFEF}" type="pres">
      <dgm:prSet presAssocID="{7A3B6181-1ACA-4B4B-8CE8-90B31FC757DA}" presName="rootText" presStyleLbl="node3" presStyleIdx="9" presStyleCnt="12">
        <dgm:presLayoutVars>
          <dgm:chPref val="3"/>
        </dgm:presLayoutVars>
      </dgm:prSet>
      <dgm:spPr>
        <a:prstGeom prst="rect">
          <a:avLst/>
        </a:prstGeom>
      </dgm:spPr>
    </dgm:pt>
    <dgm:pt modelId="{2BC69BBB-248D-4706-B073-8E88A86FE5C6}" type="pres">
      <dgm:prSet presAssocID="{7A3B6181-1ACA-4B4B-8CE8-90B31FC757DA}" presName="rootConnector" presStyleLbl="node3" presStyleIdx="9" presStyleCnt="12"/>
      <dgm:spPr/>
    </dgm:pt>
    <dgm:pt modelId="{8614488B-072E-495A-BAB2-360CEAE0893D}" type="pres">
      <dgm:prSet presAssocID="{7A3B6181-1ACA-4B4B-8CE8-90B31FC757DA}" presName="hierChild4" presStyleCnt="0"/>
      <dgm:spPr/>
    </dgm:pt>
    <dgm:pt modelId="{24454E03-30D1-4B90-9665-A800EC9D727F}" type="pres">
      <dgm:prSet presAssocID="{7A3B6181-1ACA-4B4B-8CE8-90B31FC757DA}" presName="hierChild5" presStyleCnt="0"/>
      <dgm:spPr/>
    </dgm:pt>
    <dgm:pt modelId="{EB9DFB18-ECB8-48DB-A640-442E953515C4}" type="pres">
      <dgm:prSet presAssocID="{EC9B4DFA-8CAD-47AD-BF82-CF9D42E50016}" presName="Name37" presStyleLbl="parChTrans1D3" presStyleIdx="10" presStyleCnt="12"/>
      <dgm:spPr>
        <a:custGeom>
          <a:avLst/>
          <a:gdLst/>
          <a:ahLst/>
          <a:cxnLst/>
          <a:rect l="0" t="0" r="0" b="0"/>
          <a:pathLst>
            <a:path>
              <a:moveTo>
                <a:pt x="0" y="0"/>
              </a:moveTo>
              <a:lnTo>
                <a:pt x="0" y="905818"/>
              </a:lnTo>
              <a:lnTo>
                <a:pt x="116130" y="905818"/>
              </a:lnTo>
            </a:path>
          </a:pathLst>
        </a:custGeom>
      </dgm:spPr>
    </dgm:pt>
    <dgm:pt modelId="{3CBED6F2-07B2-49FB-A9DB-5BF45DF2C93E}" type="pres">
      <dgm:prSet presAssocID="{1D42193F-CBA2-4226-81AD-8B2DD5C0E139}" presName="hierRoot2" presStyleCnt="0">
        <dgm:presLayoutVars>
          <dgm:hierBranch val="init"/>
        </dgm:presLayoutVars>
      </dgm:prSet>
      <dgm:spPr/>
    </dgm:pt>
    <dgm:pt modelId="{E661AC53-E27E-45CC-BA1C-5616465D150A}" type="pres">
      <dgm:prSet presAssocID="{1D42193F-CBA2-4226-81AD-8B2DD5C0E139}" presName="rootComposite" presStyleCnt="0"/>
      <dgm:spPr/>
    </dgm:pt>
    <dgm:pt modelId="{EB97CDC5-925C-4869-8CDD-C4DEF538CFE6}" type="pres">
      <dgm:prSet presAssocID="{1D42193F-CBA2-4226-81AD-8B2DD5C0E139}" presName="rootText" presStyleLbl="node3" presStyleIdx="10" presStyleCnt="12">
        <dgm:presLayoutVars>
          <dgm:chPref val="3"/>
        </dgm:presLayoutVars>
      </dgm:prSet>
      <dgm:spPr>
        <a:prstGeom prst="rect">
          <a:avLst/>
        </a:prstGeom>
      </dgm:spPr>
    </dgm:pt>
    <dgm:pt modelId="{492E370C-9D6D-4792-9B2F-E68B493F3B76}" type="pres">
      <dgm:prSet presAssocID="{1D42193F-CBA2-4226-81AD-8B2DD5C0E139}" presName="rootConnector" presStyleLbl="node3" presStyleIdx="10" presStyleCnt="12"/>
      <dgm:spPr/>
    </dgm:pt>
    <dgm:pt modelId="{4CD89E99-FD02-4658-BC79-FB72BF3B8F3A}" type="pres">
      <dgm:prSet presAssocID="{1D42193F-CBA2-4226-81AD-8B2DD5C0E139}" presName="hierChild4" presStyleCnt="0"/>
      <dgm:spPr/>
    </dgm:pt>
    <dgm:pt modelId="{4D97592A-5A38-4821-BD5B-DA6B3C86CB7B}" type="pres">
      <dgm:prSet presAssocID="{1D42193F-CBA2-4226-81AD-8B2DD5C0E139}" presName="hierChild5" presStyleCnt="0"/>
      <dgm:spPr/>
    </dgm:pt>
    <dgm:pt modelId="{C2E0017E-6CCC-4B7A-B1D5-54904DC95A69}" type="pres">
      <dgm:prSet presAssocID="{AA105F14-27CA-4C36-B4CA-CCACE1A73D4D}" presName="Name37" presStyleLbl="parChTrans1D3" presStyleIdx="11" presStyleCnt="12"/>
      <dgm:spPr>
        <a:custGeom>
          <a:avLst/>
          <a:gdLst/>
          <a:ahLst/>
          <a:cxnLst/>
          <a:rect l="0" t="0" r="0" b="0"/>
          <a:pathLst>
            <a:path>
              <a:moveTo>
                <a:pt x="0" y="0"/>
              </a:moveTo>
              <a:lnTo>
                <a:pt x="0" y="1455502"/>
              </a:lnTo>
              <a:lnTo>
                <a:pt x="116130" y="1455502"/>
              </a:lnTo>
            </a:path>
          </a:pathLst>
        </a:custGeom>
      </dgm:spPr>
    </dgm:pt>
    <dgm:pt modelId="{0D1BDC8B-6922-403A-9446-E7EB49260869}" type="pres">
      <dgm:prSet presAssocID="{F75CD983-C623-4EF8-8660-2BB0560A0192}" presName="hierRoot2" presStyleCnt="0">
        <dgm:presLayoutVars>
          <dgm:hierBranch val="init"/>
        </dgm:presLayoutVars>
      </dgm:prSet>
      <dgm:spPr/>
    </dgm:pt>
    <dgm:pt modelId="{11C63B0F-557A-4166-85C3-1CD8BF031170}" type="pres">
      <dgm:prSet presAssocID="{F75CD983-C623-4EF8-8660-2BB0560A0192}" presName="rootComposite" presStyleCnt="0"/>
      <dgm:spPr/>
    </dgm:pt>
    <dgm:pt modelId="{E5293A2F-18AC-4FE0-9D61-67AAADD4A2FB}" type="pres">
      <dgm:prSet presAssocID="{F75CD983-C623-4EF8-8660-2BB0560A0192}" presName="rootText" presStyleLbl="node3" presStyleIdx="11" presStyleCnt="12">
        <dgm:presLayoutVars>
          <dgm:chPref val="3"/>
        </dgm:presLayoutVars>
      </dgm:prSet>
      <dgm:spPr>
        <a:prstGeom prst="rect">
          <a:avLst/>
        </a:prstGeom>
      </dgm:spPr>
    </dgm:pt>
    <dgm:pt modelId="{3C51B5D8-B974-4A2C-A210-39AD5BD04863}" type="pres">
      <dgm:prSet presAssocID="{F75CD983-C623-4EF8-8660-2BB0560A0192}" presName="rootConnector" presStyleLbl="node3" presStyleIdx="11" presStyleCnt="12"/>
      <dgm:spPr/>
    </dgm:pt>
    <dgm:pt modelId="{9E5D8A3C-E3DA-4129-8FE7-01C11A487B07}" type="pres">
      <dgm:prSet presAssocID="{F75CD983-C623-4EF8-8660-2BB0560A0192}" presName="hierChild4" presStyleCnt="0"/>
      <dgm:spPr/>
    </dgm:pt>
    <dgm:pt modelId="{88468FE5-4A06-4EE7-B72E-978AD3DEB532}" type="pres">
      <dgm:prSet presAssocID="{F75CD983-C623-4EF8-8660-2BB0560A0192}" presName="hierChild5" presStyleCnt="0"/>
      <dgm:spPr/>
    </dgm:pt>
    <dgm:pt modelId="{54ECB03F-1E74-4423-B4C9-48E2831634EA}" type="pres">
      <dgm:prSet presAssocID="{F9F55C23-D35E-4ACE-B630-CA0B3D86E01D}" presName="hierChild5" presStyleCnt="0"/>
      <dgm:spPr/>
    </dgm:pt>
    <dgm:pt modelId="{4072F16F-86E2-4B62-83AB-76A1B1D619D9}" type="pres">
      <dgm:prSet presAssocID="{4B9A939B-A723-4D0D-A7F5-69EC3CD83AAA}" presName="Name37" presStyleLbl="parChTrans1D2" presStyleIdx="5" presStyleCnt="7"/>
      <dgm:spPr/>
    </dgm:pt>
    <dgm:pt modelId="{D01B46A4-0638-475E-B1AA-78D721CF08AB}" type="pres">
      <dgm:prSet presAssocID="{DA9ACBDE-F15D-49D8-B5DD-B1D448EA9E1A}" presName="hierRoot2" presStyleCnt="0">
        <dgm:presLayoutVars>
          <dgm:hierBranch val="init"/>
        </dgm:presLayoutVars>
      </dgm:prSet>
      <dgm:spPr/>
    </dgm:pt>
    <dgm:pt modelId="{FE17B459-5EA1-46C0-956F-703227EF2A98}" type="pres">
      <dgm:prSet presAssocID="{DA9ACBDE-F15D-49D8-B5DD-B1D448EA9E1A}" presName="rootComposite" presStyleCnt="0"/>
      <dgm:spPr/>
    </dgm:pt>
    <dgm:pt modelId="{E26F18F0-68A4-41FF-8091-6E1627FD241D}" type="pres">
      <dgm:prSet presAssocID="{DA9ACBDE-F15D-49D8-B5DD-B1D448EA9E1A}" presName="rootText" presStyleLbl="node2" presStyleIdx="5" presStyleCnt="7">
        <dgm:presLayoutVars>
          <dgm:chPref val="3"/>
        </dgm:presLayoutVars>
      </dgm:prSet>
      <dgm:spPr/>
    </dgm:pt>
    <dgm:pt modelId="{F2FC142A-E943-4B45-A646-5B1AD13C1C62}" type="pres">
      <dgm:prSet presAssocID="{DA9ACBDE-F15D-49D8-B5DD-B1D448EA9E1A}" presName="rootConnector" presStyleLbl="node2" presStyleIdx="5" presStyleCnt="7"/>
      <dgm:spPr/>
    </dgm:pt>
    <dgm:pt modelId="{35373832-BB43-4972-87F6-67EE77C90DDA}" type="pres">
      <dgm:prSet presAssocID="{DA9ACBDE-F15D-49D8-B5DD-B1D448EA9E1A}" presName="hierChild4" presStyleCnt="0"/>
      <dgm:spPr/>
    </dgm:pt>
    <dgm:pt modelId="{49FC5051-3FFB-4CAB-9B56-93E014B69F47}" type="pres">
      <dgm:prSet presAssocID="{DA9ACBDE-F15D-49D8-B5DD-B1D448EA9E1A}" presName="hierChild5" presStyleCnt="0"/>
      <dgm:spPr/>
    </dgm:pt>
    <dgm:pt modelId="{9F7C963B-0F37-4386-BFAD-649A788AFB85}" type="pres">
      <dgm:prSet presAssocID="{E3073993-7C88-43E2-BE0B-1987C965BCB8}" presName="Name37" presStyleLbl="parChTrans1D2" presStyleIdx="6" presStyleCnt="7"/>
      <dgm:spPr>
        <a:custGeom>
          <a:avLst/>
          <a:gdLst/>
          <a:ahLst/>
          <a:cxnLst/>
          <a:rect l="0" t="0" r="0" b="0"/>
          <a:pathLst>
            <a:path>
              <a:moveTo>
                <a:pt x="0" y="0"/>
              </a:moveTo>
              <a:lnTo>
                <a:pt x="0" y="81291"/>
              </a:lnTo>
              <a:lnTo>
                <a:pt x="2810358" y="81291"/>
              </a:lnTo>
              <a:lnTo>
                <a:pt x="2810358" y="162582"/>
              </a:lnTo>
            </a:path>
          </a:pathLst>
        </a:custGeom>
      </dgm:spPr>
    </dgm:pt>
    <dgm:pt modelId="{ED9E0919-1D69-460A-A49D-A787126C5911}" type="pres">
      <dgm:prSet presAssocID="{58EA8CCD-CFF8-49E7-9E34-EE8160305401}" presName="hierRoot2" presStyleCnt="0">
        <dgm:presLayoutVars>
          <dgm:hierBranch val="init"/>
        </dgm:presLayoutVars>
      </dgm:prSet>
      <dgm:spPr/>
    </dgm:pt>
    <dgm:pt modelId="{8C539F20-ADE0-474C-927C-155F70883E34}" type="pres">
      <dgm:prSet presAssocID="{58EA8CCD-CFF8-49E7-9E34-EE8160305401}" presName="rootComposite" presStyleCnt="0"/>
      <dgm:spPr/>
    </dgm:pt>
    <dgm:pt modelId="{AF1EFDBD-9013-44E0-B417-7532073E8B05}" type="pres">
      <dgm:prSet presAssocID="{58EA8CCD-CFF8-49E7-9E34-EE8160305401}" presName="rootText" presStyleLbl="node2" presStyleIdx="6" presStyleCnt="7">
        <dgm:presLayoutVars>
          <dgm:chPref val="3"/>
        </dgm:presLayoutVars>
      </dgm:prSet>
      <dgm:spPr>
        <a:prstGeom prst="rect">
          <a:avLst/>
        </a:prstGeom>
      </dgm:spPr>
    </dgm:pt>
    <dgm:pt modelId="{E12620BA-A4CE-4E8B-98BB-987F99D5CF24}" type="pres">
      <dgm:prSet presAssocID="{58EA8CCD-CFF8-49E7-9E34-EE8160305401}" presName="rootConnector" presStyleLbl="node2" presStyleIdx="6" presStyleCnt="7"/>
      <dgm:spPr/>
    </dgm:pt>
    <dgm:pt modelId="{2FB5E0AA-1D82-4D9B-A444-85EDA2F31DB6}" type="pres">
      <dgm:prSet presAssocID="{58EA8CCD-CFF8-49E7-9E34-EE8160305401}" presName="hierChild4" presStyleCnt="0"/>
      <dgm:spPr/>
    </dgm:pt>
    <dgm:pt modelId="{A3B91C40-7F04-4FC7-AE66-67499573BD66}" type="pres">
      <dgm:prSet presAssocID="{58EA8CCD-CFF8-49E7-9E34-EE8160305401}" presName="hierChild5" presStyleCnt="0"/>
      <dgm:spPr/>
    </dgm:pt>
    <dgm:pt modelId="{13ADC99D-2CDD-4B8A-BD7E-54EDB36D90D9}" type="pres">
      <dgm:prSet presAssocID="{3D2F35AF-9F29-4037-B88A-4FEA531E9CCD}" presName="hierChild3" presStyleCnt="0"/>
      <dgm:spPr/>
    </dgm:pt>
  </dgm:ptLst>
  <dgm:cxnLst>
    <dgm:cxn modelId="{58AF3E01-FDF5-48BE-B9FB-43D4FAC41D42}" srcId="{F9F55C23-D35E-4ACE-B630-CA0B3D86E01D}" destId="{F75CD983-C623-4EF8-8660-2BB0560A0192}" srcOrd="2" destOrd="0" parTransId="{AA105F14-27CA-4C36-B4CA-CCACE1A73D4D}" sibTransId="{3868D3D7-2486-40A7-8422-BECB354594B0}"/>
    <dgm:cxn modelId="{A9F67C01-2B9D-4DB6-86C7-1FB739EC6DC7}" type="presOf" srcId="{58EA8CCD-CFF8-49E7-9E34-EE8160305401}" destId="{E12620BA-A4CE-4E8B-98BB-987F99D5CF24}" srcOrd="1" destOrd="0" presId="urn:microsoft.com/office/officeart/2005/8/layout/orgChart1"/>
    <dgm:cxn modelId="{F1A86A02-1D51-43A7-A38B-3A717ED30FB7}" srcId="{3D2F35AF-9F29-4037-B88A-4FEA531E9CCD}" destId="{CFF08FB6-81CC-4687-9F86-511D65A9B699}" srcOrd="3" destOrd="0" parTransId="{9BDA0461-193F-4719-8B09-67120BB95025}" sibTransId="{82A24B88-A0D7-45A6-8090-AE4DDA1860CF}"/>
    <dgm:cxn modelId="{BE5F5402-5EF5-4C55-8624-BD8C81FCE9FF}" type="presOf" srcId="{AA105F14-27CA-4C36-B4CA-CCACE1A73D4D}" destId="{C2E0017E-6CCC-4B7A-B1D5-54904DC95A69}" srcOrd="0" destOrd="0" presId="urn:microsoft.com/office/officeart/2005/8/layout/orgChart1"/>
    <dgm:cxn modelId="{8C6E3103-AB92-46D1-BBB9-2592D75A3789}" type="presOf" srcId="{49E86799-3C09-49FF-A0C4-A4A96A8EF001}" destId="{3D9EB983-9F39-4816-B228-4EBBC3D7EA7C}" srcOrd="0" destOrd="0" presId="urn:microsoft.com/office/officeart/2005/8/layout/orgChart1"/>
    <dgm:cxn modelId="{9719CC0C-EBF0-4900-8C7A-ADFF76669BD1}" type="presOf" srcId="{239BFF1F-ED18-41B4-9065-D972D135138C}" destId="{F4968DB4-FF52-4583-9599-5F4992FC16E6}" srcOrd="1" destOrd="0" presId="urn:microsoft.com/office/officeart/2005/8/layout/orgChart1"/>
    <dgm:cxn modelId="{64788515-1EB3-4DAD-865B-6B049223359B}" srcId="{3D2F35AF-9F29-4037-B88A-4FEA531E9CCD}" destId="{DA9ACBDE-F15D-49D8-B5DD-B1D448EA9E1A}" srcOrd="5" destOrd="0" parTransId="{4B9A939B-A723-4D0D-A7F5-69EC3CD83AAA}" sibTransId="{69D3177E-7C98-4C1B-8503-A7DBBB9D185E}"/>
    <dgm:cxn modelId="{015DEC16-119A-4059-9D63-C27E68755A26}" type="presOf" srcId="{66D1C2D2-5E8B-42F4-8AFC-815FD131F151}" destId="{5FF2AFC9-58A9-41D6-B565-004F1B1EAA23}" srcOrd="1" destOrd="0" presId="urn:microsoft.com/office/officeart/2005/8/layout/orgChart1"/>
    <dgm:cxn modelId="{ED97CE18-5EAA-4D58-A09A-A6DED78EC50B}" type="presOf" srcId="{F9F55C23-D35E-4ACE-B630-CA0B3D86E01D}" destId="{0D12F8F9-DD35-48C8-8534-04C578D0CFEB}" srcOrd="1" destOrd="0" presId="urn:microsoft.com/office/officeart/2005/8/layout/orgChart1"/>
    <dgm:cxn modelId="{4321531B-7A0C-42E8-9637-F8A41983D90B}" type="presOf" srcId="{DE731B82-FF45-4B9D-B016-DE6F0633239A}" destId="{6E97755A-9EF7-4F89-88FB-F134982164C4}" srcOrd="0" destOrd="0" presId="urn:microsoft.com/office/officeart/2005/8/layout/orgChart1"/>
    <dgm:cxn modelId="{D8C7301D-5D1B-4B73-A0A3-7B93B8DA8D12}" type="presOf" srcId="{CFFCEC08-EAAF-4A54-B5BF-4B73599A6288}" destId="{52B9448B-F5A4-486C-8803-78565DEA128C}" srcOrd="0" destOrd="0" presId="urn:microsoft.com/office/officeart/2005/8/layout/orgChart1"/>
    <dgm:cxn modelId="{91577721-5766-4ACF-A0C1-4DC833C0226B}" srcId="{3D2F35AF-9F29-4037-B88A-4FEA531E9CCD}" destId="{1D8BAA58-3DA6-4960-BED4-9BAD3D7507EA}" srcOrd="0" destOrd="0" parTransId="{49E86799-3C09-49FF-A0C4-A4A96A8EF001}" sibTransId="{2154DFE3-CFBA-4095-B475-FF65E47474B8}"/>
    <dgm:cxn modelId="{8FEC5E23-3B90-4216-BC07-A28911119909}" srcId="{F9F55C23-D35E-4ACE-B630-CA0B3D86E01D}" destId="{1D42193F-CBA2-4226-81AD-8B2DD5C0E139}" srcOrd="1" destOrd="0" parTransId="{EC9B4DFA-8CAD-47AD-BF82-CF9D42E50016}" sibTransId="{CEFA424E-FB8E-4720-B338-06DD9D0B9F3F}"/>
    <dgm:cxn modelId="{0823BF2C-E864-4689-9962-2A0D8D16E201}" type="presOf" srcId="{4B9A939B-A723-4D0D-A7F5-69EC3CD83AAA}" destId="{4072F16F-86E2-4B62-83AB-76A1B1D619D9}" srcOrd="0" destOrd="0" presId="urn:microsoft.com/office/officeart/2005/8/layout/orgChart1"/>
    <dgm:cxn modelId="{C228552D-A351-4E12-A940-81FCF7BEEAF6}" type="presOf" srcId="{C8FBA9F8-85EB-4387-BEA3-41FC96E3D5EF}" destId="{5037A621-A5A7-4865-B4FA-38F7AA6E6D64}" srcOrd="0" destOrd="0" presId="urn:microsoft.com/office/officeart/2005/8/layout/orgChart1"/>
    <dgm:cxn modelId="{E165BB2D-4269-4FA1-87F2-6AB150D26832}" type="presOf" srcId="{CC63A405-4C9B-4313-95ED-41EFF071A6EC}" destId="{4A887CAB-27BF-4976-83F0-9BC9C1CD04FA}" srcOrd="0" destOrd="0" presId="urn:microsoft.com/office/officeart/2005/8/layout/orgChart1"/>
    <dgm:cxn modelId="{EBD1A535-E74E-42B6-9025-8330371B373B}" srcId="{3D2F35AF-9F29-4037-B88A-4FEA531E9CCD}" destId="{3D2895F0-DFD3-41B7-B57C-8E8DEC27A618}" srcOrd="2" destOrd="0" parTransId="{62DFA893-50BD-4BEE-AF03-919B8B13F7DB}" sibTransId="{E5B27CE6-AAB2-4AA1-A472-5F7D97214190}"/>
    <dgm:cxn modelId="{933A1936-18B7-445C-8AAE-D982F8026AC0}" type="presOf" srcId="{90AE6C98-10D9-4AF6-B3C4-B3BFC7B7838F}" destId="{D8B2028F-D0F4-48B6-A165-178907706921}" srcOrd="0" destOrd="0" presId="urn:microsoft.com/office/officeart/2005/8/layout/orgChart1"/>
    <dgm:cxn modelId="{B30DB136-243D-4AD0-9EC4-6A34806BDF95}" type="presOf" srcId="{1D42193F-CBA2-4226-81AD-8B2DD5C0E139}" destId="{EB97CDC5-925C-4869-8CDD-C4DEF538CFE6}" srcOrd="0" destOrd="0" presId="urn:microsoft.com/office/officeart/2005/8/layout/orgChart1"/>
    <dgm:cxn modelId="{EADE7B3D-4F14-4245-A4E0-EE39BA9E341D}" type="presOf" srcId="{9BDA0461-193F-4719-8B09-67120BB95025}" destId="{4921A7D4-7DAB-4A5B-BF6D-3255D50A0431}" srcOrd="0" destOrd="0" presId="urn:microsoft.com/office/officeart/2005/8/layout/orgChart1"/>
    <dgm:cxn modelId="{3A20345B-123F-466D-972C-48BDA9B642B9}" srcId="{CFF08FB6-81CC-4687-9F86-511D65A9B699}" destId="{CFFCEC08-EAAF-4A54-B5BF-4B73599A6288}" srcOrd="1" destOrd="0" parTransId="{90AE6C98-10D9-4AF6-B3C4-B3BFC7B7838F}" sibTransId="{ADB5E2CB-53EE-4ED8-AF3C-3CE0A9F20112}"/>
    <dgm:cxn modelId="{9BDA5F5F-48E4-4C4D-87CA-3604858BC6E7}" type="presOf" srcId="{CFFCEC08-EAAF-4A54-B5BF-4B73599A6288}" destId="{8AC45793-0782-4E2B-97B7-38D4924DD7FC}" srcOrd="1" destOrd="0" presId="urn:microsoft.com/office/officeart/2005/8/layout/orgChart1"/>
    <dgm:cxn modelId="{58450241-A6BC-4BEB-8AC8-2F76A6A76399}" type="presOf" srcId="{3AE70819-C5ED-496F-AB00-2F25293A2BF1}" destId="{3E388F50-ED5E-4C2A-B2A6-5F1DDA95C632}" srcOrd="0" destOrd="0" presId="urn:microsoft.com/office/officeart/2005/8/layout/orgChart1"/>
    <dgm:cxn modelId="{C62A8262-29C4-44F9-8930-2B1B5E31D050}" type="presOf" srcId="{239BFF1F-ED18-41B4-9065-D972D135138C}" destId="{D7E54772-17F8-44A0-B293-D8F5A80452B3}" srcOrd="0" destOrd="0" presId="urn:microsoft.com/office/officeart/2005/8/layout/orgChart1"/>
    <dgm:cxn modelId="{587CBA6A-167F-4041-9058-52F8DFB1DA86}" type="presOf" srcId="{6BECD059-561B-4263-8CBF-59EE9A5CE5B2}" destId="{36D2D85D-1264-4A89-81C5-14940C3DBFC7}" srcOrd="1" destOrd="0" presId="urn:microsoft.com/office/officeart/2005/8/layout/orgChart1"/>
    <dgm:cxn modelId="{7E63666C-B117-4318-AEE5-D00A4175F7F4}" type="presOf" srcId="{D6B64A15-AFD6-4AB5-99C0-EC24E27AD804}" destId="{26738A9B-0B92-4891-9AE6-8AC4271884C6}" srcOrd="0" destOrd="0" presId="urn:microsoft.com/office/officeart/2005/8/layout/orgChart1"/>
    <dgm:cxn modelId="{1002C74C-0E68-4EAF-8AE5-669EE7FDDA36}" type="presOf" srcId="{F085D67E-4DC8-41EE-8827-B267843A31B9}" destId="{2E664954-59F9-4650-B43B-5F75499072E3}" srcOrd="0" destOrd="0" presId="urn:microsoft.com/office/officeart/2005/8/layout/orgChart1"/>
    <dgm:cxn modelId="{2310A56D-FD65-49F3-9F05-F2CF53B2ED73}" srcId="{3D2895F0-DFD3-41B7-B57C-8E8DEC27A618}" destId="{66D1C2D2-5E8B-42F4-8AFC-815FD131F151}" srcOrd="0" destOrd="0" parTransId="{D6B64A15-AFD6-4AB5-99C0-EC24E27AD804}" sibTransId="{20B85E19-2757-4A08-AFA0-36BCE45D67E1}"/>
    <dgm:cxn modelId="{3730BE4E-9D53-4A84-8172-B1B83B6F57B0}" type="presOf" srcId="{F75CD983-C623-4EF8-8660-2BB0560A0192}" destId="{E5293A2F-18AC-4FE0-9D61-67AAADD4A2FB}" srcOrd="0" destOrd="0" presId="urn:microsoft.com/office/officeart/2005/8/layout/orgChart1"/>
    <dgm:cxn modelId="{647D4070-8D88-4099-915A-A1FDC89CE99D}" type="presOf" srcId="{351A428A-E2AC-4370-A5DB-74E6BF81F046}" destId="{3B696CD3-8E7E-45D2-B043-0D801BE6E656}" srcOrd="1" destOrd="0" presId="urn:microsoft.com/office/officeart/2005/8/layout/orgChart1"/>
    <dgm:cxn modelId="{E4BD5B50-160E-4819-89DC-0C51C5E77F6A}" srcId="{BE4D3519-073E-4F11-9623-F3E509825978}" destId="{3D2F35AF-9F29-4037-B88A-4FEA531E9CCD}" srcOrd="0" destOrd="0" parTransId="{EB824C88-0EEA-4010-8C38-D4FF13EAB241}" sibTransId="{8BB52629-47D6-43EB-B19E-388A16962B96}"/>
    <dgm:cxn modelId="{45E44D56-30FA-4F00-ABA8-7C6159C48B13}" type="presOf" srcId="{F9F55C23-D35E-4ACE-B630-CA0B3D86E01D}" destId="{36DBA998-B41F-4B34-BF86-DD96A3DAE66E}" srcOrd="0" destOrd="0" presId="urn:microsoft.com/office/officeart/2005/8/layout/orgChart1"/>
    <dgm:cxn modelId="{E93CD476-9DE8-4A74-85F8-FFD1EF6BA101}" type="presOf" srcId="{62DFA893-50BD-4BEE-AF03-919B8B13F7DB}" destId="{CB5A67CE-BF14-4990-A2CF-351B6DEA2CCC}" srcOrd="0" destOrd="0" presId="urn:microsoft.com/office/officeart/2005/8/layout/orgChart1"/>
    <dgm:cxn modelId="{147BE27A-0967-45A3-A04B-C560A45AD2C3}" type="presOf" srcId="{66D1C2D2-5E8B-42F4-8AFC-815FD131F151}" destId="{940D4632-9053-4CFB-9A9A-77F2BCA1318C}" srcOrd="0" destOrd="0" presId="urn:microsoft.com/office/officeart/2005/8/layout/orgChart1"/>
    <dgm:cxn modelId="{D518F25A-0022-4518-96F6-434F444B2166}" type="presOf" srcId="{1D42193F-CBA2-4226-81AD-8B2DD5C0E139}" destId="{492E370C-9D6D-4792-9B2F-E68B493F3B76}" srcOrd="1" destOrd="0" presId="urn:microsoft.com/office/officeart/2005/8/layout/orgChart1"/>
    <dgm:cxn modelId="{EEF30187-9C7E-45F2-96A0-25864BF0F0D9}" srcId="{F9F55C23-D35E-4ACE-B630-CA0B3D86E01D}" destId="{7A3B6181-1ACA-4B4B-8CE8-90B31FC757DA}" srcOrd="0" destOrd="0" parTransId="{632F94F0-7CE8-47D2-BE92-3F5F4F006B04}" sibTransId="{C5B45024-446C-4DAF-A0E1-4A00B54C96C5}"/>
    <dgm:cxn modelId="{D9C3D591-7ECD-4755-93CC-26B8EC75E8CA}" type="presOf" srcId="{6BECD059-561B-4263-8CBF-59EE9A5CE5B2}" destId="{A0EF2AC5-C953-4E17-9D99-2FEEAFA64631}" srcOrd="0" destOrd="0" presId="urn:microsoft.com/office/officeart/2005/8/layout/orgChart1"/>
    <dgm:cxn modelId="{E449B192-0AD4-43BF-92EF-6570E40940B0}" type="presOf" srcId="{DA9ACBDE-F15D-49D8-B5DD-B1D448EA9E1A}" destId="{E26F18F0-68A4-41FF-8091-6E1627FD241D}" srcOrd="0" destOrd="0" presId="urn:microsoft.com/office/officeart/2005/8/layout/orgChart1"/>
    <dgm:cxn modelId="{994C3293-DDF3-4649-A6C5-BC17C870C934}" type="presOf" srcId="{D723E379-1660-4FAC-8D2D-4E703B3A4D0D}" destId="{A21C3830-C181-4BD5-9B3E-D33115349081}" srcOrd="0" destOrd="0" presId="urn:microsoft.com/office/officeart/2005/8/layout/orgChart1"/>
    <dgm:cxn modelId="{7F9F5396-B6B0-4AE4-A6A5-088E85F7BA2D}" type="presOf" srcId="{3D2F35AF-9F29-4037-B88A-4FEA531E9CCD}" destId="{F5DD851D-5769-4F7A-85D5-179F87A1D197}" srcOrd="0" destOrd="0" presId="urn:microsoft.com/office/officeart/2005/8/layout/orgChart1"/>
    <dgm:cxn modelId="{01A3FF98-F97C-40E2-A05C-4E663AF3EFB7}" type="presOf" srcId="{632F94F0-7CE8-47D2-BE92-3F5F4F006B04}" destId="{37D46373-26F2-4980-9EAF-0E2CB6FEF3BD}" srcOrd="0" destOrd="0" presId="urn:microsoft.com/office/officeart/2005/8/layout/orgChart1"/>
    <dgm:cxn modelId="{506D4A9B-4D0C-4D56-8A6B-BEB5723F7C1D}" type="presOf" srcId="{E3073993-7C88-43E2-BE0B-1987C965BCB8}" destId="{9F7C963B-0F37-4386-BFAD-649A788AFB85}" srcOrd="0" destOrd="0" presId="urn:microsoft.com/office/officeart/2005/8/layout/orgChart1"/>
    <dgm:cxn modelId="{16F807A1-BAE2-44BE-9456-8F6E3A7A6D76}" type="presOf" srcId="{B6AB0307-71D9-424C-AC7E-29D971E2B689}" destId="{D54224EF-8985-46B2-A471-B8C1B5E03ADC}" srcOrd="0" destOrd="0" presId="urn:microsoft.com/office/officeart/2005/8/layout/orgChart1"/>
    <dgm:cxn modelId="{B30A74A1-3A8B-4247-9C3C-7D7F67DDD05B}" type="presOf" srcId="{5294EED8-CD61-46B9-8F1D-36F4589A29A1}" destId="{9938D235-D3EF-46A3-AC52-11C3E5A050F2}" srcOrd="0" destOrd="0" presId="urn:microsoft.com/office/officeart/2005/8/layout/orgChart1"/>
    <dgm:cxn modelId="{B6B658A7-A6B6-41F0-9B0E-829E748EA199}" srcId="{CFF08FB6-81CC-4687-9F86-511D65A9B699}" destId="{3AE70819-C5ED-496F-AB00-2F25293A2BF1}" srcOrd="0" destOrd="0" parTransId="{D723E379-1660-4FAC-8D2D-4E703B3A4D0D}" sibTransId="{2384A6E0-A1CE-4CD1-8E39-1811D1871E64}"/>
    <dgm:cxn modelId="{DAD9D5AA-6788-4F83-B120-4D9B80258A7E}" type="presOf" srcId="{BE4D3519-073E-4F11-9623-F3E509825978}" destId="{B5EE3E4A-C2F3-437F-91BB-140B2A6F71A1}" srcOrd="0" destOrd="0" presId="urn:microsoft.com/office/officeart/2005/8/layout/orgChart1"/>
    <dgm:cxn modelId="{9923FBB1-9CBE-4A05-82F5-67763CA647AF}" type="presOf" srcId="{CFF08FB6-81CC-4687-9F86-511D65A9B699}" destId="{3CD211B4-D223-4DDE-9EB0-F7A199556F2C}" srcOrd="1" destOrd="0" presId="urn:microsoft.com/office/officeart/2005/8/layout/orgChart1"/>
    <dgm:cxn modelId="{FB1316B2-2AA6-482E-8CB6-A6AD5F677B85}" srcId="{3D2F35AF-9F29-4037-B88A-4FEA531E9CCD}" destId="{58EA8CCD-CFF8-49E7-9E34-EE8160305401}" srcOrd="6" destOrd="0" parTransId="{E3073993-7C88-43E2-BE0B-1987C965BCB8}" sibTransId="{7DBA3B1A-E036-4DC4-913D-BBB1AD89A2F1}"/>
    <dgm:cxn modelId="{2A4B28B7-F5A1-4407-8287-C084032927E7}" type="presOf" srcId="{0227CFA8-87FC-46A1-B6E4-332AF2BAB2AD}" destId="{01ECEA7C-57DA-4AE8-B68F-62EB3CC17A94}" srcOrd="1" destOrd="0" presId="urn:microsoft.com/office/officeart/2005/8/layout/orgChart1"/>
    <dgm:cxn modelId="{BC9A62B8-7698-4E95-BB5F-3B3261919C03}" type="presOf" srcId="{3D2895F0-DFD3-41B7-B57C-8E8DEC27A618}" destId="{7B08A14F-E20D-41A3-8A91-A654FAB5F6D6}" srcOrd="0" destOrd="0" presId="urn:microsoft.com/office/officeart/2005/8/layout/orgChart1"/>
    <dgm:cxn modelId="{91A13EBA-2147-43DA-A030-6101B4585B72}" type="presOf" srcId="{3D2895F0-DFD3-41B7-B57C-8E8DEC27A618}" destId="{1FDF5970-25AB-41FE-B344-D42C12C776C6}" srcOrd="1" destOrd="0" presId="urn:microsoft.com/office/officeart/2005/8/layout/orgChart1"/>
    <dgm:cxn modelId="{47DD0FBE-D853-49CC-B280-B08926446EB8}" srcId="{1D8BAA58-3DA6-4960-BED4-9BAD3D7507EA}" destId="{0227CFA8-87FC-46A1-B6E4-332AF2BAB2AD}" srcOrd="0" destOrd="0" parTransId="{5294EED8-CD61-46B9-8F1D-36F4589A29A1}" sibTransId="{3F41527E-6239-44C9-8FD7-B2151A6F03C9}"/>
    <dgm:cxn modelId="{A782D9D7-5EDB-4287-B990-338C3886D224}" type="presOf" srcId="{CFF08FB6-81CC-4687-9F86-511D65A9B699}" destId="{FE2328FC-D112-416B-B268-0571CB201E98}" srcOrd="0" destOrd="0" presId="urn:microsoft.com/office/officeart/2005/8/layout/orgChart1"/>
    <dgm:cxn modelId="{A53DA5DF-E739-44F0-A190-00544EF621CA}" type="presOf" srcId="{3D2F35AF-9F29-4037-B88A-4FEA531E9CCD}" destId="{AFDD3768-41C1-4610-A65B-1D34C2213219}" srcOrd="1" destOrd="0" presId="urn:microsoft.com/office/officeart/2005/8/layout/orgChart1"/>
    <dgm:cxn modelId="{82CF81E0-D3AE-42CE-A0B1-A0B2AD397CE1}" type="presOf" srcId="{1D8BAA58-3DA6-4960-BED4-9BAD3D7507EA}" destId="{E1876B05-C4C7-4EFC-B1C1-EB578C2C01DB}" srcOrd="0" destOrd="0" presId="urn:microsoft.com/office/officeart/2005/8/layout/orgChart1"/>
    <dgm:cxn modelId="{3911AAC3-7F49-4DD8-B8B6-700AF9FF50A1}" srcId="{3D2F35AF-9F29-4037-B88A-4FEA531E9CCD}" destId="{DE731B82-FF45-4B9D-B016-DE6F0633239A}" srcOrd="1" destOrd="0" parTransId="{B92BDF2A-ADD4-4CDA-9B4A-76630B97C80B}" sibTransId="{674F9CAC-96B0-453E-B96C-30C00925BA98}"/>
    <dgm:cxn modelId="{029F57C4-A75B-455E-BC6F-0E5EA5C56332}" type="presOf" srcId="{D0302C65-A403-41B0-9179-9040ACAF90AC}" destId="{97617F25-98A8-4EA0-B7CD-0E4D41AF4979}" srcOrd="0" destOrd="0" presId="urn:microsoft.com/office/officeart/2005/8/layout/orgChart1"/>
    <dgm:cxn modelId="{F1092DC6-026F-4922-AD06-A27C93EFF04C}" type="presOf" srcId="{58EA8CCD-CFF8-49E7-9E34-EE8160305401}" destId="{AF1EFDBD-9013-44E0-B417-7532073E8B05}" srcOrd="0" destOrd="0" presId="urn:microsoft.com/office/officeart/2005/8/layout/orgChart1"/>
    <dgm:cxn modelId="{5FAD60E7-C58F-4FFE-A8B3-F819CE4C0C45}" srcId="{DE731B82-FF45-4B9D-B016-DE6F0633239A}" destId="{F085D67E-4DC8-41EE-8827-B267843A31B9}" srcOrd="0" destOrd="0" parTransId="{B6AB0307-71D9-424C-AC7E-29D971E2B689}" sibTransId="{A643FEFF-9100-4C4E-A63A-0EBF65B9ACD0}"/>
    <dgm:cxn modelId="{8FF511E9-1A9B-495A-A307-A5D3B1069EAA}" type="presOf" srcId="{7A3B6181-1ACA-4B4B-8CE8-90B31FC757DA}" destId="{D7C399BA-E5B9-45CD-AADB-8A48C76FAFEF}" srcOrd="0" destOrd="0" presId="urn:microsoft.com/office/officeart/2005/8/layout/orgChart1"/>
    <dgm:cxn modelId="{A4AA15E9-2DC7-4DC8-86CE-5BDCB7B55602}" type="presOf" srcId="{1D8BAA58-3DA6-4960-BED4-9BAD3D7507EA}" destId="{86A72D4F-872E-42D9-8A55-4A3D4F9CC1E8}" srcOrd="1" destOrd="0" presId="urn:microsoft.com/office/officeart/2005/8/layout/orgChart1"/>
    <dgm:cxn modelId="{FA196BEA-7A7E-4639-8F58-A2CB3E4F15DB}" srcId="{3D2895F0-DFD3-41B7-B57C-8E8DEC27A618}" destId="{239BFF1F-ED18-41B4-9065-D972D135138C}" srcOrd="1" destOrd="0" parTransId="{D0302C65-A403-41B0-9179-9040ACAF90AC}" sibTransId="{85E0E19C-BC39-4FB8-AD82-F16B20573853}"/>
    <dgm:cxn modelId="{FB4158CD-EC34-4365-8D7C-EC9FE994A33E}" srcId="{1D8BAA58-3DA6-4960-BED4-9BAD3D7507EA}" destId="{351A428A-E2AC-4370-A5DB-74E6BF81F046}" srcOrd="1" destOrd="0" parTransId="{CC63A405-4C9B-4313-95ED-41EFF071A6EC}" sibTransId="{F542A7D7-F26A-43A8-AB0D-A7A4B75A118B}"/>
    <dgm:cxn modelId="{F32614CE-AB72-493C-97D4-006FBE8D3F35}" type="presOf" srcId="{3AE70819-C5ED-496F-AB00-2F25293A2BF1}" destId="{0EDF95B1-A1B1-47EA-A2A4-CD6952D14B62}" srcOrd="1" destOrd="0" presId="urn:microsoft.com/office/officeart/2005/8/layout/orgChart1"/>
    <dgm:cxn modelId="{2180B4CE-A36A-40CA-9266-31A4B5E9428E}" type="presOf" srcId="{7D3C3036-A004-4D0B-8BC7-21758F749884}" destId="{92DE26BC-8C62-4D19-B7F1-F8AF8958F3C7}" srcOrd="0" destOrd="0" presId="urn:microsoft.com/office/officeart/2005/8/layout/orgChart1"/>
    <dgm:cxn modelId="{7B42F4F0-80CF-46EE-98A8-1EACA59A2354}" type="presOf" srcId="{EC9B4DFA-8CAD-47AD-BF82-CF9D42E50016}" destId="{EB9DFB18-ECB8-48DB-A640-442E953515C4}" srcOrd="0" destOrd="0" presId="urn:microsoft.com/office/officeart/2005/8/layout/orgChart1"/>
    <dgm:cxn modelId="{66DF46D1-6FD5-4E47-A522-464628008980}" type="presOf" srcId="{F085D67E-4DC8-41EE-8827-B267843A31B9}" destId="{57276538-3DF5-4BB5-BD3B-88735DF174B2}" srcOrd="1" destOrd="0" presId="urn:microsoft.com/office/officeart/2005/8/layout/orgChart1"/>
    <dgm:cxn modelId="{D39E79F3-8F5F-4A82-94C9-F7339E976147}" type="presOf" srcId="{DE731B82-FF45-4B9D-B016-DE6F0633239A}" destId="{C5A5FEEC-57D2-4D2C-A54A-83EF723EB291}" srcOrd="1" destOrd="0" presId="urn:microsoft.com/office/officeart/2005/8/layout/orgChart1"/>
    <dgm:cxn modelId="{C74C91D4-3CA0-454F-A69E-6EDB5594135E}" type="presOf" srcId="{B92BDF2A-ADD4-4CDA-9B4A-76630B97C80B}" destId="{D9551913-295C-48C6-9790-791354B8B6D6}" srcOrd="0" destOrd="0" presId="urn:microsoft.com/office/officeart/2005/8/layout/orgChart1"/>
    <dgm:cxn modelId="{A34D0AD8-4FF1-4F81-930A-36F534E0FB6B}" type="presOf" srcId="{1BE9DB66-48F5-4147-B2EA-542166D79CE5}" destId="{82A96365-DB22-432A-9F66-8C595637A2B1}" srcOrd="0" destOrd="0" presId="urn:microsoft.com/office/officeart/2005/8/layout/orgChart1"/>
    <dgm:cxn modelId="{D34A48F8-6B47-407E-9075-9257C18D3FA4}" type="presOf" srcId="{43246753-95F1-43A8-AD41-2853ECA401D6}" destId="{6B0B2D87-0711-4C83-988D-26D01334F195}" srcOrd="0" destOrd="0" presId="urn:microsoft.com/office/officeart/2005/8/layout/orgChart1"/>
    <dgm:cxn modelId="{813D61F9-2535-45C9-94BF-045EA716F28D}" type="presOf" srcId="{DA9ACBDE-F15D-49D8-B5DD-B1D448EA9E1A}" destId="{F2FC142A-E943-4B45-A646-5B1AD13C1C62}" srcOrd="1" destOrd="0" presId="urn:microsoft.com/office/officeart/2005/8/layout/orgChart1"/>
    <dgm:cxn modelId="{3256E0D9-05C9-4B28-B4F8-2085706F7879}" type="presOf" srcId="{7A3B6181-1ACA-4B4B-8CE8-90B31FC757DA}" destId="{2BC69BBB-248D-4706-B073-8E88A86FE5C6}" srcOrd="1" destOrd="0" presId="urn:microsoft.com/office/officeart/2005/8/layout/orgChart1"/>
    <dgm:cxn modelId="{ECE440DB-2F7F-4447-B1D4-5046BAEE1367}" type="presOf" srcId="{F75CD983-C623-4EF8-8660-2BB0560A0192}" destId="{3C51B5D8-B974-4A2C-A210-39AD5BD04863}" srcOrd="1" destOrd="0" presId="urn:microsoft.com/office/officeart/2005/8/layout/orgChart1"/>
    <dgm:cxn modelId="{FAA43DFC-CF61-4D91-BE66-9E2BB81D7DB4}" type="presOf" srcId="{C8FBA9F8-85EB-4387-BEA3-41FC96E3D5EF}" destId="{5BC04639-6FD6-44CD-946C-38A4D2CC37C0}" srcOrd="1" destOrd="0" presId="urn:microsoft.com/office/officeart/2005/8/layout/orgChart1"/>
    <dgm:cxn modelId="{EF6568DC-4913-42E3-8FE4-A6D488BA7491}" srcId="{DE731B82-FF45-4B9D-B016-DE6F0633239A}" destId="{C8FBA9F8-85EB-4387-BEA3-41FC96E3D5EF}" srcOrd="2" destOrd="0" parTransId="{1BE9DB66-48F5-4147-B2EA-542166D79CE5}" sibTransId="{72A418A7-065F-4F57-B84C-00054A98162E}"/>
    <dgm:cxn modelId="{2CAB69FC-AB18-4443-A3BD-171B083D5B6C}" srcId="{3D2F35AF-9F29-4037-B88A-4FEA531E9CCD}" destId="{F9F55C23-D35E-4ACE-B630-CA0B3D86E01D}" srcOrd="4" destOrd="0" parTransId="{43246753-95F1-43A8-AD41-2853ECA401D6}" sibTransId="{F02DC235-0AA8-488C-8ABE-C8FA7E5B98C6}"/>
    <dgm:cxn modelId="{535906FD-C592-488E-8000-CAACBD54E951}" srcId="{DE731B82-FF45-4B9D-B016-DE6F0633239A}" destId="{6BECD059-561B-4263-8CBF-59EE9A5CE5B2}" srcOrd="1" destOrd="0" parTransId="{7D3C3036-A004-4D0B-8BC7-21758F749884}" sibTransId="{C335CFCF-38F4-4FCC-A9F9-871A483FCFE9}"/>
    <dgm:cxn modelId="{976F75FD-5E61-47DC-AD44-8BCA039D42C5}" type="presOf" srcId="{351A428A-E2AC-4370-A5DB-74E6BF81F046}" destId="{5E16D252-5AAE-4D36-B488-669C855C6D4C}" srcOrd="0" destOrd="0" presId="urn:microsoft.com/office/officeart/2005/8/layout/orgChart1"/>
    <dgm:cxn modelId="{D46D679F-A7BF-4E03-8B03-7A51BC997C67}" type="presOf" srcId="{0227CFA8-87FC-46A1-B6E4-332AF2BAB2AD}" destId="{C8D53AB7-41CA-498E-8B08-6B0E3C3AA91E}" srcOrd="0" destOrd="0" presId="urn:microsoft.com/office/officeart/2005/8/layout/orgChart1"/>
    <dgm:cxn modelId="{940D9125-8E3B-4CC9-BF74-DB27D1A3D0DF}" type="presParOf" srcId="{B5EE3E4A-C2F3-437F-91BB-140B2A6F71A1}" destId="{9E7491B1-4745-48F2-A906-949EACF718EE}" srcOrd="0" destOrd="0" presId="urn:microsoft.com/office/officeart/2005/8/layout/orgChart1"/>
    <dgm:cxn modelId="{1A2D42AC-C4AB-4CFC-A129-F575BFFDF1FA}" type="presParOf" srcId="{9E7491B1-4745-48F2-A906-949EACF718EE}" destId="{4F8CBC8C-185D-4C88-98B5-769D0C4558BB}" srcOrd="0" destOrd="0" presId="urn:microsoft.com/office/officeart/2005/8/layout/orgChart1"/>
    <dgm:cxn modelId="{8A68C897-BB08-4262-9938-4831F40ACC6C}" type="presParOf" srcId="{4F8CBC8C-185D-4C88-98B5-769D0C4558BB}" destId="{F5DD851D-5769-4F7A-85D5-179F87A1D197}" srcOrd="0" destOrd="0" presId="urn:microsoft.com/office/officeart/2005/8/layout/orgChart1"/>
    <dgm:cxn modelId="{18B47FAB-0289-411F-80B3-682A20224F38}" type="presParOf" srcId="{4F8CBC8C-185D-4C88-98B5-769D0C4558BB}" destId="{AFDD3768-41C1-4610-A65B-1D34C2213219}" srcOrd="1" destOrd="0" presId="urn:microsoft.com/office/officeart/2005/8/layout/orgChart1"/>
    <dgm:cxn modelId="{C4B0B5DF-06FA-4574-A284-A0760A1050AA}" type="presParOf" srcId="{9E7491B1-4745-48F2-A906-949EACF718EE}" destId="{052C445A-CFBA-46CF-B5B1-253A4039E366}" srcOrd="1" destOrd="0" presId="urn:microsoft.com/office/officeart/2005/8/layout/orgChart1"/>
    <dgm:cxn modelId="{6DD08452-9A4C-44C0-9A82-EEA66CFD2C74}" type="presParOf" srcId="{052C445A-CFBA-46CF-B5B1-253A4039E366}" destId="{3D9EB983-9F39-4816-B228-4EBBC3D7EA7C}" srcOrd="0" destOrd="0" presId="urn:microsoft.com/office/officeart/2005/8/layout/orgChart1"/>
    <dgm:cxn modelId="{E84E13DA-0E93-475B-825C-ED9F1B0B5C25}" type="presParOf" srcId="{052C445A-CFBA-46CF-B5B1-253A4039E366}" destId="{85CD9480-FC63-489C-A7D8-7659683B58FC}" srcOrd="1" destOrd="0" presId="urn:microsoft.com/office/officeart/2005/8/layout/orgChart1"/>
    <dgm:cxn modelId="{A0FBEC76-510B-499F-BDCC-4D4449695C7E}" type="presParOf" srcId="{85CD9480-FC63-489C-A7D8-7659683B58FC}" destId="{5AAACA20-5B9B-4717-9C69-ACBC3E6FBB43}" srcOrd="0" destOrd="0" presId="urn:microsoft.com/office/officeart/2005/8/layout/orgChart1"/>
    <dgm:cxn modelId="{8B9FE716-38AA-4BD0-80D0-26322327E002}" type="presParOf" srcId="{5AAACA20-5B9B-4717-9C69-ACBC3E6FBB43}" destId="{E1876B05-C4C7-4EFC-B1C1-EB578C2C01DB}" srcOrd="0" destOrd="0" presId="urn:microsoft.com/office/officeart/2005/8/layout/orgChart1"/>
    <dgm:cxn modelId="{9BB1D457-4A20-412F-BE2D-437E9DC520AC}" type="presParOf" srcId="{5AAACA20-5B9B-4717-9C69-ACBC3E6FBB43}" destId="{86A72D4F-872E-42D9-8A55-4A3D4F9CC1E8}" srcOrd="1" destOrd="0" presId="urn:microsoft.com/office/officeart/2005/8/layout/orgChart1"/>
    <dgm:cxn modelId="{6C4F82D8-E4A3-4239-B9D2-12AB70014576}" type="presParOf" srcId="{85CD9480-FC63-489C-A7D8-7659683B58FC}" destId="{5E8798C4-903D-4088-95D9-C5225A3EB674}" srcOrd="1" destOrd="0" presId="urn:microsoft.com/office/officeart/2005/8/layout/orgChart1"/>
    <dgm:cxn modelId="{937226D4-2254-4140-8A48-C53B0597AEFA}" type="presParOf" srcId="{5E8798C4-903D-4088-95D9-C5225A3EB674}" destId="{9938D235-D3EF-46A3-AC52-11C3E5A050F2}" srcOrd="0" destOrd="0" presId="urn:microsoft.com/office/officeart/2005/8/layout/orgChart1"/>
    <dgm:cxn modelId="{EFD908B9-4F7D-4164-B91E-55AAD6B71B12}" type="presParOf" srcId="{5E8798C4-903D-4088-95D9-C5225A3EB674}" destId="{EB423BC0-4935-4C94-BFAC-BCF647B395D2}" srcOrd="1" destOrd="0" presId="urn:microsoft.com/office/officeart/2005/8/layout/orgChart1"/>
    <dgm:cxn modelId="{79261637-620F-4553-8F66-1EBD06F3A09B}" type="presParOf" srcId="{EB423BC0-4935-4C94-BFAC-BCF647B395D2}" destId="{9701314B-0DB5-4105-8761-D76DE936CEBF}" srcOrd="0" destOrd="0" presId="urn:microsoft.com/office/officeart/2005/8/layout/orgChart1"/>
    <dgm:cxn modelId="{3BBD9176-057C-447C-9474-6FF72E874F91}" type="presParOf" srcId="{9701314B-0DB5-4105-8761-D76DE936CEBF}" destId="{C8D53AB7-41CA-498E-8B08-6B0E3C3AA91E}" srcOrd="0" destOrd="0" presId="urn:microsoft.com/office/officeart/2005/8/layout/orgChart1"/>
    <dgm:cxn modelId="{54E6A48C-0CBF-4E53-92E9-3F6379C84160}" type="presParOf" srcId="{9701314B-0DB5-4105-8761-D76DE936CEBF}" destId="{01ECEA7C-57DA-4AE8-B68F-62EB3CC17A94}" srcOrd="1" destOrd="0" presId="urn:microsoft.com/office/officeart/2005/8/layout/orgChart1"/>
    <dgm:cxn modelId="{B6B20F7D-B36B-4E5F-80C7-B3A864BD07B5}" type="presParOf" srcId="{EB423BC0-4935-4C94-BFAC-BCF647B395D2}" destId="{B654983A-11FC-434C-9E05-2F16DA6C6DEE}" srcOrd="1" destOrd="0" presId="urn:microsoft.com/office/officeart/2005/8/layout/orgChart1"/>
    <dgm:cxn modelId="{6F3DED1B-C0B1-41A1-BF5B-76197D03A15C}" type="presParOf" srcId="{EB423BC0-4935-4C94-BFAC-BCF647B395D2}" destId="{4CF86959-9BC4-45B3-BB94-72C67AC0260E}" srcOrd="2" destOrd="0" presId="urn:microsoft.com/office/officeart/2005/8/layout/orgChart1"/>
    <dgm:cxn modelId="{497954F8-ED74-435C-BF1B-D87A3C62D8E6}" type="presParOf" srcId="{5E8798C4-903D-4088-95D9-C5225A3EB674}" destId="{4A887CAB-27BF-4976-83F0-9BC9C1CD04FA}" srcOrd="2" destOrd="0" presId="urn:microsoft.com/office/officeart/2005/8/layout/orgChart1"/>
    <dgm:cxn modelId="{57F0874D-F760-482B-8E0A-154848F69432}" type="presParOf" srcId="{5E8798C4-903D-4088-95D9-C5225A3EB674}" destId="{FB3B3AE2-E631-4B55-AE3B-1193C91B1425}" srcOrd="3" destOrd="0" presId="urn:microsoft.com/office/officeart/2005/8/layout/orgChart1"/>
    <dgm:cxn modelId="{002F0B39-782F-457C-B185-A57C02707B83}" type="presParOf" srcId="{FB3B3AE2-E631-4B55-AE3B-1193C91B1425}" destId="{96959E06-52FB-4EB7-8633-DEB8E9C08E80}" srcOrd="0" destOrd="0" presId="urn:microsoft.com/office/officeart/2005/8/layout/orgChart1"/>
    <dgm:cxn modelId="{9BE0CA2B-4C3E-4353-A546-0079DFBBAED9}" type="presParOf" srcId="{96959E06-52FB-4EB7-8633-DEB8E9C08E80}" destId="{5E16D252-5AAE-4D36-B488-669C855C6D4C}" srcOrd="0" destOrd="0" presId="urn:microsoft.com/office/officeart/2005/8/layout/orgChart1"/>
    <dgm:cxn modelId="{4A7C6E71-8A49-461F-9A41-6EF6FE5680D0}" type="presParOf" srcId="{96959E06-52FB-4EB7-8633-DEB8E9C08E80}" destId="{3B696CD3-8E7E-45D2-B043-0D801BE6E656}" srcOrd="1" destOrd="0" presId="urn:microsoft.com/office/officeart/2005/8/layout/orgChart1"/>
    <dgm:cxn modelId="{98CB2966-66E7-4376-B60F-ECB6B438CE9C}" type="presParOf" srcId="{FB3B3AE2-E631-4B55-AE3B-1193C91B1425}" destId="{FC6DE28C-7092-411F-9D2E-E3674B0D03B3}" srcOrd="1" destOrd="0" presId="urn:microsoft.com/office/officeart/2005/8/layout/orgChart1"/>
    <dgm:cxn modelId="{111EF1E4-5B8C-466A-859A-36DFFE7598D2}" type="presParOf" srcId="{FB3B3AE2-E631-4B55-AE3B-1193C91B1425}" destId="{458916AE-E091-478B-81A7-C1C893C656D2}" srcOrd="2" destOrd="0" presId="urn:microsoft.com/office/officeart/2005/8/layout/orgChart1"/>
    <dgm:cxn modelId="{1144BFAB-9EEE-4593-848C-DD47F72D4A7D}" type="presParOf" srcId="{85CD9480-FC63-489C-A7D8-7659683B58FC}" destId="{9CE0E69E-8A8B-4FEA-A2E1-F56F43976DC9}" srcOrd="2" destOrd="0" presId="urn:microsoft.com/office/officeart/2005/8/layout/orgChart1"/>
    <dgm:cxn modelId="{C55A81A9-885C-4FB8-B745-8BDD7C54EB57}" type="presParOf" srcId="{052C445A-CFBA-46CF-B5B1-253A4039E366}" destId="{D9551913-295C-48C6-9790-791354B8B6D6}" srcOrd="2" destOrd="0" presId="urn:microsoft.com/office/officeart/2005/8/layout/orgChart1"/>
    <dgm:cxn modelId="{A6BD68E7-EBAA-4568-B731-2BF5B99745C8}" type="presParOf" srcId="{052C445A-CFBA-46CF-B5B1-253A4039E366}" destId="{AA261B9E-7533-4A42-B6EB-5F158881EC07}" srcOrd="3" destOrd="0" presId="urn:microsoft.com/office/officeart/2005/8/layout/orgChart1"/>
    <dgm:cxn modelId="{7890AA92-8D87-49C5-960A-BCA1FEBD41B7}" type="presParOf" srcId="{AA261B9E-7533-4A42-B6EB-5F158881EC07}" destId="{F394A42E-1870-4123-84A8-19B3F9FF7DF4}" srcOrd="0" destOrd="0" presId="urn:microsoft.com/office/officeart/2005/8/layout/orgChart1"/>
    <dgm:cxn modelId="{4DF2638D-63BC-4FB9-ABC3-2F8EF4D5CD79}" type="presParOf" srcId="{F394A42E-1870-4123-84A8-19B3F9FF7DF4}" destId="{6E97755A-9EF7-4F89-88FB-F134982164C4}" srcOrd="0" destOrd="0" presId="urn:microsoft.com/office/officeart/2005/8/layout/orgChart1"/>
    <dgm:cxn modelId="{07ACE66A-3063-487F-9C7D-AD4143049D7B}" type="presParOf" srcId="{F394A42E-1870-4123-84A8-19B3F9FF7DF4}" destId="{C5A5FEEC-57D2-4D2C-A54A-83EF723EB291}" srcOrd="1" destOrd="0" presId="urn:microsoft.com/office/officeart/2005/8/layout/orgChart1"/>
    <dgm:cxn modelId="{F4EE86FE-E985-4FFA-BE3E-9EECACDC51FA}" type="presParOf" srcId="{AA261B9E-7533-4A42-B6EB-5F158881EC07}" destId="{94418E3E-A417-484A-9CA7-2E8E6E27278F}" srcOrd="1" destOrd="0" presId="urn:microsoft.com/office/officeart/2005/8/layout/orgChart1"/>
    <dgm:cxn modelId="{BDB738FA-7A4E-4AEE-A9B7-C4CB69F116E5}" type="presParOf" srcId="{94418E3E-A417-484A-9CA7-2E8E6E27278F}" destId="{D54224EF-8985-46B2-A471-B8C1B5E03ADC}" srcOrd="0" destOrd="0" presId="urn:microsoft.com/office/officeart/2005/8/layout/orgChart1"/>
    <dgm:cxn modelId="{2ED1460E-7682-4339-97BE-973DAEB87310}" type="presParOf" srcId="{94418E3E-A417-484A-9CA7-2E8E6E27278F}" destId="{BA2B37D5-F534-4AD8-BD57-87ECE4465E01}" srcOrd="1" destOrd="0" presId="urn:microsoft.com/office/officeart/2005/8/layout/orgChart1"/>
    <dgm:cxn modelId="{66341C3B-D16F-4A85-90FF-388669DD8674}" type="presParOf" srcId="{BA2B37D5-F534-4AD8-BD57-87ECE4465E01}" destId="{DF2E4283-F21A-4AAA-BBEE-1C58A76E0D32}" srcOrd="0" destOrd="0" presId="urn:microsoft.com/office/officeart/2005/8/layout/orgChart1"/>
    <dgm:cxn modelId="{A37304A4-EAB3-4607-9ED2-0CBBDFB44B7C}" type="presParOf" srcId="{DF2E4283-F21A-4AAA-BBEE-1C58A76E0D32}" destId="{2E664954-59F9-4650-B43B-5F75499072E3}" srcOrd="0" destOrd="0" presId="urn:microsoft.com/office/officeart/2005/8/layout/orgChart1"/>
    <dgm:cxn modelId="{4FBD5F21-F206-4D66-A61E-139872F884A8}" type="presParOf" srcId="{DF2E4283-F21A-4AAA-BBEE-1C58A76E0D32}" destId="{57276538-3DF5-4BB5-BD3B-88735DF174B2}" srcOrd="1" destOrd="0" presId="urn:microsoft.com/office/officeart/2005/8/layout/orgChart1"/>
    <dgm:cxn modelId="{334642DF-70B5-4F21-B78E-40C90216D68F}" type="presParOf" srcId="{BA2B37D5-F534-4AD8-BD57-87ECE4465E01}" destId="{2D7E2C9F-6F4D-4DA0-B929-491EE931C562}" srcOrd="1" destOrd="0" presId="urn:microsoft.com/office/officeart/2005/8/layout/orgChart1"/>
    <dgm:cxn modelId="{DD087EF3-CD52-47B5-A0F7-2C9D0285E34C}" type="presParOf" srcId="{BA2B37D5-F534-4AD8-BD57-87ECE4465E01}" destId="{81E519AB-B891-43C8-8B9D-0459B34D799C}" srcOrd="2" destOrd="0" presId="urn:microsoft.com/office/officeart/2005/8/layout/orgChart1"/>
    <dgm:cxn modelId="{63C44CD7-2886-43A3-B039-5AACB1BE125F}" type="presParOf" srcId="{94418E3E-A417-484A-9CA7-2E8E6E27278F}" destId="{92DE26BC-8C62-4D19-B7F1-F8AF8958F3C7}" srcOrd="2" destOrd="0" presId="urn:microsoft.com/office/officeart/2005/8/layout/orgChart1"/>
    <dgm:cxn modelId="{B25F13BB-8451-4F3C-9C38-5578C0286A2C}" type="presParOf" srcId="{94418E3E-A417-484A-9CA7-2E8E6E27278F}" destId="{65387853-8530-47F1-A33C-1339C07C78B2}" srcOrd="3" destOrd="0" presId="urn:microsoft.com/office/officeart/2005/8/layout/orgChart1"/>
    <dgm:cxn modelId="{BD051550-9182-44CA-8148-A9DE83FD79AA}" type="presParOf" srcId="{65387853-8530-47F1-A33C-1339C07C78B2}" destId="{1E0CA878-3F3D-4751-8261-D643FD674EFD}" srcOrd="0" destOrd="0" presId="urn:microsoft.com/office/officeart/2005/8/layout/orgChart1"/>
    <dgm:cxn modelId="{FB5C5035-01E3-47DE-ADA0-E927C1A6AA0B}" type="presParOf" srcId="{1E0CA878-3F3D-4751-8261-D643FD674EFD}" destId="{A0EF2AC5-C953-4E17-9D99-2FEEAFA64631}" srcOrd="0" destOrd="0" presId="urn:microsoft.com/office/officeart/2005/8/layout/orgChart1"/>
    <dgm:cxn modelId="{7D1852B6-1826-4B69-A51A-4C065B55A9CD}" type="presParOf" srcId="{1E0CA878-3F3D-4751-8261-D643FD674EFD}" destId="{36D2D85D-1264-4A89-81C5-14940C3DBFC7}" srcOrd="1" destOrd="0" presId="urn:microsoft.com/office/officeart/2005/8/layout/orgChart1"/>
    <dgm:cxn modelId="{32ED3E16-ED09-47C7-9264-5AE90136DE20}" type="presParOf" srcId="{65387853-8530-47F1-A33C-1339C07C78B2}" destId="{AC4DB0E6-8164-4E05-8430-C56084B99155}" srcOrd="1" destOrd="0" presId="urn:microsoft.com/office/officeart/2005/8/layout/orgChart1"/>
    <dgm:cxn modelId="{FCA90BAE-FD99-4D21-92A1-8FEDCE5CC107}" type="presParOf" srcId="{65387853-8530-47F1-A33C-1339C07C78B2}" destId="{8B88E299-EB3E-4F66-A1A2-A87BF26C1FFA}" srcOrd="2" destOrd="0" presId="urn:microsoft.com/office/officeart/2005/8/layout/orgChart1"/>
    <dgm:cxn modelId="{0732F258-0B57-43B2-A026-FEFC8932CFAC}" type="presParOf" srcId="{94418E3E-A417-484A-9CA7-2E8E6E27278F}" destId="{82A96365-DB22-432A-9F66-8C595637A2B1}" srcOrd="4" destOrd="0" presId="urn:microsoft.com/office/officeart/2005/8/layout/orgChart1"/>
    <dgm:cxn modelId="{F5D76F7C-CC26-42A6-9505-2CD0905609BB}" type="presParOf" srcId="{94418E3E-A417-484A-9CA7-2E8E6E27278F}" destId="{74D2702A-67DC-4EB4-B4CA-F265DF04AB59}" srcOrd="5" destOrd="0" presId="urn:microsoft.com/office/officeart/2005/8/layout/orgChart1"/>
    <dgm:cxn modelId="{5D482B52-73EA-4865-8550-ABAE4B69C7CF}" type="presParOf" srcId="{74D2702A-67DC-4EB4-B4CA-F265DF04AB59}" destId="{9D3D143A-0809-49B6-94E8-CA80C9D8F7B3}" srcOrd="0" destOrd="0" presId="urn:microsoft.com/office/officeart/2005/8/layout/orgChart1"/>
    <dgm:cxn modelId="{C658AD48-4227-4A47-8462-49A5330E3407}" type="presParOf" srcId="{9D3D143A-0809-49B6-94E8-CA80C9D8F7B3}" destId="{5037A621-A5A7-4865-B4FA-38F7AA6E6D64}" srcOrd="0" destOrd="0" presId="urn:microsoft.com/office/officeart/2005/8/layout/orgChart1"/>
    <dgm:cxn modelId="{D86A8A79-58C7-44FB-B2F2-BB93CE93B595}" type="presParOf" srcId="{9D3D143A-0809-49B6-94E8-CA80C9D8F7B3}" destId="{5BC04639-6FD6-44CD-946C-38A4D2CC37C0}" srcOrd="1" destOrd="0" presId="urn:microsoft.com/office/officeart/2005/8/layout/orgChart1"/>
    <dgm:cxn modelId="{0F920897-D097-4EB6-BC09-9612D38B649A}" type="presParOf" srcId="{74D2702A-67DC-4EB4-B4CA-F265DF04AB59}" destId="{F74AD202-98E6-40D7-86A2-756E5679C040}" srcOrd="1" destOrd="0" presId="urn:microsoft.com/office/officeart/2005/8/layout/orgChart1"/>
    <dgm:cxn modelId="{A175B0AF-94E1-4C5B-8FC8-519841DF9DBB}" type="presParOf" srcId="{74D2702A-67DC-4EB4-B4CA-F265DF04AB59}" destId="{15BD09FD-80A6-4A74-88E1-394C9A51DAEE}" srcOrd="2" destOrd="0" presId="urn:microsoft.com/office/officeart/2005/8/layout/orgChart1"/>
    <dgm:cxn modelId="{2FCD780E-0BBC-4A88-A88A-336DE73A0D26}" type="presParOf" srcId="{AA261B9E-7533-4A42-B6EB-5F158881EC07}" destId="{78CE4E1A-95F3-466E-BC3D-F53BBF34D88A}" srcOrd="2" destOrd="0" presId="urn:microsoft.com/office/officeart/2005/8/layout/orgChart1"/>
    <dgm:cxn modelId="{73928AB1-9906-4FE0-8B53-941F555B1FF9}" type="presParOf" srcId="{052C445A-CFBA-46CF-B5B1-253A4039E366}" destId="{CB5A67CE-BF14-4990-A2CF-351B6DEA2CCC}" srcOrd="4" destOrd="0" presId="urn:microsoft.com/office/officeart/2005/8/layout/orgChart1"/>
    <dgm:cxn modelId="{095D6A71-682D-44BC-AF39-5967B0955074}" type="presParOf" srcId="{052C445A-CFBA-46CF-B5B1-253A4039E366}" destId="{D73A84A1-A53C-4A81-8D69-D1A0D761A9B2}" srcOrd="5" destOrd="0" presId="urn:microsoft.com/office/officeart/2005/8/layout/orgChart1"/>
    <dgm:cxn modelId="{8B43D5F4-4975-4A11-9D71-6F11D235C506}" type="presParOf" srcId="{D73A84A1-A53C-4A81-8D69-D1A0D761A9B2}" destId="{22056AC9-0371-4707-94EC-9C2C9C2D8703}" srcOrd="0" destOrd="0" presId="urn:microsoft.com/office/officeart/2005/8/layout/orgChart1"/>
    <dgm:cxn modelId="{7194FEC9-C374-4456-9B3F-6CB963D959BB}" type="presParOf" srcId="{22056AC9-0371-4707-94EC-9C2C9C2D8703}" destId="{7B08A14F-E20D-41A3-8A91-A654FAB5F6D6}" srcOrd="0" destOrd="0" presId="urn:microsoft.com/office/officeart/2005/8/layout/orgChart1"/>
    <dgm:cxn modelId="{E5607083-931C-4740-BBFB-462F60CF8171}" type="presParOf" srcId="{22056AC9-0371-4707-94EC-9C2C9C2D8703}" destId="{1FDF5970-25AB-41FE-B344-D42C12C776C6}" srcOrd="1" destOrd="0" presId="urn:microsoft.com/office/officeart/2005/8/layout/orgChart1"/>
    <dgm:cxn modelId="{71F068F1-D3A8-491A-B185-D52EE922C76A}" type="presParOf" srcId="{D73A84A1-A53C-4A81-8D69-D1A0D761A9B2}" destId="{5FC71B7E-3A44-4FFD-9335-48CD48EDEA9D}" srcOrd="1" destOrd="0" presId="urn:microsoft.com/office/officeart/2005/8/layout/orgChart1"/>
    <dgm:cxn modelId="{9C654784-9BD6-4462-9422-8A94320499EF}" type="presParOf" srcId="{5FC71B7E-3A44-4FFD-9335-48CD48EDEA9D}" destId="{26738A9B-0B92-4891-9AE6-8AC4271884C6}" srcOrd="0" destOrd="0" presId="urn:microsoft.com/office/officeart/2005/8/layout/orgChart1"/>
    <dgm:cxn modelId="{C289299D-00D3-45A2-8AD0-8CF9139B4B78}" type="presParOf" srcId="{5FC71B7E-3A44-4FFD-9335-48CD48EDEA9D}" destId="{0EBDB33A-C843-468A-96F7-80C89E778BC2}" srcOrd="1" destOrd="0" presId="urn:microsoft.com/office/officeart/2005/8/layout/orgChart1"/>
    <dgm:cxn modelId="{C81FB70A-605E-4E00-AF88-06B9490B14D9}" type="presParOf" srcId="{0EBDB33A-C843-468A-96F7-80C89E778BC2}" destId="{7BA4CEFC-D4AC-4A5B-94B9-50AD0931A41C}" srcOrd="0" destOrd="0" presId="urn:microsoft.com/office/officeart/2005/8/layout/orgChart1"/>
    <dgm:cxn modelId="{0652D08C-5B48-4420-A8B4-8E1830574ACE}" type="presParOf" srcId="{7BA4CEFC-D4AC-4A5B-94B9-50AD0931A41C}" destId="{940D4632-9053-4CFB-9A9A-77F2BCA1318C}" srcOrd="0" destOrd="0" presId="urn:microsoft.com/office/officeart/2005/8/layout/orgChart1"/>
    <dgm:cxn modelId="{5499D604-4B71-4FDB-B512-609CA780BDF0}" type="presParOf" srcId="{7BA4CEFC-D4AC-4A5B-94B9-50AD0931A41C}" destId="{5FF2AFC9-58A9-41D6-B565-004F1B1EAA23}" srcOrd="1" destOrd="0" presId="urn:microsoft.com/office/officeart/2005/8/layout/orgChart1"/>
    <dgm:cxn modelId="{34897634-8C6B-4A6D-A2D4-5F393BDD879E}" type="presParOf" srcId="{0EBDB33A-C843-468A-96F7-80C89E778BC2}" destId="{E943CA5E-3B46-46AE-BB8A-1103E9C95889}" srcOrd="1" destOrd="0" presId="urn:microsoft.com/office/officeart/2005/8/layout/orgChart1"/>
    <dgm:cxn modelId="{A2DB2BBC-D066-40B1-9998-81B21162600F}" type="presParOf" srcId="{0EBDB33A-C843-468A-96F7-80C89E778BC2}" destId="{A6DD7194-194B-48F9-A8A4-4F9477318A17}" srcOrd="2" destOrd="0" presId="urn:microsoft.com/office/officeart/2005/8/layout/orgChart1"/>
    <dgm:cxn modelId="{3FA6F96A-820A-4224-807A-582D62AB49D2}" type="presParOf" srcId="{5FC71B7E-3A44-4FFD-9335-48CD48EDEA9D}" destId="{97617F25-98A8-4EA0-B7CD-0E4D41AF4979}" srcOrd="2" destOrd="0" presId="urn:microsoft.com/office/officeart/2005/8/layout/orgChart1"/>
    <dgm:cxn modelId="{5F795BB3-4EE0-474A-9E62-97685F319D76}" type="presParOf" srcId="{5FC71B7E-3A44-4FFD-9335-48CD48EDEA9D}" destId="{0663EC83-6AA8-4753-9CAD-6E6F70E5E335}" srcOrd="3" destOrd="0" presId="urn:microsoft.com/office/officeart/2005/8/layout/orgChart1"/>
    <dgm:cxn modelId="{D52FBE94-C378-447C-862C-18B43028E5C2}" type="presParOf" srcId="{0663EC83-6AA8-4753-9CAD-6E6F70E5E335}" destId="{A065EC4F-A8D1-46E4-88B5-29920D009588}" srcOrd="0" destOrd="0" presId="urn:microsoft.com/office/officeart/2005/8/layout/orgChart1"/>
    <dgm:cxn modelId="{CE8DD3CF-1B56-455E-BEBB-0080AC0F4A11}" type="presParOf" srcId="{A065EC4F-A8D1-46E4-88B5-29920D009588}" destId="{D7E54772-17F8-44A0-B293-D8F5A80452B3}" srcOrd="0" destOrd="0" presId="urn:microsoft.com/office/officeart/2005/8/layout/orgChart1"/>
    <dgm:cxn modelId="{4EB87122-2175-4E30-9685-1FE8F137FAFA}" type="presParOf" srcId="{A065EC4F-A8D1-46E4-88B5-29920D009588}" destId="{F4968DB4-FF52-4583-9599-5F4992FC16E6}" srcOrd="1" destOrd="0" presId="urn:microsoft.com/office/officeart/2005/8/layout/orgChart1"/>
    <dgm:cxn modelId="{AA225F62-BD8F-4E64-B686-8EA7142EF8A9}" type="presParOf" srcId="{0663EC83-6AA8-4753-9CAD-6E6F70E5E335}" destId="{CC7323F8-5622-4F34-876C-6BF1337675D7}" srcOrd="1" destOrd="0" presId="urn:microsoft.com/office/officeart/2005/8/layout/orgChart1"/>
    <dgm:cxn modelId="{46D9768B-50F0-4C2A-B31F-373FDD888D86}" type="presParOf" srcId="{0663EC83-6AA8-4753-9CAD-6E6F70E5E335}" destId="{61EECF1A-CC07-44EB-85D5-12E2EB34B9A8}" srcOrd="2" destOrd="0" presId="urn:microsoft.com/office/officeart/2005/8/layout/orgChart1"/>
    <dgm:cxn modelId="{0949C9DD-0253-4F97-B33D-00DA4B3F86B3}" type="presParOf" srcId="{D73A84A1-A53C-4A81-8D69-D1A0D761A9B2}" destId="{DFE58151-624D-4C5C-9ED4-F36BF00F4552}" srcOrd="2" destOrd="0" presId="urn:microsoft.com/office/officeart/2005/8/layout/orgChart1"/>
    <dgm:cxn modelId="{E8BE067C-1FE3-4AED-9442-4C8DFF5C25F8}" type="presParOf" srcId="{052C445A-CFBA-46CF-B5B1-253A4039E366}" destId="{4921A7D4-7DAB-4A5B-BF6D-3255D50A0431}" srcOrd="6" destOrd="0" presId="urn:microsoft.com/office/officeart/2005/8/layout/orgChart1"/>
    <dgm:cxn modelId="{432C4134-65B7-4F35-8A03-07AB891EE518}" type="presParOf" srcId="{052C445A-CFBA-46CF-B5B1-253A4039E366}" destId="{5F538C2C-8D0E-4919-98CE-CEB78746DECC}" srcOrd="7" destOrd="0" presId="urn:microsoft.com/office/officeart/2005/8/layout/orgChart1"/>
    <dgm:cxn modelId="{AFCA5FD2-FFB0-4089-9894-7261F3DD547E}" type="presParOf" srcId="{5F538C2C-8D0E-4919-98CE-CEB78746DECC}" destId="{A40D0222-A43F-4917-9BDA-045A5984DA3A}" srcOrd="0" destOrd="0" presId="urn:microsoft.com/office/officeart/2005/8/layout/orgChart1"/>
    <dgm:cxn modelId="{582FB555-D034-45DE-AA9B-526CDFC37316}" type="presParOf" srcId="{A40D0222-A43F-4917-9BDA-045A5984DA3A}" destId="{FE2328FC-D112-416B-B268-0571CB201E98}" srcOrd="0" destOrd="0" presId="urn:microsoft.com/office/officeart/2005/8/layout/orgChart1"/>
    <dgm:cxn modelId="{506981D7-614E-422D-998A-83A014068E46}" type="presParOf" srcId="{A40D0222-A43F-4917-9BDA-045A5984DA3A}" destId="{3CD211B4-D223-4DDE-9EB0-F7A199556F2C}" srcOrd="1" destOrd="0" presId="urn:microsoft.com/office/officeart/2005/8/layout/orgChart1"/>
    <dgm:cxn modelId="{AE08FCBD-D8B6-4069-BD44-92DFC26C1DEF}" type="presParOf" srcId="{5F538C2C-8D0E-4919-98CE-CEB78746DECC}" destId="{81F56847-5324-4404-BF4B-BF63A08FBCF4}" srcOrd="1" destOrd="0" presId="urn:microsoft.com/office/officeart/2005/8/layout/orgChart1"/>
    <dgm:cxn modelId="{C6A4C0EA-DE97-4F5A-B7E2-EB8CF57BEAF7}" type="presParOf" srcId="{81F56847-5324-4404-BF4B-BF63A08FBCF4}" destId="{A21C3830-C181-4BD5-9B3E-D33115349081}" srcOrd="0" destOrd="0" presId="urn:microsoft.com/office/officeart/2005/8/layout/orgChart1"/>
    <dgm:cxn modelId="{18929CA0-B329-4E10-BA79-D8804740DCB1}" type="presParOf" srcId="{81F56847-5324-4404-BF4B-BF63A08FBCF4}" destId="{F3857D2E-20B1-446C-9CEA-9ECF5DF2FCC9}" srcOrd="1" destOrd="0" presId="urn:microsoft.com/office/officeart/2005/8/layout/orgChart1"/>
    <dgm:cxn modelId="{7CD75AE2-6EEF-478A-A935-796201A7EA33}" type="presParOf" srcId="{F3857D2E-20B1-446C-9CEA-9ECF5DF2FCC9}" destId="{7BD268DE-7817-4095-A5A0-1EB15AEE7603}" srcOrd="0" destOrd="0" presId="urn:microsoft.com/office/officeart/2005/8/layout/orgChart1"/>
    <dgm:cxn modelId="{FFA920ED-7F84-4E35-B0F2-964A8F6A9FAA}" type="presParOf" srcId="{7BD268DE-7817-4095-A5A0-1EB15AEE7603}" destId="{3E388F50-ED5E-4C2A-B2A6-5F1DDA95C632}" srcOrd="0" destOrd="0" presId="urn:microsoft.com/office/officeart/2005/8/layout/orgChart1"/>
    <dgm:cxn modelId="{6CBAF05D-116F-47F5-8F93-99D461279CA1}" type="presParOf" srcId="{7BD268DE-7817-4095-A5A0-1EB15AEE7603}" destId="{0EDF95B1-A1B1-47EA-A2A4-CD6952D14B62}" srcOrd="1" destOrd="0" presId="urn:microsoft.com/office/officeart/2005/8/layout/orgChart1"/>
    <dgm:cxn modelId="{76F88587-9C19-472C-89E9-DAB9ABFDF0E1}" type="presParOf" srcId="{F3857D2E-20B1-446C-9CEA-9ECF5DF2FCC9}" destId="{330A3D38-224C-4011-8115-C122E82CCD15}" srcOrd="1" destOrd="0" presId="urn:microsoft.com/office/officeart/2005/8/layout/orgChart1"/>
    <dgm:cxn modelId="{96259AB9-8095-48D6-9AF6-E02FBCE76AFD}" type="presParOf" srcId="{F3857D2E-20B1-446C-9CEA-9ECF5DF2FCC9}" destId="{069A2D47-522E-459C-B92D-C402F5EC796D}" srcOrd="2" destOrd="0" presId="urn:microsoft.com/office/officeart/2005/8/layout/orgChart1"/>
    <dgm:cxn modelId="{3E4F91AF-E072-4F7B-A027-D938547CB84F}" type="presParOf" srcId="{81F56847-5324-4404-BF4B-BF63A08FBCF4}" destId="{D8B2028F-D0F4-48B6-A165-178907706921}" srcOrd="2" destOrd="0" presId="urn:microsoft.com/office/officeart/2005/8/layout/orgChart1"/>
    <dgm:cxn modelId="{7ECD9E53-A336-4FB5-A1A4-BDB8945689B3}" type="presParOf" srcId="{81F56847-5324-4404-BF4B-BF63A08FBCF4}" destId="{C34F0486-11C6-43FF-98DF-2733DDEB8382}" srcOrd="3" destOrd="0" presId="urn:microsoft.com/office/officeart/2005/8/layout/orgChart1"/>
    <dgm:cxn modelId="{AFEF960E-F752-4789-8762-D0077988FE0C}" type="presParOf" srcId="{C34F0486-11C6-43FF-98DF-2733DDEB8382}" destId="{B56DC9A0-ECF1-4831-9F97-CB5F9B52B491}" srcOrd="0" destOrd="0" presId="urn:microsoft.com/office/officeart/2005/8/layout/orgChart1"/>
    <dgm:cxn modelId="{5ED4DB2F-035F-4730-BDDD-593473F6E725}" type="presParOf" srcId="{B56DC9A0-ECF1-4831-9F97-CB5F9B52B491}" destId="{52B9448B-F5A4-486C-8803-78565DEA128C}" srcOrd="0" destOrd="0" presId="urn:microsoft.com/office/officeart/2005/8/layout/orgChart1"/>
    <dgm:cxn modelId="{21A9084C-FC15-4BA8-9AD7-A4B7C1C1EDDC}" type="presParOf" srcId="{B56DC9A0-ECF1-4831-9F97-CB5F9B52B491}" destId="{8AC45793-0782-4E2B-97B7-38D4924DD7FC}" srcOrd="1" destOrd="0" presId="urn:microsoft.com/office/officeart/2005/8/layout/orgChart1"/>
    <dgm:cxn modelId="{4B972D2C-F022-4F9D-907D-8EC75926CE3B}" type="presParOf" srcId="{C34F0486-11C6-43FF-98DF-2733DDEB8382}" destId="{6FA2B0FF-C1B5-465E-99DA-1A3D43D33209}" srcOrd="1" destOrd="0" presId="urn:microsoft.com/office/officeart/2005/8/layout/orgChart1"/>
    <dgm:cxn modelId="{04B63979-09D2-4184-ACE5-E9E58048A7B1}" type="presParOf" srcId="{C34F0486-11C6-43FF-98DF-2733DDEB8382}" destId="{8B493A41-50DF-4958-951C-934A77102257}" srcOrd="2" destOrd="0" presId="urn:microsoft.com/office/officeart/2005/8/layout/orgChart1"/>
    <dgm:cxn modelId="{9797BABD-4991-460B-B52D-CDBBB81B354A}" type="presParOf" srcId="{5F538C2C-8D0E-4919-98CE-CEB78746DECC}" destId="{6277620F-D860-4A52-ABD2-6CED7F3429B1}" srcOrd="2" destOrd="0" presId="urn:microsoft.com/office/officeart/2005/8/layout/orgChart1"/>
    <dgm:cxn modelId="{470FA474-1D97-46D8-A0BA-B4BFDB1F4B78}" type="presParOf" srcId="{052C445A-CFBA-46CF-B5B1-253A4039E366}" destId="{6B0B2D87-0711-4C83-988D-26D01334F195}" srcOrd="8" destOrd="0" presId="urn:microsoft.com/office/officeart/2005/8/layout/orgChart1"/>
    <dgm:cxn modelId="{C658C791-F52B-4013-9503-0FB99781ED87}" type="presParOf" srcId="{052C445A-CFBA-46CF-B5B1-253A4039E366}" destId="{D9692EFD-CFD2-4489-B4F8-B3E4247246E2}" srcOrd="9" destOrd="0" presId="urn:microsoft.com/office/officeart/2005/8/layout/orgChart1"/>
    <dgm:cxn modelId="{9FB5489B-12D4-4B93-BB3F-C165369D1636}" type="presParOf" srcId="{D9692EFD-CFD2-4489-B4F8-B3E4247246E2}" destId="{08E4CA61-0B38-4F1B-B020-435CA20DA1FF}" srcOrd="0" destOrd="0" presId="urn:microsoft.com/office/officeart/2005/8/layout/orgChart1"/>
    <dgm:cxn modelId="{4A5D58C1-99A7-4E0A-9571-EF439BB1F075}" type="presParOf" srcId="{08E4CA61-0B38-4F1B-B020-435CA20DA1FF}" destId="{36DBA998-B41F-4B34-BF86-DD96A3DAE66E}" srcOrd="0" destOrd="0" presId="urn:microsoft.com/office/officeart/2005/8/layout/orgChart1"/>
    <dgm:cxn modelId="{DD1799E1-87F2-47BD-A816-533E2CF2936D}" type="presParOf" srcId="{08E4CA61-0B38-4F1B-B020-435CA20DA1FF}" destId="{0D12F8F9-DD35-48C8-8534-04C578D0CFEB}" srcOrd="1" destOrd="0" presId="urn:microsoft.com/office/officeart/2005/8/layout/orgChart1"/>
    <dgm:cxn modelId="{AB9A1529-F225-490D-9723-9A2E70805292}" type="presParOf" srcId="{D9692EFD-CFD2-4489-B4F8-B3E4247246E2}" destId="{D098EB65-43D6-4F8B-99BA-C5ABCBC7545C}" srcOrd="1" destOrd="0" presId="urn:microsoft.com/office/officeart/2005/8/layout/orgChart1"/>
    <dgm:cxn modelId="{BB68C6D7-6D76-41AE-9B03-EEEC8D9ABE16}" type="presParOf" srcId="{D098EB65-43D6-4F8B-99BA-C5ABCBC7545C}" destId="{37D46373-26F2-4980-9EAF-0E2CB6FEF3BD}" srcOrd="0" destOrd="0" presId="urn:microsoft.com/office/officeart/2005/8/layout/orgChart1"/>
    <dgm:cxn modelId="{50FC2E87-D7DA-4B91-A9BE-16AB238FFF4B}" type="presParOf" srcId="{D098EB65-43D6-4F8B-99BA-C5ABCBC7545C}" destId="{3E6BF4DB-799E-46A3-8954-7ECE0EB3B809}" srcOrd="1" destOrd="0" presId="urn:microsoft.com/office/officeart/2005/8/layout/orgChart1"/>
    <dgm:cxn modelId="{364A85D6-FF13-4234-9B9C-FB1BF4624FE3}" type="presParOf" srcId="{3E6BF4DB-799E-46A3-8954-7ECE0EB3B809}" destId="{82E19AD3-F18C-4CC3-BDFF-D2A6105ABD4A}" srcOrd="0" destOrd="0" presId="urn:microsoft.com/office/officeart/2005/8/layout/orgChart1"/>
    <dgm:cxn modelId="{FEB87B0C-961D-40E4-AD01-588E5C6D5722}" type="presParOf" srcId="{82E19AD3-F18C-4CC3-BDFF-D2A6105ABD4A}" destId="{D7C399BA-E5B9-45CD-AADB-8A48C76FAFEF}" srcOrd="0" destOrd="0" presId="urn:microsoft.com/office/officeart/2005/8/layout/orgChart1"/>
    <dgm:cxn modelId="{C7E1AA64-4D62-459D-A1D2-FBE8D0361414}" type="presParOf" srcId="{82E19AD3-F18C-4CC3-BDFF-D2A6105ABD4A}" destId="{2BC69BBB-248D-4706-B073-8E88A86FE5C6}" srcOrd="1" destOrd="0" presId="urn:microsoft.com/office/officeart/2005/8/layout/orgChart1"/>
    <dgm:cxn modelId="{AD698BE8-C133-40A7-9DC1-54D2189C0785}" type="presParOf" srcId="{3E6BF4DB-799E-46A3-8954-7ECE0EB3B809}" destId="{8614488B-072E-495A-BAB2-360CEAE0893D}" srcOrd="1" destOrd="0" presId="urn:microsoft.com/office/officeart/2005/8/layout/orgChart1"/>
    <dgm:cxn modelId="{F8603692-0D26-4D3F-A712-7DCD2947B74D}" type="presParOf" srcId="{3E6BF4DB-799E-46A3-8954-7ECE0EB3B809}" destId="{24454E03-30D1-4B90-9665-A800EC9D727F}" srcOrd="2" destOrd="0" presId="urn:microsoft.com/office/officeart/2005/8/layout/orgChart1"/>
    <dgm:cxn modelId="{2BB13C23-80B2-4529-A8CE-A4EA091412DE}" type="presParOf" srcId="{D098EB65-43D6-4F8B-99BA-C5ABCBC7545C}" destId="{EB9DFB18-ECB8-48DB-A640-442E953515C4}" srcOrd="2" destOrd="0" presId="urn:microsoft.com/office/officeart/2005/8/layout/orgChart1"/>
    <dgm:cxn modelId="{9489B692-9FC8-49E7-BB00-F9828117EF66}" type="presParOf" srcId="{D098EB65-43D6-4F8B-99BA-C5ABCBC7545C}" destId="{3CBED6F2-07B2-49FB-A9DB-5BF45DF2C93E}" srcOrd="3" destOrd="0" presId="urn:microsoft.com/office/officeart/2005/8/layout/orgChart1"/>
    <dgm:cxn modelId="{1B06153B-29C2-4ECE-9D01-FCA904A1171A}" type="presParOf" srcId="{3CBED6F2-07B2-49FB-A9DB-5BF45DF2C93E}" destId="{E661AC53-E27E-45CC-BA1C-5616465D150A}" srcOrd="0" destOrd="0" presId="urn:microsoft.com/office/officeart/2005/8/layout/orgChart1"/>
    <dgm:cxn modelId="{12BDA9E3-B57D-44B5-836A-24135A2D390D}" type="presParOf" srcId="{E661AC53-E27E-45CC-BA1C-5616465D150A}" destId="{EB97CDC5-925C-4869-8CDD-C4DEF538CFE6}" srcOrd="0" destOrd="0" presId="urn:microsoft.com/office/officeart/2005/8/layout/orgChart1"/>
    <dgm:cxn modelId="{672EC882-32F7-4027-AB3E-393C81BCF2A3}" type="presParOf" srcId="{E661AC53-E27E-45CC-BA1C-5616465D150A}" destId="{492E370C-9D6D-4792-9B2F-E68B493F3B76}" srcOrd="1" destOrd="0" presId="urn:microsoft.com/office/officeart/2005/8/layout/orgChart1"/>
    <dgm:cxn modelId="{7121A699-EAF7-4884-834F-389BA9C55996}" type="presParOf" srcId="{3CBED6F2-07B2-49FB-A9DB-5BF45DF2C93E}" destId="{4CD89E99-FD02-4658-BC79-FB72BF3B8F3A}" srcOrd="1" destOrd="0" presId="urn:microsoft.com/office/officeart/2005/8/layout/orgChart1"/>
    <dgm:cxn modelId="{B44895A3-F256-4810-B74E-0EFF1C7663D6}" type="presParOf" srcId="{3CBED6F2-07B2-49FB-A9DB-5BF45DF2C93E}" destId="{4D97592A-5A38-4821-BD5B-DA6B3C86CB7B}" srcOrd="2" destOrd="0" presId="urn:microsoft.com/office/officeart/2005/8/layout/orgChart1"/>
    <dgm:cxn modelId="{AA83D205-8BC1-4A91-982A-1069E35C219E}" type="presParOf" srcId="{D098EB65-43D6-4F8B-99BA-C5ABCBC7545C}" destId="{C2E0017E-6CCC-4B7A-B1D5-54904DC95A69}" srcOrd="4" destOrd="0" presId="urn:microsoft.com/office/officeart/2005/8/layout/orgChart1"/>
    <dgm:cxn modelId="{778A3EED-4BD8-4848-B65B-DECDF6B813F2}" type="presParOf" srcId="{D098EB65-43D6-4F8B-99BA-C5ABCBC7545C}" destId="{0D1BDC8B-6922-403A-9446-E7EB49260869}" srcOrd="5" destOrd="0" presId="urn:microsoft.com/office/officeart/2005/8/layout/orgChart1"/>
    <dgm:cxn modelId="{634051E0-C6EB-4830-8506-5D79F7C1F869}" type="presParOf" srcId="{0D1BDC8B-6922-403A-9446-E7EB49260869}" destId="{11C63B0F-557A-4166-85C3-1CD8BF031170}" srcOrd="0" destOrd="0" presId="urn:microsoft.com/office/officeart/2005/8/layout/orgChart1"/>
    <dgm:cxn modelId="{57929E32-44C0-411A-86E8-BA69F9BEC983}" type="presParOf" srcId="{11C63B0F-557A-4166-85C3-1CD8BF031170}" destId="{E5293A2F-18AC-4FE0-9D61-67AAADD4A2FB}" srcOrd="0" destOrd="0" presId="urn:microsoft.com/office/officeart/2005/8/layout/orgChart1"/>
    <dgm:cxn modelId="{3E7455F6-8853-4788-840D-E0BB2635936E}" type="presParOf" srcId="{11C63B0F-557A-4166-85C3-1CD8BF031170}" destId="{3C51B5D8-B974-4A2C-A210-39AD5BD04863}" srcOrd="1" destOrd="0" presId="urn:microsoft.com/office/officeart/2005/8/layout/orgChart1"/>
    <dgm:cxn modelId="{08F9435A-266B-4DA9-8C1F-E95685A6717C}" type="presParOf" srcId="{0D1BDC8B-6922-403A-9446-E7EB49260869}" destId="{9E5D8A3C-E3DA-4129-8FE7-01C11A487B07}" srcOrd="1" destOrd="0" presId="urn:microsoft.com/office/officeart/2005/8/layout/orgChart1"/>
    <dgm:cxn modelId="{9B134AF4-252E-4858-B836-8CE1A3CE558C}" type="presParOf" srcId="{0D1BDC8B-6922-403A-9446-E7EB49260869}" destId="{88468FE5-4A06-4EE7-B72E-978AD3DEB532}" srcOrd="2" destOrd="0" presId="urn:microsoft.com/office/officeart/2005/8/layout/orgChart1"/>
    <dgm:cxn modelId="{CA15F79C-2FCF-404F-8ED8-44CAD3A5549E}" type="presParOf" srcId="{D9692EFD-CFD2-4489-B4F8-B3E4247246E2}" destId="{54ECB03F-1E74-4423-B4C9-48E2831634EA}" srcOrd="2" destOrd="0" presId="urn:microsoft.com/office/officeart/2005/8/layout/orgChart1"/>
    <dgm:cxn modelId="{ED68FA92-C2EB-4B65-A3B5-44BE80C0A8E3}" type="presParOf" srcId="{052C445A-CFBA-46CF-B5B1-253A4039E366}" destId="{4072F16F-86E2-4B62-83AB-76A1B1D619D9}" srcOrd="10" destOrd="0" presId="urn:microsoft.com/office/officeart/2005/8/layout/orgChart1"/>
    <dgm:cxn modelId="{68BA6B9C-0F4E-4BFF-96D0-60D946A04D62}" type="presParOf" srcId="{052C445A-CFBA-46CF-B5B1-253A4039E366}" destId="{D01B46A4-0638-475E-B1AA-78D721CF08AB}" srcOrd="11" destOrd="0" presId="urn:microsoft.com/office/officeart/2005/8/layout/orgChart1"/>
    <dgm:cxn modelId="{56A89BB6-FF27-41CA-96CD-39B90A45E4A8}" type="presParOf" srcId="{D01B46A4-0638-475E-B1AA-78D721CF08AB}" destId="{FE17B459-5EA1-46C0-956F-703227EF2A98}" srcOrd="0" destOrd="0" presId="urn:microsoft.com/office/officeart/2005/8/layout/orgChart1"/>
    <dgm:cxn modelId="{9BA7FAB8-416C-41E7-8A35-2E2CB835F886}" type="presParOf" srcId="{FE17B459-5EA1-46C0-956F-703227EF2A98}" destId="{E26F18F0-68A4-41FF-8091-6E1627FD241D}" srcOrd="0" destOrd="0" presId="urn:microsoft.com/office/officeart/2005/8/layout/orgChart1"/>
    <dgm:cxn modelId="{E01A3BA0-CF71-471D-A7A5-1810443CCFB4}" type="presParOf" srcId="{FE17B459-5EA1-46C0-956F-703227EF2A98}" destId="{F2FC142A-E943-4B45-A646-5B1AD13C1C62}" srcOrd="1" destOrd="0" presId="urn:microsoft.com/office/officeart/2005/8/layout/orgChart1"/>
    <dgm:cxn modelId="{C9CFE2DC-F060-4E65-A901-232FE88C31E9}" type="presParOf" srcId="{D01B46A4-0638-475E-B1AA-78D721CF08AB}" destId="{35373832-BB43-4972-87F6-67EE77C90DDA}" srcOrd="1" destOrd="0" presId="urn:microsoft.com/office/officeart/2005/8/layout/orgChart1"/>
    <dgm:cxn modelId="{F2BC8091-9F6D-473D-8B3A-A8D6A30FC4E6}" type="presParOf" srcId="{D01B46A4-0638-475E-B1AA-78D721CF08AB}" destId="{49FC5051-3FFB-4CAB-9B56-93E014B69F47}" srcOrd="2" destOrd="0" presId="urn:microsoft.com/office/officeart/2005/8/layout/orgChart1"/>
    <dgm:cxn modelId="{E82F3D1F-3885-4AF6-822A-8B5CDE332AB1}" type="presParOf" srcId="{052C445A-CFBA-46CF-B5B1-253A4039E366}" destId="{9F7C963B-0F37-4386-BFAD-649A788AFB85}" srcOrd="12" destOrd="0" presId="urn:microsoft.com/office/officeart/2005/8/layout/orgChart1"/>
    <dgm:cxn modelId="{F60CA28B-0DE3-44E3-8445-CC0CACCAF313}" type="presParOf" srcId="{052C445A-CFBA-46CF-B5B1-253A4039E366}" destId="{ED9E0919-1D69-460A-A49D-A787126C5911}" srcOrd="13" destOrd="0" presId="urn:microsoft.com/office/officeart/2005/8/layout/orgChart1"/>
    <dgm:cxn modelId="{5D5F143C-A6E1-4440-AC3C-38ADD2C07263}" type="presParOf" srcId="{ED9E0919-1D69-460A-A49D-A787126C5911}" destId="{8C539F20-ADE0-474C-927C-155F70883E34}" srcOrd="0" destOrd="0" presId="urn:microsoft.com/office/officeart/2005/8/layout/orgChart1"/>
    <dgm:cxn modelId="{87FEA0B2-950D-402F-BEBB-6D07A0B4A088}" type="presParOf" srcId="{8C539F20-ADE0-474C-927C-155F70883E34}" destId="{AF1EFDBD-9013-44E0-B417-7532073E8B05}" srcOrd="0" destOrd="0" presId="urn:microsoft.com/office/officeart/2005/8/layout/orgChart1"/>
    <dgm:cxn modelId="{2620329B-1FED-43AC-B10B-F3680FA7243F}" type="presParOf" srcId="{8C539F20-ADE0-474C-927C-155F70883E34}" destId="{E12620BA-A4CE-4E8B-98BB-987F99D5CF24}" srcOrd="1" destOrd="0" presId="urn:microsoft.com/office/officeart/2005/8/layout/orgChart1"/>
    <dgm:cxn modelId="{507CBFA6-682D-4753-A99D-49AD86673D46}" type="presParOf" srcId="{ED9E0919-1D69-460A-A49D-A787126C5911}" destId="{2FB5E0AA-1D82-4D9B-A444-85EDA2F31DB6}" srcOrd="1" destOrd="0" presId="urn:microsoft.com/office/officeart/2005/8/layout/orgChart1"/>
    <dgm:cxn modelId="{85506154-E027-4ED4-9FF3-8D6843C7A230}" type="presParOf" srcId="{ED9E0919-1D69-460A-A49D-A787126C5911}" destId="{A3B91C40-7F04-4FC7-AE66-67499573BD66}" srcOrd="2" destOrd="0" presId="urn:microsoft.com/office/officeart/2005/8/layout/orgChart1"/>
    <dgm:cxn modelId="{59979457-FE40-4658-92E1-CD055ED0C245}" type="presParOf" srcId="{9E7491B1-4745-48F2-A906-949EACF718EE}" destId="{13ADC99D-2CDD-4B8A-BD7E-54EDB36D90D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C963B-0F37-4386-BFAD-649A788AFB85}">
      <dsp:nvSpPr>
        <dsp:cNvPr id="0" name=""/>
        <dsp:cNvSpPr/>
      </dsp:nvSpPr>
      <dsp:spPr>
        <a:xfrm>
          <a:off x="3199130" y="634691"/>
          <a:ext cx="2810358" cy="162582"/>
        </a:xfrm>
        <a:custGeom>
          <a:avLst/>
          <a:gdLst/>
          <a:ahLst/>
          <a:cxnLst/>
          <a:rect l="0" t="0" r="0" b="0"/>
          <a:pathLst>
            <a:path>
              <a:moveTo>
                <a:pt x="0" y="0"/>
              </a:moveTo>
              <a:lnTo>
                <a:pt x="0" y="81291"/>
              </a:lnTo>
              <a:lnTo>
                <a:pt x="2810358" y="81291"/>
              </a:lnTo>
              <a:lnTo>
                <a:pt x="2810358"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72F16F-86E2-4B62-83AB-76A1B1D619D9}">
      <dsp:nvSpPr>
        <dsp:cNvPr id="0" name=""/>
        <dsp:cNvSpPr/>
      </dsp:nvSpPr>
      <dsp:spPr>
        <a:xfrm>
          <a:off x="3199130" y="634691"/>
          <a:ext cx="1873572" cy="162582"/>
        </a:xfrm>
        <a:custGeom>
          <a:avLst/>
          <a:gdLst/>
          <a:ahLst/>
          <a:cxnLst/>
          <a:rect l="0" t="0" r="0" b="0"/>
          <a:pathLst>
            <a:path>
              <a:moveTo>
                <a:pt x="0" y="0"/>
              </a:moveTo>
              <a:lnTo>
                <a:pt x="0" y="81291"/>
              </a:lnTo>
              <a:lnTo>
                <a:pt x="1873572" y="81291"/>
              </a:lnTo>
              <a:lnTo>
                <a:pt x="1873572" y="16258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0017E-6CCC-4B7A-B1D5-54904DC95A69}">
      <dsp:nvSpPr>
        <dsp:cNvPr id="0" name=""/>
        <dsp:cNvSpPr/>
      </dsp:nvSpPr>
      <dsp:spPr>
        <a:xfrm>
          <a:off x="3826234"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9DFB18-ECB8-48DB-A640-442E953515C4}">
      <dsp:nvSpPr>
        <dsp:cNvPr id="0" name=""/>
        <dsp:cNvSpPr/>
      </dsp:nvSpPr>
      <dsp:spPr>
        <a:xfrm>
          <a:off x="3826234"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D46373-26F2-4980-9EAF-0E2CB6FEF3BD}">
      <dsp:nvSpPr>
        <dsp:cNvPr id="0" name=""/>
        <dsp:cNvSpPr/>
      </dsp:nvSpPr>
      <dsp:spPr>
        <a:xfrm>
          <a:off x="3826234"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0B2D87-0711-4C83-988D-26D01334F195}">
      <dsp:nvSpPr>
        <dsp:cNvPr id="0" name=""/>
        <dsp:cNvSpPr/>
      </dsp:nvSpPr>
      <dsp:spPr>
        <a:xfrm>
          <a:off x="3199130" y="634691"/>
          <a:ext cx="936786" cy="162582"/>
        </a:xfrm>
        <a:custGeom>
          <a:avLst/>
          <a:gdLst/>
          <a:ahLst/>
          <a:cxnLst/>
          <a:rect l="0" t="0" r="0" b="0"/>
          <a:pathLst>
            <a:path>
              <a:moveTo>
                <a:pt x="0" y="0"/>
              </a:moveTo>
              <a:lnTo>
                <a:pt x="0" y="81291"/>
              </a:lnTo>
              <a:lnTo>
                <a:pt x="936786" y="81291"/>
              </a:lnTo>
              <a:lnTo>
                <a:pt x="936786"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B2028F-D0F4-48B6-A165-178907706921}">
      <dsp:nvSpPr>
        <dsp:cNvPr id="0" name=""/>
        <dsp:cNvSpPr/>
      </dsp:nvSpPr>
      <dsp:spPr>
        <a:xfrm>
          <a:off x="2889448"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1C3830-C181-4BD5-9B3E-D33115349081}">
      <dsp:nvSpPr>
        <dsp:cNvPr id="0" name=""/>
        <dsp:cNvSpPr/>
      </dsp:nvSpPr>
      <dsp:spPr>
        <a:xfrm>
          <a:off x="2889448"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21A7D4-7DAB-4A5B-BF6D-3255D50A0431}">
      <dsp:nvSpPr>
        <dsp:cNvPr id="0" name=""/>
        <dsp:cNvSpPr/>
      </dsp:nvSpPr>
      <dsp:spPr>
        <a:xfrm>
          <a:off x="3153410" y="634691"/>
          <a:ext cx="91440" cy="162582"/>
        </a:xfrm>
        <a:custGeom>
          <a:avLst/>
          <a:gdLst/>
          <a:ahLst/>
          <a:cxnLst/>
          <a:rect l="0" t="0" r="0" b="0"/>
          <a:pathLst>
            <a:path>
              <a:moveTo>
                <a:pt x="45720" y="0"/>
              </a:moveTo>
              <a:lnTo>
                <a:pt x="4572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617F25-98A8-4EA0-B7CD-0E4D41AF4979}">
      <dsp:nvSpPr>
        <dsp:cNvPr id="0" name=""/>
        <dsp:cNvSpPr/>
      </dsp:nvSpPr>
      <dsp:spPr>
        <a:xfrm>
          <a:off x="1952662"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738A9B-0B92-4891-9AE6-8AC4271884C6}">
      <dsp:nvSpPr>
        <dsp:cNvPr id="0" name=""/>
        <dsp:cNvSpPr/>
      </dsp:nvSpPr>
      <dsp:spPr>
        <a:xfrm>
          <a:off x="1952662"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5A67CE-BF14-4990-A2CF-351B6DEA2CCC}">
      <dsp:nvSpPr>
        <dsp:cNvPr id="0" name=""/>
        <dsp:cNvSpPr/>
      </dsp:nvSpPr>
      <dsp:spPr>
        <a:xfrm>
          <a:off x="2262343" y="634691"/>
          <a:ext cx="936786" cy="162582"/>
        </a:xfrm>
        <a:custGeom>
          <a:avLst/>
          <a:gdLst/>
          <a:ahLst/>
          <a:cxnLst/>
          <a:rect l="0" t="0" r="0" b="0"/>
          <a:pathLst>
            <a:path>
              <a:moveTo>
                <a:pt x="936786" y="0"/>
              </a:moveTo>
              <a:lnTo>
                <a:pt x="936786"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A96365-DB22-432A-9F66-8C595637A2B1}">
      <dsp:nvSpPr>
        <dsp:cNvPr id="0" name=""/>
        <dsp:cNvSpPr/>
      </dsp:nvSpPr>
      <dsp:spPr>
        <a:xfrm>
          <a:off x="1015876"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DE26BC-8C62-4D19-B7F1-F8AF8958F3C7}">
      <dsp:nvSpPr>
        <dsp:cNvPr id="0" name=""/>
        <dsp:cNvSpPr/>
      </dsp:nvSpPr>
      <dsp:spPr>
        <a:xfrm>
          <a:off x="1015876"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4224EF-8985-46B2-A471-B8C1B5E03ADC}">
      <dsp:nvSpPr>
        <dsp:cNvPr id="0" name=""/>
        <dsp:cNvSpPr/>
      </dsp:nvSpPr>
      <dsp:spPr>
        <a:xfrm>
          <a:off x="1015876"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551913-295C-48C6-9790-791354B8B6D6}">
      <dsp:nvSpPr>
        <dsp:cNvPr id="0" name=""/>
        <dsp:cNvSpPr/>
      </dsp:nvSpPr>
      <dsp:spPr>
        <a:xfrm>
          <a:off x="1325557" y="634691"/>
          <a:ext cx="1873572" cy="162582"/>
        </a:xfrm>
        <a:custGeom>
          <a:avLst/>
          <a:gdLst/>
          <a:ahLst/>
          <a:cxnLst/>
          <a:rect l="0" t="0" r="0" b="0"/>
          <a:pathLst>
            <a:path>
              <a:moveTo>
                <a:pt x="1873572" y="0"/>
              </a:moveTo>
              <a:lnTo>
                <a:pt x="1873572"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887CAB-27BF-4976-83F0-9BC9C1CD04FA}">
      <dsp:nvSpPr>
        <dsp:cNvPr id="0" name=""/>
        <dsp:cNvSpPr/>
      </dsp:nvSpPr>
      <dsp:spPr>
        <a:xfrm>
          <a:off x="79089" y="1184376"/>
          <a:ext cx="116130" cy="905818"/>
        </a:xfrm>
        <a:custGeom>
          <a:avLst/>
          <a:gdLst/>
          <a:ahLst/>
          <a:cxnLst/>
          <a:rect l="0" t="0" r="0" b="0"/>
          <a:pathLst>
            <a:path>
              <a:moveTo>
                <a:pt x="0" y="0"/>
              </a:moveTo>
              <a:lnTo>
                <a:pt x="0" y="905818"/>
              </a:lnTo>
              <a:lnTo>
                <a:pt x="116130" y="905818"/>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8D235-D3EF-46A3-AC52-11C3E5A050F2}">
      <dsp:nvSpPr>
        <dsp:cNvPr id="0" name=""/>
        <dsp:cNvSpPr/>
      </dsp:nvSpPr>
      <dsp:spPr>
        <a:xfrm>
          <a:off x="79089" y="1184376"/>
          <a:ext cx="116130" cy="356133"/>
        </a:xfrm>
        <a:custGeom>
          <a:avLst/>
          <a:gdLst/>
          <a:ahLst/>
          <a:cxnLst/>
          <a:rect l="0" t="0" r="0" b="0"/>
          <a:pathLst>
            <a:path>
              <a:moveTo>
                <a:pt x="0" y="0"/>
              </a:moveTo>
              <a:lnTo>
                <a:pt x="0" y="356133"/>
              </a:lnTo>
              <a:lnTo>
                <a:pt x="116130" y="35613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EB983-9F39-4816-B228-4EBBC3D7EA7C}">
      <dsp:nvSpPr>
        <dsp:cNvPr id="0" name=""/>
        <dsp:cNvSpPr/>
      </dsp:nvSpPr>
      <dsp:spPr>
        <a:xfrm>
          <a:off x="388771" y="634691"/>
          <a:ext cx="2810358" cy="162582"/>
        </a:xfrm>
        <a:custGeom>
          <a:avLst/>
          <a:gdLst/>
          <a:ahLst/>
          <a:cxnLst/>
          <a:rect l="0" t="0" r="0" b="0"/>
          <a:pathLst>
            <a:path>
              <a:moveTo>
                <a:pt x="1873572" y="0"/>
              </a:moveTo>
              <a:lnTo>
                <a:pt x="1873572"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DD851D-5769-4F7A-85D5-179F87A1D197}">
      <dsp:nvSpPr>
        <dsp:cNvPr id="0" name=""/>
        <dsp:cNvSpPr/>
      </dsp:nvSpPr>
      <dsp:spPr>
        <a:xfrm>
          <a:off x="2540635" y="247590"/>
          <a:ext cx="1316989" cy="387101"/>
        </a:xfrm>
        <a:prstGeom prst="rect">
          <a:avLst/>
        </a:prstGeom>
        <a:solidFill>
          <a:srgbClr val="23619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Victorian Default Offer cost components</a:t>
          </a:r>
        </a:p>
      </dsp:txBody>
      <dsp:txXfrm>
        <a:off x="2540635" y="247590"/>
        <a:ext cx="1316989" cy="387101"/>
      </dsp:txXfrm>
    </dsp:sp>
    <dsp:sp modelId="{E1876B05-C4C7-4EFC-B1C1-EB578C2C01DB}">
      <dsp:nvSpPr>
        <dsp:cNvPr id="0" name=""/>
        <dsp:cNvSpPr/>
      </dsp:nvSpPr>
      <dsp:spPr>
        <a:xfrm>
          <a:off x="1669"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Network costs</a:t>
          </a:r>
        </a:p>
      </dsp:txBody>
      <dsp:txXfrm>
        <a:off x="1669" y="797274"/>
        <a:ext cx="774203" cy="387101"/>
      </dsp:txXfrm>
    </dsp:sp>
    <dsp:sp modelId="{C8D53AB7-41CA-498E-8B08-6B0E3C3AA91E}">
      <dsp:nvSpPr>
        <dsp:cNvPr id="0" name=""/>
        <dsp:cNvSpPr/>
      </dsp:nvSpPr>
      <dsp:spPr>
        <a:xfrm>
          <a:off x="195220" y="1346959"/>
          <a:ext cx="774203" cy="387101"/>
        </a:xfrm>
        <a:prstGeom prst="rect">
          <a:avLst/>
        </a:prstGeom>
        <a:solidFill>
          <a:srgbClr val="7F94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Network tariffs</a:t>
          </a:r>
        </a:p>
      </dsp:txBody>
      <dsp:txXfrm>
        <a:off x="195220" y="1346959"/>
        <a:ext cx="774203" cy="387101"/>
      </dsp:txXfrm>
    </dsp:sp>
    <dsp:sp modelId="{5E16D252-5AAE-4D36-B488-669C855C6D4C}">
      <dsp:nvSpPr>
        <dsp:cNvPr id="0" name=""/>
        <dsp:cNvSpPr/>
      </dsp:nvSpPr>
      <dsp:spPr>
        <a:xfrm>
          <a:off x="195220" y="1896643"/>
          <a:ext cx="774203" cy="387101"/>
        </a:xfrm>
        <a:prstGeom prst="rect">
          <a:avLst/>
        </a:prstGeom>
        <a:solidFill>
          <a:srgbClr val="7F94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Metering charges</a:t>
          </a:r>
        </a:p>
      </dsp:txBody>
      <dsp:txXfrm>
        <a:off x="195220" y="1896643"/>
        <a:ext cx="774203" cy="387101"/>
      </dsp:txXfrm>
    </dsp:sp>
    <dsp:sp modelId="{6E97755A-9EF7-4F89-88FB-F134982164C4}">
      <dsp:nvSpPr>
        <dsp:cNvPr id="0" name=""/>
        <dsp:cNvSpPr/>
      </dsp:nvSpPr>
      <dsp:spPr>
        <a:xfrm>
          <a:off x="938455"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Wholesale electricity costs</a:t>
          </a:r>
        </a:p>
      </dsp:txBody>
      <dsp:txXfrm>
        <a:off x="938455" y="797274"/>
        <a:ext cx="774203" cy="387101"/>
      </dsp:txXfrm>
    </dsp:sp>
    <dsp:sp modelId="{2E664954-59F9-4650-B43B-5F75499072E3}">
      <dsp:nvSpPr>
        <dsp:cNvPr id="0" name=""/>
        <dsp:cNvSpPr/>
      </dsp:nvSpPr>
      <dsp:spPr>
        <a:xfrm>
          <a:off x="1132006"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Energy purchase costs</a:t>
          </a:r>
        </a:p>
      </dsp:txBody>
      <dsp:txXfrm>
        <a:off x="1132006" y="1346959"/>
        <a:ext cx="774203" cy="387101"/>
      </dsp:txXfrm>
    </dsp:sp>
    <dsp:sp modelId="{A0EF2AC5-C953-4E17-9D99-2FEEAFA64631}">
      <dsp:nvSpPr>
        <dsp:cNvPr id="0" name=""/>
        <dsp:cNvSpPr/>
      </dsp:nvSpPr>
      <dsp:spPr>
        <a:xfrm>
          <a:off x="1132006"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Volatility adjustment</a:t>
          </a:r>
        </a:p>
      </dsp:txBody>
      <dsp:txXfrm>
        <a:off x="1132006" y="1896643"/>
        <a:ext cx="774203" cy="387101"/>
      </dsp:txXfrm>
    </dsp:sp>
    <dsp:sp modelId="{5037A621-A5A7-4865-B4FA-38F7AA6E6D64}">
      <dsp:nvSpPr>
        <dsp:cNvPr id="0" name=""/>
        <dsp:cNvSpPr/>
      </dsp:nvSpPr>
      <dsp:spPr>
        <a:xfrm>
          <a:off x="1132006"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Wholesale electricity cost of exports</a:t>
          </a:r>
        </a:p>
      </dsp:txBody>
      <dsp:txXfrm>
        <a:off x="1132006" y="2446328"/>
        <a:ext cx="774203" cy="387101"/>
      </dsp:txXfrm>
    </dsp:sp>
    <dsp:sp modelId="{7B08A14F-E20D-41A3-8A91-A654FAB5F6D6}">
      <dsp:nvSpPr>
        <dsp:cNvPr id="0" name=""/>
        <dsp:cNvSpPr/>
      </dsp:nvSpPr>
      <dsp:spPr>
        <a:xfrm>
          <a:off x="1875241"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Environmental  costs</a:t>
          </a:r>
        </a:p>
      </dsp:txBody>
      <dsp:txXfrm>
        <a:off x="1875241" y="797274"/>
        <a:ext cx="774203" cy="387101"/>
      </dsp:txXfrm>
    </dsp:sp>
    <dsp:sp modelId="{940D4632-9053-4CFB-9A9A-77F2BCA1318C}">
      <dsp:nvSpPr>
        <dsp:cNvPr id="0" name=""/>
        <dsp:cNvSpPr/>
      </dsp:nvSpPr>
      <dsp:spPr>
        <a:xfrm>
          <a:off x="2068792"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Renewable energy schemes</a:t>
          </a:r>
        </a:p>
      </dsp:txBody>
      <dsp:txXfrm>
        <a:off x="2068792" y="1346959"/>
        <a:ext cx="774203" cy="387101"/>
      </dsp:txXfrm>
    </dsp:sp>
    <dsp:sp modelId="{D7E54772-17F8-44A0-B293-D8F5A80452B3}">
      <dsp:nvSpPr>
        <dsp:cNvPr id="0" name=""/>
        <dsp:cNvSpPr/>
      </dsp:nvSpPr>
      <dsp:spPr>
        <a:xfrm>
          <a:off x="2068792"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Victorian Energy Upgrades program</a:t>
          </a:r>
        </a:p>
      </dsp:txBody>
      <dsp:txXfrm>
        <a:off x="2068792" y="1896643"/>
        <a:ext cx="774203" cy="387101"/>
      </dsp:txXfrm>
    </dsp:sp>
    <dsp:sp modelId="{FE2328FC-D112-416B-B268-0571CB201E98}">
      <dsp:nvSpPr>
        <dsp:cNvPr id="0" name=""/>
        <dsp:cNvSpPr/>
      </dsp:nvSpPr>
      <dsp:spPr>
        <a:xfrm>
          <a:off x="2812028"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Retail operating  costs</a:t>
          </a:r>
        </a:p>
      </dsp:txBody>
      <dsp:txXfrm>
        <a:off x="2812028" y="797274"/>
        <a:ext cx="774203" cy="387101"/>
      </dsp:txXfrm>
    </dsp:sp>
    <dsp:sp modelId="{3E388F50-ED5E-4C2A-B2A6-5F1DDA95C632}">
      <dsp:nvSpPr>
        <dsp:cNvPr id="0" name=""/>
        <dsp:cNvSpPr/>
      </dsp:nvSpPr>
      <dsp:spPr>
        <a:xfrm>
          <a:off x="3005579"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Retail operating costs</a:t>
          </a:r>
        </a:p>
      </dsp:txBody>
      <dsp:txXfrm>
        <a:off x="3005579" y="1346959"/>
        <a:ext cx="774203" cy="387101"/>
      </dsp:txXfrm>
    </dsp:sp>
    <dsp:sp modelId="{52B9448B-F5A4-486C-8803-78565DEA128C}">
      <dsp:nvSpPr>
        <dsp:cNvPr id="0" name=""/>
        <dsp:cNvSpPr/>
      </dsp:nvSpPr>
      <dsp:spPr>
        <a:xfrm>
          <a:off x="3005579"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Modest customer acquisition and retention costs</a:t>
          </a:r>
        </a:p>
      </dsp:txBody>
      <dsp:txXfrm>
        <a:off x="3005579" y="1896643"/>
        <a:ext cx="774203" cy="387101"/>
      </dsp:txXfrm>
    </dsp:sp>
    <dsp:sp modelId="{36DBA998-B41F-4B34-BF86-DD96A3DAE66E}">
      <dsp:nvSpPr>
        <dsp:cNvPr id="0" name=""/>
        <dsp:cNvSpPr/>
      </dsp:nvSpPr>
      <dsp:spPr>
        <a:xfrm>
          <a:off x="3748814"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Other costs</a:t>
          </a:r>
        </a:p>
      </dsp:txBody>
      <dsp:txXfrm>
        <a:off x="3748814" y="797274"/>
        <a:ext cx="774203" cy="387101"/>
      </dsp:txXfrm>
    </dsp:sp>
    <dsp:sp modelId="{D7C399BA-E5B9-45CD-AADB-8A48C76FAFEF}">
      <dsp:nvSpPr>
        <dsp:cNvPr id="0" name=""/>
        <dsp:cNvSpPr/>
      </dsp:nvSpPr>
      <dsp:spPr>
        <a:xfrm>
          <a:off x="3942365"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Market fees</a:t>
          </a:r>
        </a:p>
      </dsp:txBody>
      <dsp:txXfrm>
        <a:off x="3942365" y="1346959"/>
        <a:ext cx="774203" cy="387101"/>
      </dsp:txXfrm>
    </dsp:sp>
    <dsp:sp modelId="{EB97CDC5-925C-4869-8CDD-C4DEF538CFE6}">
      <dsp:nvSpPr>
        <dsp:cNvPr id="0" name=""/>
        <dsp:cNvSpPr/>
      </dsp:nvSpPr>
      <dsp:spPr>
        <a:xfrm>
          <a:off x="3942365"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Ancillary charges</a:t>
          </a:r>
        </a:p>
      </dsp:txBody>
      <dsp:txXfrm>
        <a:off x="3942365" y="1896643"/>
        <a:ext cx="774203" cy="387101"/>
      </dsp:txXfrm>
    </dsp:sp>
    <dsp:sp modelId="{E5293A2F-18AC-4FE0-9D61-67AAADD4A2FB}">
      <dsp:nvSpPr>
        <dsp:cNvPr id="0" name=""/>
        <dsp:cNvSpPr/>
      </dsp:nvSpPr>
      <dsp:spPr>
        <a:xfrm>
          <a:off x="3942365"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Licence fees</a:t>
          </a:r>
        </a:p>
      </dsp:txBody>
      <dsp:txXfrm>
        <a:off x="3942365" y="2446328"/>
        <a:ext cx="774203" cy="387101"/>
      </dsp:txXfrm>
    </dsp:sp>
    <dsp:sp modelId="{E26F18F0-68A4-41FF-8091-6E1627FD241D}">
      <dsp:nvSpPr>
        <dsp:cNvPr id="0" name=""/>
        <dsp:cNvSpPr/>
      </dsp:nvSpPr>
      <dsp:spPr>
        <a:xfrm>
          <a:off x="4685600"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Network loss </a:t>
          </a:r>
          <a:br>
            <a:rPr lang="en-US" sz="700" kern="1200">
              <a:solidFill>
                <a:sysClr val="window" lastClr="FFFFFF"/>
              </a:solidFill>
              <a:latin typeface="Arial" panose="020B0604020202020204"/>
              <a:ea typeface="+mn-ea"/>
              <a:cs typeface="+mn-cs"/>
            </a:rPr>
          </a:br>
          <a:r>
            <a:rPr lang="en-US" sz="700" kern="1200">
              <a:solidFill>
                <a:sysClr val="window" lastClr="FFFFFF"/>
              </a:solidFill>
              <a:latin typeface="Arial" panose="020B0604020202020204"/>
              <a:ea typeface="+mn-ea"/>
              <a:cs typeface="+mn-cs"/>
            </a:rPr>
            <a:t>factor</a:t>
          </a:r>
        </a:p>
      </dsp:txBody>
      <dsp:txXfrm>
        <a:off x="4685600" y="797274"/>
        <a:ext cx="774203" cy="387101"/>
      </dsp:txXfrm>
    </dsp:sp>
    <dsp:sp modelId="{AF1EFDBD-9013-44E0-B417-7532073E8B05}">
      <dsp:nvSpPr>
        <dsp:cNvPr id="0" name=""/>
        <dsp:cNvSpPr/>
      </dsp:nvSpPr>
      <dsp:spPr>
        <a:xfrm>
          <a:off x="5622387"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panose="020B0604020202020204"/>
              <a:ea typeface="+mn-ea"/>
              <a:cs typeface="+mn-cs"/>
            </a:rPr>
            <a:t>Retail operating margin</a:t>
          </a:r>
        </a:p>
      </dsp:txBody>
      <dsp:txXfrm>
        <a:off x="5622387" y="797274"/>
        <a:ext cx="774203" cy="3871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70435FA2-BF1B-47E7-B274-17ED687BB59B}">
    <t:Anchor>
      <t:Comment id="1721089871"/>
    </t:Anchor>
    <t:History>
      <t:Event id="{B89E58C3-80D9-4CD4-903E-222054BC74D2}" time="2025-04-14T04:53:19.082Z">
        <t:Attribution userId="S::Mahmuda.Sultana@esc.vic.gov.au::48deae62-acc5-4742-bb35-2088b64416f7" userProvider="AD" userName="Mahmuda Sultana (ESC)"/>
        <t:Anchor>
          <t:Comment id="1721089871"/>
        </t:Anchor>
        <t:Create/>
      </t:Event>
      <t:Event id="{64B8E63B-65CB-4118-BAA4-230ED1DA1DD9}" time="2025-04-14T04:53:19.082Z">
        <t:Attribution userId="S::Mahmuda.Sultana@esc.vic.gov.au::48deae62-acc5-4742-bb35-2088b64416f7" userProvider="AD" userName="Mahmuda Sultana (ESC)"/>
        <t:Anchor>
          <t:Comment id="1721089871"/>
        </t:Anchor>
        <t:Assign userId="S::Phillip.Ni@esc.vic.gov.au::8c61755c-7f8e-47b5-b631-932c19d65d55" userProvider="AD" userName="Phillip Ni (ESC)"/>
      </t:Event>
      <t:Event id="{6224108E-D86B-4595-B0FF-CC8AC8BC99EA}" time="2025-04-14T04:53:19.082Z">
        <t:Attribution userId="S::Mahmuda.Sultana@esc.vic.gov.au::48deae62-acc5-4742-bb35-2088b64416f7" userProvider="AD" userName="Mahmuda Sultana (ESC)"/>
        <t:Anchor>
          <t:Comment id="1721089871"/>
        </t:Anchor>
        <t:SetTitle title="@Phillip Ni (ESC) please see if you can cross reference here to other cost section start page"/>
      </t:Event>
      <t:Event id="{A90F8F0B-6CD6-4145-93FC-593154FBCC05}" time="2025-04-16T22:51:58.033Z">
        <t:Attribution userId="S::Phillip.Ni@esc.vic.gov.au::8c61755c-7f8e-47b5-b631-932c19d65d55" userProvider="AD" userName="Phillip Ni (ESC)"/>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46CF0731A43EEA0DAC878284F1376"/>
        <w:category>
          <w:name w:val="General"/>
          <w:gallery w:val="placeholder"/>
        </w:category>
        <w:types>
          <w:type w:val="bbPlcHdr"/>
        </w:types>
        <w:behaviors>
          <w:behavior w:val="content"/>
        </w:behaviors>
        <w:guid w:val="{F1D01D08-E892-46D7-911C-F65FF179246E}"/>
      </w:docPartPr>
      <w:docPartBody>
        <w:p w:rsidR="006F40CD" w:rsidRDefault="00833905">
          <w:pPr>
            <w:pStyle w:val="89546CF0731A43EEA0DAC878284F1376"/>
          </w:pPr>
          <w:r>
            <w:t xml:space="preserve">  </w:t>
          </w:r>
        </w:p>
      </w:docPartBody>
    </w:docPart>
    <w:docPart>
      <w:docPartPr>
        <w:name w:val="239B74B6562C4E07B295F08C831DCD72"/>
        <w:category>
          <w:name w:val="General"/>
          <w:gallery w:val="placeholder"/>
        </w:category>
        <w:types>
          <w:type w:val="bbPlcHdr"/>
        </w:types>
        <w:behaviors>
          <w:behavior w:val="content"/>
        </w:behaviors>
        <w:guid w:val="{F78FBFD7-9474-40B0-8664-11E7DA931AB2}"/>
      </w:docPartPr>
      <w:docPartBody>
        <w:p w:rsidR="006F40CD" w:rsidRDefault="00833905" w:rsidP="00833905">
          <w:pPr>
            <w:pStyle w:val="239B74B6562C4E07B295F08C831DCD72"/>
          </w:pPr>
          <w:r w:rsidRPr="00360763">
            <w:rPr>
              <w:highlight w:val="lightGray"/>
            </w:rPr>
            <w:t>[Click to select a year]</w:t>
          </w:r>
        </w:p>
      </w:docPartBody>
    </w:docPart>
    <w:docPart>
      <w:docPartPr>
        <w:name w:val="B4436841E4824DCE81F3F32E50702F23"/>
        <w:category>
          <w:name w:val="General"/>
          <w:gallery w:val="placeholder"/>
        </w:category>
        <w:types>
          <w:type w:val="bbPlcHdr"/>
        </w:types>
        <w:behaviors>
          <w:behavior w:val="content"/>
        </w:behaviors>
        <w:guid w:val="{C11A9E1E-2358-41C0-B120-449E6891A729}"/>
      </w:docPartPr>
      <w:docPartBody>
        <w:p w:rsidR="006F40CD" w:rsidRDefault="00833905" w:rsidP="00833905">
          <w:pPr>
            <w:pStyle w:val="B4436841E4824DCE81F3F32E50702F23"/>
          </w:pPr>
          <w:r w:rsidRPr="00563AD8">
            <w:rPr>
              <w:highlight w:val="lightGray"/>
            </w:rPr>
            <w:t>[Subtitle]</w:t>
          </w:r>
        </w:p>
      </w:docPartBody>
    </w:docPart>
    <w:docPart>
      <w:docPartPr>
        <w:name w:val="7DB643A5C7E044B1886B1A3DCB9EC00C"/>
        <w:category>
          <w:name w:val="General"/>
          <w:gallery w:val="placeholder"/>
        </w:category>
        <w:types>
          <w:type w:val="bbPlcHdr"/>
        </w:types>
        <w:behaviors>
          <w:behavior w:val="content"/>
        </w:behaviors>
        <w:guid w:val="{77D3EB5A-A22C-41BD-BB2C-0B2D93AE64A6}"/>
      </w:docPartPr>
      <w:docPartBody>
        <w:p w:rsidR="001A466F" w:rsidRDefault="00833905">
          <w:pPr>
            <w:pStyle w:val="7DB643A5C7E044B1886B1A3DCB9EC00C"/>
          </w:pPr>
          <w:r w:rsidRPr="00360763">
            <w:rPr>
              <w:highlight w:val="lightGray"/>
            </w:rPr>
            <w:t>[Click to select a year]</w:t>
          </w:r>
        </w:p>
      </w:docPartBody>
    </w:docPart>
    <w:docPart>
      <w:docPartPr>
        <w:name w:val="BDEC5858230C42A8B154867B7513E6E3"/>
        <w:category>
          <w:name w:val="General"/>
          <w:gallery w:val="placeholder"/>
        </w:category>
        <w:types>
          <w:type w:val="bbPlcHdr"/>
        </w:types>
        <w:behaviors>
          <w:behavior w:val="content"/>
        </w:behaviors>
        <w:guid w:val="{B8AC5363-6E0F-46E1-918C-B3CE6503E772}"/>
      </w:docPartPr>
      <w:docPartBody>
        <w:p w:rsidR="006C6C63" w:rsidRDefault="00833905">
          <w:pPr>
            <w:pStyle w:val="BDEC5858230C42A8B154867B7513E6E3"/>
          </w:pPr>
          <w:r w:rsidRPr="007E1738">
            <w:rPr>
              <w:rStyle w:val="TitleCentredChar"/>
            </w:rPr>
            <w:t>[Title, use ‘Title’ type style. Content will automatically link to internal footer]</w:t>
          </w:r>
        </w:p>
      </w:docPartBody>
    </w:docPart>
    <w:docPart>
      <w:docPartPr>
        <w:name w:val="2044E0E441834FDF9B6C8875D788909F"/>
        <w:category>
          <w:name w:val="General"/>
          <w:gallery w:val="placeholder"/>
        </w:category>
        <w:types>
          <w:type w:val="bbPlcHdr"/>
        </w:types>
        <w:behaviors>
          <w:behavior w:val="content"/>
        </w:behaviors>
        <w:guid w:val="{43A83A7D-4872-4D19-8E16-5A1D7292C1DB}"/>
      </w:docPartPr>
      <w:docPartBody>
        <w:p w:rsidR="006C6C63" w:rsidRDefault="00833905">
          <w:pPr>
            <w:pStyle w:val="2044E0E441834FDF9B6C8875D788909F"/>
          </w:pPr>
          <w:r w:rsidRPr="005F3D90">
            <w:rPr>
              <w:highlight w:val="lightGray"/>
            </w:rPr>
            <w:t>[Title]</w:t>
          </w:r>
        </w:p>
      </w:docPartBody>
    </w:docPart>
    <w:docPart>
      <w:docPartPr>
        <w:name w:val="1F1A6C0E6F95497387A5DF62E9103AF8"/>
        <w:category>
          <w:name w:val="General"/>
          <w:gallery w:val="placeholder"/>
        </w:category>
        <w:types>
          <w:type w:val="bbPlcHdr"/>
        </w:types>
        <w:behaviors>
          <w:behavior w:val="content"/>
        </w:behaviors>
        <w:guid w:val="{FEECD0B0-B308-454F-8644-9DAC2B8EC653}"/>
      </w:docPartPr>
      <w:docPartBody>
        <w:p w:rsidR="006C6C63" w:rsidRDefault="00833905">
          <w:pPr>
            <w:pStyle w:val="1F1A6C0E6F95497387A5DF62E9103AF8"/>
          </w:pPr>
          <w:r w:rsidRPr="005F3D90">
            <w:rPr>
              <w:highlight w:val="lightGray"/>
            </w:rPr>
            <w:t>[Title]</w:t>
          </w:r>
        </w:p>
      </w:docPartBody>
    </w:docPart>
    <w:docPart>
      <w:docPartPr>
        <w:name w:val="546CF8128C23497D8DE251B6CCFCE808"/>
        <w:category>
          <w:name w:val="General"/>
          <w:gallery w:val="placeholder"/>
        </w:category>
        <w:types>
          <w:type w:val="bbPlcHdr"/>
        </w:types>
        <w:behaviors>
          <w:behavior w:val="content"/>
        </w:behaviors>
        <w:guid w:val="{42EA407C-23A8-45FF-8AC6-25FCA09E4BE3}"/>
      </w:docPartPr>
      <w:docPartBody>
        <w:p w:rsidR="006C6C63" w:rsidRDefault="00833905">
          <w:pPr>
            <w:pStyle w:val="546CF8128C23497D8DE251B6CCFCE808"/>
          </w:pPr>
          <w:r w:rsidRPr="00AD2E14">
            <w:rPr>
              <w:b/>
              <w:highlight w:val="lightGray"/>
            </w:rPr>
            <w:t>[Title]</w:t>
          </w:r>
        </w:p>
      </w:docPartBody>
    </w:docPart>
    <w:docPart>
      <w:docPartPr>
        <w:name w:val="A7DD116C24274316A06314982664B3D6"/>
        <w:category>
          <w:name w:val="General"/>
          <w:gallery w:val="placeholder"/>
        </w:category>
        <w:types>
          <w:type w:val="bbPlcHdr"/>
        </w:types>
        <w:behaviors>
          <w:behavior w:val="content"/>
        </w:behaviors>
        <w:guid w:val="{015A7B38-84FC-465F-8686-FA64DABF1BC8}"/>
      </w:docPartPr>
      <w:docPartBody>
        <w:p w:rsidR="006C6C63" w:rsidRDefault="00833905">
          <w:pPr>
            <w:pStyle w:val="A7DD116C24274316A06314982664B3D6"/>
          </w:pPr>
          <w:r w:rsidRPr="00360763">
            <w:rPr>
              <w:highlight w:val="lightGray"/>
            </w:rPr>
            <w:t>[Click to select a year]</w:t>
          </w:r>
        </w:p>
      </w:docPartBody>
    </w:docPart>
    <w:docPart>
      <w:docPartPr>
        <w:name w:val="B21955D60E114E2FA8DE6C2EC6A5A23A"/>
        <w:category>
          <w:name w:val="General"/>
          <w:gallery w:val="placeholder"/>
        </w:category>
        <w:types>
          <w:type w:val="bbPlcHdr"/>
        </w:types>
        <w:behaviors>
          <w:behavior w:val="content"/>
        </w:behaviors>
        <w:guid w:val="{1C0F9279-865D-4ADB-A08E-53ACF5723194}"/>
      </w:docPartPr>
      <w:docPartBody>
        <w:p w:rsidR="006C6C63" w:rsidRDefault="00A74C91">
          <w:pPr>
            <w:pStyle w:val="B21955D60E114E2FA8DE6C2EC6A5A23A"/>
          </w:pPr>
          <w:r w:rsidRPr="00AD2E14">
            <w:rPr>
              <w:b/>
              <w:highlight w:val="lightGray"/>
            </w:rPr>
            <w:t>[Title]</w:t>
          </w:r>
        </w:p>
      </w:docPartBody>
    </w:docPart>
    <w:docPart>
      <w:docPartPr>
        <w:name w:val="A6E2DA9AE54B4BCD9A437D57B7688D54"/>
        <w:category>
          <w:name w:val="General"/>
          <w:gallery w:val="placeholder"/>
        </w:category>
        <w:types>
          <w:type w:val="bbPlcHdr"/>
        </w:types>
        <w:behaviors>
          <w:behavior w:val="content"/>
        </w:behaviors>
        <w:guid w:val="{594BB143-CCB6-4530-9205-D275F9A914AE}"/>
      </w:docPartPr>
      <w:docPartBody>
        <w:p w:rsidR="006C6C63" w:rsidRDefault="00833905">
          <w:pPr>
            <w:pStyle w:val="A6E2DA9AE54B4BCD9A437D57B7688D54"/>
          </w:pPr>
          <w:r w:rsidRPr="00AD2E14">
            <w:rPr>
              <w:b/>
              <w:highlight w:val="lightGray"/>
            </w:rPr>
            <w:t>[Title]</w:t>
          </w:r>
        </w:p>
      </w:docPartBody>
    </w:docPart>
    <w:docPart>
      <w:docPartPr>
        <w:name w:val="A0E4C2F389794D64A4E6017905833181"/>
        <w:category>
          <w:name w:val="General"/>
          <w:gallery w:val="placeholder"/>
        </w:category>
        <w:types>
          <w:type w:val="bbPlcHdr"/>
        </w:types>
        <w:behaviors>
          <w:behavior w:val="content"/>
        </w:behaviors>
        <w:guid w:val="{F6E98B76-4215-4BB4-80EE-EB2326D643F3}"/>
      </w:docPartPr>
      <w:docPartBody>
        <w:p w:rsidR="006C6C63" w:rsidRDefault="006D3C33">
          <w:pPr>
            <w:pStyle w:val="A0E4C2F389794D64A4E6017905833181"/>
          </w:pPr>
          <w:r w:rsidRPr="00AD2E14">
            <w:rPr>
              <w:b/>
              <w:highlight w:val="lightGray"/>
            </w:rPr>
            <w:t>[Title]</w:t>
          </w:r>
        </w:p>
      </w:docPartBody>
    </w:docPart>
    <w:docPart>
      <w:docPartPr>
        <w:name w:val="80CB34A5B5674C98AD556B455A13179F"/>
        <w:category>
          <w:name w:val="General"/>
          <w:gallery w:val="placeholder"/>
        </w:category>
        <w:types>
          <w:type w:val="bbPlcHdr"/>
        </w:types>
        <w:behaviors>
          <w:behavior w:val="content"/>
        </w:behaviors>
        <w:guid w:val="{9B3278B5-C40F-45FA-8F71-DA9C54B84C45}"/>
      </w:docPartPr>
      <w:docPartBody>
        <w:p w:rsidR="006C6C63" w:rsidRDefault="006D3C33">
          <w:pPr>
            <w:pStyle w:val="80CB34A5B5674C98AD556B455A13179F"/>
          </w:pPr>
          <w:r w:rsidRPr="00AD2E14">
            <w:rPr>
              <w:b/>
              <w:highlight w:val="lightGray"/>
            </w:rPr>
            <w:t>[Title]</w:t>
          </w:r>
        </w:p>
      </w:docPartBody>
    </w:docPart>
    <w:docPart>
      <w:docPartPr>
        <w:name w:val="09324E5AFDA84CBA9EE0E77D85769D2E"/>
        <w:category>
          <w:name w:val="General"/>
          <w:gallery w:val="placeholder"/>
        </w:category>
        <w:types>
          <w:type w:val="bbPlcHdr"/>
        </w:types>
        <w:behaviors>
          <w:behavior w:val="content"/>
        </w:behaviors>
        <w:guid w:val="{00D6C6E8-A7F3-48DB-B0CE-093406901441}"/>
      </w:docPartPr>
      <w:docPartBody>
        <w:p w:rsidR="006C6C63" w:rsidRDefault="00833905">
          <w:pPr>
            <w:pStyle w:val="09324E5AFDA84CBA9EE0E77D85769D2E"/>
          </w:pPr>
          <w:r w:rsidRPr="00AD2E14">
            <w:rPr>
              <w:b/>
              <w:highlight w:val="lightGray"/>
            </w:rPr>
            <w:t>[Title]</w:t>
          </w:r>
        </w:p>
      </w:docPartBody>
    </w:docPart>
    <w:docPart>
      <w:docPartPr>
        <w:name w:val="D7F32196FF554BB6A40EF347354734BA"/>
        <w:category>
          <w:name w:val="General"/>
          <w:gallery w:val="placeholder"/>
        </w:category>
        <w:types>
          <w:type w:val="bbPlcHdr"/>
        </w:types>
        <w:behaviors>
          <w:behavior w:val="content"/>
        </w:behaviors>
        <w:guid w:val="{DEE1B80A-0900-4B83-B811-049E177CEECD}"/>
      </w:docPartPr>
      <w:docPartBody>
        <w:p w:rsidR="006C6C63" w:rsidRDefault="001A1B9C">
          <w:pPr>
            <w:pStyle w:val="D7F32196FF554BB6A40EF347354734BA"/>
          </w:pPr>
          <w:r w:rsidRPr="00AD2E14">
            <w:rPr>
              <w:b/>
              <w:highlight w:val="lightGray"/>
            </w:rPr>
            <w:t>[Title]</w:t>
          </w:r>
        </w:p>
      </w:docPartBody>
    </w:docPart>
    <w:docPart>
      <w:docPartPr>
        <w:name w:val="FAF2D1B0FB584D96811FE60C2449BB23"/>
        <w:category>
          <w:name w:val="General"/>
          <w:gallery w:val="placeholder"/>
        </w:category>
        <w:types>
          <w:type w:val="bbPlcHdr"/>
        </w:types>
        <w:behaviors>
          <w:behavior w:val="content"/>
        </w:behaviors>
        <w:guid w:val="{193B70EA-4C78-46C8-926D-0F2207FEE94A}"/>
      </w:docPartPr>
      <w:docPartBody>
        <w:p w:rsidR="006C6C63" w:rsidRDefault="00833905">
          <w:pPr>
            <w:pStyle w:val="FAF2D1B0FB584D96811FE60C2449BB23"/>
          </w:pPr>
          <w:r w:rsidRPr="00AD2E14">
            <w:rPr>
              <w:b/>
              <w:highlight w:val="lightGray"/>
            </w:rPr>
            <w:t>[Title]</w:t>
          </w:r>
        </w:p>
      </w:docPartBody>
    </w:docPart>
    <w:docPart>
      <w:docPartPr>
        <w:name w:val="91CFADA237204A049AA9A376A6D871B3"/>
        <w:category>
          <w:name w:val="General"/>
          <w:gallery w:val="placeholder"/>
        </w:category>
        <w:types>
          <w:type w:val="bbPlcHdr"/>
        </w:types>
        <w:behaviors>
          <w:behavior w:val="content"/>
        </w:behaviors>
        <w:guid w:val="{74973BB6-C194-41AB-927E-AD176F7568FE}"/>
      </w:docPartPr>
      <w:docPartBody>
        <w:p w:rsidR="006C6C63" w:rsidRDefault="006D3C33">
          <w:pPr>
            <w:pStyle w:val="91CFADA237204A049AA9A376A6D871B3"/>
          </w:pPr>
          <w:r w:rsidRPr="00AD2E14">
            <w:rPr>
              <w:b/>
              <w:highlight w:val="lightGray"/>
            </w:rPr>
            <w:t>[Title]</w:t>
          </w:r>
        </w:p>
      </w:docPartBody>
    </w:docPart>
    <w:docPart>
      <w:docPartPr>
        <w:name w:val="251784B3A0AE4A4C90F0D9C0F2E9D209"/>
        <w:category>
          <w:name w:val="General"/>
          <w:gallery w:val="placeholder"/>
        </w:category>
        <w:types>
          <w:type w:val="bbPlcHdr"/>
        </w:types>
        <w:behaviors>
          <w:behavior w:val="content"/>
        </w:behaviors>
        <w:guid w:val="{C7D43F94-2B89-4EA9-B570-E7B0DEC5947F}"/>
      </w:docPartPr>
      <w:docPartBody>
        <w:p w:rsidR="006C6C63" w:rsidRDefault="00833905">
          <w:pPr>
            <w:pStyle w:val="251784B3A0AE4A4C90F0D9C0F2E9D209"/>
          </w:pPr>
          <w:r w:rsidRPr="008249C5">
            <w:rPr>
              <w:rStyle w:val="PlaceholderText"/>
            </w:rPr>
            <w:t>[</w:t>
          </w:r>
          <w:r>
            <w:rPr>
              <w:rStyle w:val="PlaceholderText"/>
            </w:rPr>
            <w:t>Subtitle</w:t>
          </w:r>
          <w:r w:rsidRPr="008249C5">
            <w:rPr>
              <w:rStyle w:val="PlaceholderText"/>
            </w:rPr>
            <w:t>]</w:t>
          </w:r>
        </w:p>
      </w:docPartBody>
    </w:docPart>
    <w:docPart>
      <w:docPartPr>
        <w:name w:val="1DDEDB0A8D27487C8D881AB823DCCF1C"/>
        <w:category>
          <w:name w:val="General"/>
          <w:gallery w:val="placeholder"/>
        </w:category>
        <w:types>
          <w:type w:val="bbPlcHdr"/>
        </w:types>
        <w:behaviors>
          <w:behavior w:val="content"/>
        </w:behaviors>
        <w:guid w:val="{E75DF161-B14E-401D-8A87-633684133947}"/>
      </w:docPartPr>
      <w:docPartBody>
        <w:p w:rsidR="004F12D3" w:rsidRDefault="00CC6AAD" w:rsidP="00CC6AAD">
          <w:pPr>
            <w:pStyle w:val="1DDEDB0A8D27487C8D881AB823DCCF1C"/>
          </w:pPr>
          <w:r>
            <w:t>[</w:t>
          </w:r>
          <w:r w:rsidRPr="00615C49">
            <w:t>Click or tap to enter a date</w:t>
          </w:r>
          <w:r>
            <w:t>, or click to manually type custom date]</w:t>
          </w:r>
        </w:p>
      </w:docPartBody>
    </w:docPart>
    <w:docPart>
      <w:docPartPr>
        <w:name w:val="43AD62741FC04518A6F7F09A5D83BC88"/>
        <w:category>
          <w:name w:val="General"/>
          <w:gallery w:val="placeholder"/>
        </w:category>
        <w:types>
          <w:type w:val="bbPlcHdr"/>
        </w:types>
        <w:behaviors>
          <w:behavior w:val="content"/>
        </w:behaviors>
        <w:guid w:val="{D99FA6D2-111A-4EC0-B62D-7368C8BA10FE}"/>
      </w:docPartPr>
      <w:docPartBody>
        <w:p w:rsidR="004F12D3" w:rsidRDefault="00CC6AAD" w:rsidP="00CC6AAD">
          <w:pPr>
            <w:pStyle w:val="43AD62741FC04518A6F7F09A5D83BC88"/>
          </w:pPr>
          <w:r w:rsidRPr="005F3D90">
            <w:rPr>
              <w:highlight w:val="lightGray"/>
            </w:rPr>
            <w:t xml:space="preserve">[Click to select </w:t>
          </w:r>
          <w:r>
            <w:rPr>
              <w:highlight w:val="lightGray"/>
            </w:rPr>
            <w:t>a date</w:t>
          </w:r>
          <w:r w:rsidRPr="005F3D90">
            <w:rPr>
              <w:highlight w:val="lightGray"/>
            </w:rPr>
            <w:t>]</w:t>
          </w:r>
        </w:p>
      </w:docPartBody>
    </w:docPart>
    <w:docPart>
      <w:docPartPr>
        <w:name w:val="E967F348FF924142A2D483D3A777C39E"/>
        <w:category>
          <w:name w:val="General"/>
          <w:gallery w:val="placeholder"/>
        </w:category>
        <w:types>
          <w:type w:val="bbPlcHdr"/>
        </w:types>
        <w:behaviors>
          <w:behavior w:val="content"/>
        </w:behaviors>
        <w:guid w:val="{48757D1B-CC56-402B-A08E-8760E876EC1C}"/>
      </w:docPartPr>
      <w:docPartBody>
        <w:p w:rsidR="00C81EDE" w:rsidRDefault="00C81EDE">
          <w:pPr>
            <w:pStyle w:val="E967F348FF924142A2D483D3A777C39E"/>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05"/>
    <w:rsid w:val="000012A4"/>
    <w:rsid w:val="00001517"/>
    <w:rsid w:val="000018DF"/>
    <w:rsid w:val="0001286E"/>
    <w:rsid w:val="00024360"/>
    <w:rsid w:val="00026141"/>
    <w:rsid w:val="00026239"/>
    <w:rsid w:val="00027243"/>
    <w:rsid w:val="00030F7D"/>
    <w:rsid w:val="0003428D"/>
    <w:rsid w:val="00042102"/>
    <w:rsid w:val="00055391"/>
    <w:rsid w:val="00063765"/>
    <w:rsid w:val="000943DE"/>
    <w:rsid w:val="000955A1"/>
    <w:rsid w:val="000B6C5C"/>
    <w:rsid w:val="000E46C8"/>
    <w:rsid w:val="000F6539"/>
    <w:rsid w:val="0011798B"/>
    <w:rsid w:val="0012353B"/>
    <w:rsid w:val="00127BC5"/>
    <w:rsid w:val="0013031D"/>
    <w:rsid w:val="00151415"/>
    <w:rsid w:val="00194E12"/>
    <w:rsid w:val="001975B4"/>
    <w:rsid w:val="001A1B9C"/>
    <w:rsid w:val="001A3E13"/>
    <w:rsid w:val="001A466F"/>
    <w:rsid w:val="001B5020"/>
    <w:rsid w:val="001C021A"/>
    <w:rsid w:val="001C3B7B"/>
    <w:rsid w:val="001C6DA0"/>
    <w:rsid w:val="001E26E7"/>
    <w:rsid w:val="002036A6"/>
    <w:rsid w:val="002037AE"/>
    <w:rsid w:val="0020411C"/>
    <w:rsid w:val="00206FDF"/>
    <w:rsid w:val="002102F0"/>
    <w:rsid w:val="00235D41"/>
    <w:rsid w:val="002534B3"/>
    <w:rsid w:val="002554A5"/>
    <w:rsid w:val="00265F80"/>
    <w:rsid w:val="00273972"/>
    <w:rsid w:val="00287683"/>
    <w:rsid w:val="00292355"/>
    <w:rsid w:val="002A78DF"/>
    <w:rsid w:val="002B23BD"/>
    <w:rsid w:val="002E28AD"/>
    <w:rsid w:val="002F2930"/>
    <w:rsid w:val="002F2A6E"/>
    <w:rsid w:val="002F77EA"/>
    <w:rsid w:val="003003C0"/>
    <w:rsid w:val="00302FC1"/>
    <w:rsid w:val="00315287"/>
    <w:rsid w:val="003159EF"/>
    <w:rsid w:val="00331C87"/>
    <w:rsid w:val="0033246C"/>
    <w:rsid w:val="00333A2C"/>
    <w:rsid w:val="00340789"/>
    <w:rsid w:val="00344512"/>
    <w:rsid w:val="00345CD8"/>
    <w:rsid w:val="00351C73"/>
    <w:rsid w:val="00356DA8"/>
    <w:rsid w:val="00363EB5"/>
    <w:rsid w:val="00371D4E"/>
    <w:rsid w:val="003A17BF"/>
    <w:rsid w:val="003A58F2"/>
    <w:rsid w:val="003B43AE"/>
    <w:rsid w:val="003B501F"/>
    <w:rsid w:val="003B6B75"/>
    <w:rsid w:val="003D0FE8"/>
    <w:rsid w:val="00413712"/>
    <w:rsid w:val="00433BCE"/>
    <w:rsid w:val="0043459F"/>
    <w:rsid w:val="00442EB5"/>
    <w:rsid w:val="004437FC"/>
    <w:rsid w:val="00444F18"/>
    <w:rsid w:val="00451827"/>
    <w:rsid w:val="004526DD"/>
    <w:rsid w:val="00461073"/>
    <w:rsid w:val="00476AA0"/>
    <w:rsid w:val="00496F48"/>
    <w:rsid w:val="004A2BD7"/>
    <w:rsid w:val="004B391A"/>
    <w:rsid w:val="004C5976"/>
    <w:rsid w:val="004C6E15"/>
    <w:rsid w:val="004C7ED5"/>
    <w:rsid w:val="004F12D3"/>
    <w:rsid w:val="004F1D6F"/>
    <w:rsid w:val="004F4F55"/>
    <w:rsid w:val="005015CD"/>
    <w:rsid w:val="00507CB5"/>
    <w:rsid w:val="00525FA3"/>
    <w:rsid w:val="005328A0"/>
    <w:rsid w:val="00547495"/>
    <w:rsid w:val="00553C1A"/>
    <w:rsid w:val="00561804"/>
    <w:rsid w:val="00566C0A"/>
    <w:rsid w:val="00577F20"/>
    <w:rsid w:val="0058005C"/>
    <w:rsid w:val="005935B2"/>
    <w:rsid w:val="0059761E"/>
    <w:rsid w:val="005C0F1E"/>
    <w:rsid w:val="005F0023"/>
    <w:rsid w:val="005F2EB2"/>
    <w:rsid w:val="005F3CD3"/>
    <w:rsid w:val="00607C6C"/>
    <w:rsid w:val="00613F21"/>
    <w:rsid w:val="00617EF9"/>
    <w:rsid w:val="00621691"/>
    <w:rsid w:val="00625123"/>
    <w:rsid w:val="00625A42"/>
    <w:rsid w:val="006339B3"/>
    <w:rsid w:val="00635007"/>
    <w:rsid w:val="00636201"/>
    <w:rsid w:val="0065242F"/>
    <w:rsid w:val="0065459C"/>
    <w:rsid w:val="00663D6B"/>
    <w:rsid w:val="0066461D"/>
    <w:rsid w:val="00675F52"/>
    <w:rsid w:val="00696F31"/>
    <w:rsid w:val="006A23E1"/>
    <w:rsid w:val="006C6C63"/>
    <w:rsid w:val="006D1091"/>
    <w:rsid w:val="006D3C33"/>
    <w:rsid w:val="006D7C83"/>
    <w:rsid w:val="006E26F1"/>
    <w:rsid w:val="006E426C"/>
    <w:rsid w:val="006F40CD"/>
    <w:rsid w:val="006F51C4"/>
    <w:rsid w:val="00731BB7"/>
    <w:rsid w:val="00743350"/>
    <w:rsid w:val="00754ABC"/>
    <w:rsid w:val="007705E7"/>
    <w:rsid w:val="00772894"/>
    <w:rsid w:val="007814E0"/>
    <w:rsid w:val="0078177F"/>
    <w:rsid w:val="00781E19"/>
    <w:rsid w:val="00796188"/>
    <w:rsid w:val="007A0473"/>
    <w:rsid w:val="007A1306"/>
    <w:rsid w:val="007A19B2"/>
    <w:rsid w:val="007B342D"/>
    <w:rsid w:val="007B6CF0"/>
    <w:rsid w:val="007C692D"/>
    <w:rsid w:val="007D1DA3"/>
    <w:rsid w:val="007D76A5"/>
    <w:rsid w:val="007F126C"/>
    <w:rsid w:val="008033BE"/>
    <w:rsid w:val="00804075"/>
    <w:rsid w:val="0081779E"/>
    <w:rsid w:val="00833905"/>
    <w:rsid w:val="0084107E"/>
    <w:rsid w:val="008562C8"/>
    <w:rsid w:val="00866615"/>
    <w:rsid w:val="008728D2"/>
    <w:rsid w:val="00873278"/>
    <w:rsid w:val="008839EF"/>
    <w:rsid w:val="00897558"/>
    <w:rsid w:val="008C6CFA"/>
    <w:rsid w:val="008C7AE7"/>
    <w:rsid w:val="008F6614"/>
    <w:rsid w:val="008F6BAB"/>
    <w:rsid w:val="00913568"/>
    <w:rsid w:val="009172F3"/>
    <w:rsid w:val="00924438"/>
    <w:rsid w:val="00925372"/>
    <w:rsid w:val="00927648"/>
    <w:rsid w:val="009321D3"/>
    <w:rsid w:val="009447B7"/>
    <w:rsid w:val="00986F0B"/>
    <w:rsid w:val="009B74C1"/>
    <w:rsid w:val="009D3029"/>
    <w:rsid w:val="009E17B6"/>
    <w:rsid w:val="009F5BD5"/>
    <w:rsid w:val="00A008DF"/>
    <w:rsid w:val="00A04F58"/>
    <w:rsid w:val="00A15935"/>
    <w:rsid w:val="00A236AE"/>
    <w:rsid w:val="00A23C04"/>
    <w:rsid w:val="00A461A0"/>
    <w:rsid w:val="00A55627"/>
    <w:rsid w:val="00A56944"/>
    <w:rsid w:val="00A64658"/>
    <w:rsid w:val="00A74C91"/>
    <w:rsid w:val="00A94043"/>
    <w:rsid w:val="00AA1129"/>
    <w:rsid w:val="00AB4EF2"/>
    <w:rsid w:val="00AB6E28"/>
    <w:rsid w:val="00AC4FBF"/>
    <w:rsid w:val="00AD4B82"/>
    <w:rsid w:val="00AE0772"/>
    <w:rsid w:val="00AE5CB2"/>
    <w:rsid w:val="00AF086C"/>
    <w:rsid w:val="00AF4AEA"/>
    <w:rsid w:val="00B21281"/>
    <w:rsid w:val="00B37C06"/>
    <w:rsid w:val="00B40649"/>
    <w:rsid w:val="00B53F91"/>
    <w:rsid w:val="00B57923"/>
    <w:rsid w:val="00B87BA9"/>
    <w:rsid w:val="00B90157"/>
    <w:rsid w:val="00B90FE9"/>
    <w:rsid w:val="00B92282"/>
    <w:rsid w:val="00B9690A"/>
    <w:rsid w:val="00BA0FE6"/>
    <w:rsid w:val="00BA192F"/>
    <w:rsid w:val="00BA4254"/>
    <w:rsid w:val="00BC25CE"/>
    <w:rsid w:val="00BD12A5"/>
    <w:rsid w:val="00BD3AE8"/>
    <w:rsid w:val="00BE6E99"/>
    <w:rsid w:val="00BF14EA"/>
    <w:rsid w:val="00C05316"/>
    <w:rsid w:val="00C15506"/>
    <w:rsid w:val="00C16A12"/>
    <w:rsid w:val="00C16E54"/>
    <w:rsid w:val="00C24D83"/>
    <w:rsid w:val="00C264BA"/>
    <w:rsid w:val="00C32CE5"/>
    <w:rsid w:val="00C353BC"/>
    <w:rsid w:val="00C35EA9"/>
    <w:rsid w:val="00C420EE"/>
    <w:rsid w:val="00C60A2E"/>
    <w:rsid w:val="00C6187C"/>
    <w:rsid w:val="00C81EDE"/>
    <w:rsid w:val="00C86042"/>
    <w:rsid w:val="00CA4FD6"/>
    <w:rsid w:val="00CB162D"/>
    <w:rsid w:val="00CB49AC"/>
    <w:rsid w:val="00CB5E8D"/>
    <w:rsid w:val="00CC1991"/>
    <w:rsid w:val="00CC210E"/>
    <w:rsid w:val="00CC6AAD"/>
    <w:rsid w:val="00CD1A07"/>
    <w:rsid w:val="00CD3001"/>
    <w:rsid w:val="00CD5C54"/>
    <w:rsid w:val="00CD7346"/>
    <w:rsid w:val="00CE64C2"/>
    <w:rsid w:val="00CF5C9A"/>
    <w:rsid w:val="00D27D61"/>
    <w:rsid w:val="00D3192F"/>
    <w:rsid w:val="00D40F58"/>
    <w:rsid w:val="00D64107"/>
    <w:rsid w:val="00D76D5A"/>
    <w:rsid w:val="00D76EEF"/>
    <w:rsid w:val="00D81944"/>
    <w:rsid w:val="00DC250E"/>
    <w:rsid w:val="00DC4956"/>
    <w:rsid w:val="00DC53A6"/>
    <w:rsid w:val="00DC6C48"/>
    <w:rsid w:val="00DD376F"/>
    <w:rsid w:val="00DD4FA8"/>
    <w:rsid w:val="00DE17C2"/>
    <w:rsid w:val="00DE4A56"/>
    <w:rsid w:val="00DF12CB"/>
    <w:rsid w:val="00DF539F"/>
    <w:rsid w:val="00E21F96"/>
    <w:rsid w:val="00E34C92"/>
    <w:rsid w:val="00E57E1F"/>
    <w:rsid w:val="00E773E3"/>
    <w:rsid w:val="00E8581F"/>
    <w:rsid w:val="00E93116"/>
    <w:rsid w:val="00E950E7"/>
    <w:rsid w:val="00E955CA"/>
    <w:rsid w:val="00EA0B38"/>
    <w:rsid w:val="00EB291D"/>
    <w:rsid w:val="00EE2F1B"/>
    <w:rsid w:val="00EF4450"/>
    <w:rsid w:val="00F15A66"/>
    <w:rsid w:val="00F33085"/>
    <w:rsid w:val="00F364E6"/>
    <w:rsid w:val="00F40584"/>
    <w:rsid w:val="00F42E90"/>
    <w:rsid w:val="00F60D2F"/>
    <w:rsid w:val="00F66853"/>
    <w:rsid w:val="00F7164A"/>
    <w:rsid w:val="00F7772D"/>
    <w:rsid w:val="00F905B5"/>
    <w:rsid w:val="00F958CB"/>
    <w:rsid w:val="00FB0BD8"/>
    <w:rsid w:val="00FB13D6"/>
    <w:rsid w:val="00FB2536"/>
    <w:rsid w:val="00FC7905"/>
    <w:rsid w:val="00FE5E17"/>
    <w:rsid w:val="00FE6F19"/>
    <w:rsid w:val="00FE7A86"/>
    <w:rsid w:val="00FF1BFE"/>
    <w:rsid w:val="00FF3A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CF7812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entred">
    <w:name w:val="Title Centred"/>
    <w:basedOn w:val="Title"/>
    <w:link w:val="TitleCentredChar"/>
    <w:qFormat/>
    <w:pPr>
      <w:framePr w:wrap="around" w:vAnchor="page" w:hAnchor="page" w:xAlign="center" w:yAlign="center" w:anchorLock="1"/>
      <w:spacing w:before="160" w:after="280" w:line="336" w:lineRule="auto"/>
      <w:jc w:val="center"/>
    </w:pPr>
    <w:rPr>
      <w:rFonts w:ascii="Tahoma" w:hAnsi="Tahoma"/>
      <w:color w:val="0E2841" w:themeColor="text2"/>
      <w:sz w:val="52"/>
      <w:lang w:val="en-US" w:eastAsia="en-US"/>
    </w:rPr>
  </w:style>
  <w:style w:type="character" w:customStyle="1" w:styleId="TitleCentredChar">
    <w:name w:val="Title Centred Char"/>
    <w:basedOn w:val="TitleChar"/>
    <w:link w:val="TitleCentred"/>
    <w:rPr>
      <w:rFonts w:ascii="Tahoma" w:eastAsiaTheme="majorEastAsia" w:hAnsi="Tahoma" w:cstheme="majorBidi"/>
      <w:color w:val="0E2841" w:themeColor="text2"/>
      <w:spacing w:val="-10"/>
      <w:kern w:val="28"/>
      <w:sz w:val="52"/>
      <w:szCs w:val="56"/>
      <w:lang w:val="en-US" w:eastAsia="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Pr>
      <w:color w:val="808080"/>
    </w:rPr>
  </w:style>
  <w:style w:type="paragraph" w:customStyle="1" w:styleId="89546CF0731A43EEA0DAC878284F1376">
    <w:name w:val="89546CF0731A43EEA0DAC878284F1376"/>
  </w:style>
  <w:style w:type="paragraph" w:customStyle="1" w:styleId="239B74B6562C4E07B295F08C831DCD72">
    <w:name w:val="239B74B6562C4E07B295F08C831DCD72"/>
    <w:rsid w:val="00833905"/>
  </w:style>
  <w:style w:type="paragraph" w:customStyle="1" w:styleId="B4436841E4824DCE81F3F32E50702F23">
    <w:name w:val="B4436841E4824DCE81F3F32E50702F23"/>
    <w:rsid w:val="00833905"/>
  </w:style>
  <w:style w:type="paragraph" w:customStyle="1" w:styleId="1DDEDB0A8D27487C8D881AB823DCCF1C">
    <w:name w:val="1DDEDB0A8D27487C8D881AB823DCCF1C"/>
    <w:rsid w:val="00CC6AAD"/>
    <w:pPr>
      <w:spacing w:line="278" w:lineRule="auto"/>
    </w:pPr>
    <w:rPr>
      <w:kern w:val="2"/>
      <w:sz w:val="24"/>
      <w:szCs w:val="24"/>
      <w14:ligatures w14:val="standardContextual"/>
    </w:rPr>
  </w:style>
  <w:style w:type="paragraph" w:customStyle="1" w:styleId="7DB643A5C7E044B1886B1A3DCB9EC00C">
    <w:name w:val="7DB643A5C7E044B1886B1A3DCB9EC00C"/>
    <w:pPr>
      <w:spacing w:line="278" w:lineRule="auto"/>
    </w:pPr>
    <w:rPr>
      <w:kern w:val="2"/>
      <w:sz w:val="24"/>
      <w:szCs w:val="24"/>
      <w14:ligatures w14:val="standardContextual"/>
    </w:rPr>
  </w:style>
  <w:style w:type="paragraph" w:customStyle="1" w:styleId="43AD62741FC04518A6F7F09A5D83BC88">
    <w:name w:val="43AD62741FC04518A6F7F09A5D83BC88"/>
    <w:rsid w:val="00CC6AAD"/>
    <w:pPr>
      <w:spacing w:line="278" w:lineRule="auto"/>
    </w:pPr>
    <w:rPr>
      <w:kern w:val="2"/>
      <w:sz w:val="24"/>
      <w:szCs w:val="24"/>
      <w14:ligatures w14:val="standardContextual"/>
    </w:rPr>
  </w:style>
  <w:style w:type="paragraph" w:customStyle="1" w:styleId="BDEC5858230C42A8B154867B7513E6E3">
    <w:name w:val="BDEC5858230C42A8B154867B7513E6E3"/>
    <w:pPr>
      <w:spacing w:line="278" w:lineRule="auto"/>
    </w:pPr>
    <w:rPr>
      <w:kern w:val="2"/>
      <w:sz w:val="24"/>
      <w:szCs w:val="24"/>
      <w14:ligatures w14:val="standardContextual"/>
    </w:rPr>
  </w:style>
  <w:style w:type="paragraph" w:customStyle="1" w:styleId="2044E0E441834FDF9B6C8875D788909F">
    <w:name w:val="2044E0E441834FDF9B6C8875D788909F"/>
    <w:pPr>
      <w:spacing w:line="278" w:lineRule="auto"/>
    </w:pPr>
    <w:rPr>
      <w:kern w:val="2"/>
      <w:sz w:val="24"/>
      <w:szCs w:val="24"/>
      <w14:ligatures w14:val="standardContextual"/>
    </w:rPr>
  </w:style>
  <w:style w:type="paragraph" w:customStyle="1" w:styleId="1F1A6C0E6F95497387A5DF62E9103AF8">
    <w:name w:val="1F1A6C0E6F95497387A5DF62E9103AF8"/>
    <w:pPr>
      <w:spacing w:line="278" w:lineRule="auto"/>
    </w:pPr>
    <w:rPr>
      <w:kern w:val="2"/>
      <w:sz w:val="24"/>
      <w:szCs w:val="24"/>
      <w14:ligatures w14:val="standardContextual"/>
    </w:rPr>
  </w:style>
  <w:style w:type="paragraph" w:customStyle="1" w:styleId="546CF8128C23497D8DE251B6CCFCE808">
    <w:name w:val="546CF8128C23497D8DE251B6CCFCE808"/>
    <w:pPr>
      <w:spacing w:line="278" w:lineRule="auto"/>
    </w:pPr>
    <w:rPr>
      <w:kern w:val="2"/>
      <w:sz w:val="24"/>
      <w:szCs w:val="24"/>
      <w14:ligatures w14:val="standardContextual"/>
    </w:rPr>
  </w:style>
  <w:style w:type="paragraph" w:customStyle="1" w:styleId="A7DD116C24274316A06314982664B3D6">
    <w:name w:val="A7DD116C24274316A06314982664B3D6"/>
    <w:pPr>
      <w:spacing w:line="278" w:lineRule="auto"/>
    </w:pPr>
    <w:rPr>
      <w:kern w:val="2"/>
      <w:sz w:val="24"/>
      <w:szCs w:val="24"/>
      <w14:ligatures w14:val="standardContextual"/>
    </w:rPr>
  </w:style>
  <w:style w:type="paragraph" w:customStyle="1" w:styleId="B21955D60E114E2FA8DE6C2EC6A5A23A">
    <w:name w:val="B21955D60E114E2FA8DE6C2EC6A5A23A"/>
    <w:pPr>
      <w:spacing w:line="278" w:lineRule="auto"/>
    </w:pPr>
    <w:rPr>
      <w:kern w:val="2"/>
      <w:sz w:val="24"/>
      <w:szCs w:val="24"/>
      <w14:ligatures w14:val="standardContextual"/>
    </w:rPr>
  </w:style>
  <w:style w:type="paragraph" w:customStyle="1" w:styleId="A6E2DA9AE54B4BCD9A437D57B7688D54">
    <w:name w:val="A6E2DA9AE54B4BCD9A437D57B7688D54"/>
    <w:pPr>
      <w:spacing w:line="278" w:lineRule="auto"/>
    </w:pPr>
    <w:rPr>
      <w:kern w:val="2"/>
      <w:sz w:val="24"/>
      <w:szCs w:val="24"/>
      <w14:ligatures w14:val="standardContextual"/>
    </w:rPr>
  </w:style>
  <w:style w:type="paragraph" w:customStyle="1" w:styleId="A0E4C2F389794D64A4E6017905833181">
    <w:name w:val="A0E4C2F389794D64A4E6017905833181"/>
    <w:pPr>
      <w:spacing w:line="278" w:lineRule="auto"/>
    </w:pPr>
    <w:rPr>
      <w:kern w:val="2"/>
      <w:sz w:val="24"/>
      <w:szCs w:val="24"/>
      <w14:ligatures w14:val="standardContextual"/>
    </w:rPr>
  </w:style>
  <w:style w:type="paragraph" w:customStyle="1" w:styleId="80CB34A5B5674C98AD556B455A13179F">
    <w:name w:val="80CB34A5B5674C98AD556B455A13179F"/>
    <w:pPr>
      <w:spacing w:line="278" w:lineRule="auto"/>
    </w:pPr>
    <w:rPr>
      <w:kern w:val="2"/>
      <w:sz w:val="24"/>
      <w:szCs w:val="24"/>
      <w14:ligatures w14:val="standardContextual"/>
    </w:rPr>
  </w:style>
  <w:style w:type="paragraph" w:customStyle="1" w:styleId="09324E5AFDA84CBA9EE0E77D85769D2E">
    <w:name w:val="09324E5AFDA84CBA9EE0E77D85769D2E"/>
    <w:pPr>
      <w:spacing w:line="278" w:lineRule="auto"/>
    </w:pPr>
    <w:rPr>
      <w:kern w:val="2"/>
      <w:sz w:val="24"/>
      <w:szCs w:val="24"/>
      <w14:ligatures w14:val="standardContextual"/>
    </w:rPr>
  </w:style>
  <w:style w:type="paragraph" w:customStyle="1" w:styleId="D7F32196FF554BB6A40EF347354734BA">
    <w:name w:val="D7F32196FF554BB6A40EF347354734BA"/>
    <w:pPr>
      <w:spacing w:line="278" w:lineRule="auto"/>
    </w:pPr>
    <w:rPr>
      <w:kern w:val="2"/>
      <w:sz w:val="24"/>
      <w:szCs w:val="24"/>
      <w14:ligatures w14:val="standardContextual"/>
    </w:rPr>
  </w:style>
  <w:style w:type="paragraph" w:customStyle="1" w:styleId="FAF2D1B0FB584D96811FE60C2449BB23">
    <w:name w:val="FAF2D1B0FB584D96811FE60C2449BB23"/>
    <w:pPr>
      <w:spacing w:line="278" w:lineRule="auto"/>
    </w:pPr>
    <w:rPr>
      <w:kern w:val="2"/>
      <w:sz w:val="24"/>
      <w:szCs w:val="24"/>
      <w14:ligatures w14:val="standardContextual"/>
    </w:rPr>
  </w:style>
  <w:style w:type="paragraph" w:customStyle="1" w:styleId="91CFADA237204A049AA9A376A6D871B3">
    <w:name w:val="91CFADA237204A049AA9A376A6D871B3"/>
    <w:pPr>
      <w:spacing w:line="278" w:lineRule="auto"/>
    </w:pPr>
    <w:rPr>
      <w:kern w:val="2"/>
      <w:sz w:val="24"/>
      <w:szCs w:val="24"/>
      <w14:ligatures w14:val="standardContextual"/>
    </w:rPr>
  </w:style>
  <w:style w:type="paragraph" w:customStyle="1" w:styleId="251784B3A0AE4A4C90F0D9C0F2E9D209">
    <w:name w:val="251784B3A0AE4A4C90F0D9C0F2E9D209"/>
    <w:pPr>
      <w:spacing w:line="278" w:lineRule="auto"/>
    </w:pPr>
    <w:rPr>
      <w:kern w:val="2"/>
      <w:sz w:val="24"/>
      <w:szCs w:val="24"/>
      <w14:ligatures w14:val="standardContextual"/>
    </w:rPr>
  </w:style>
  <w:style w:type="paragraph" w:customStyle="1" w:styleId="E967F348FF924142A2D483D3A777C39E">
    <w:name w:val="E967F348FF924142A2D483D3A777C39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F5B4F566EDE04E8FC82BBE258AC15C" ma:contentTypeVersion="14" ma:contentTypeDescription="Create a new document." ma:contentTypeScope="" ma:versionID="4eddb80c5a86f3adf767ff00a142a42e">
  <xsd:schema xmlns:xsd="http://www.w3.org/2001/XMLSchema" xmlns:xs="http://www.w3.org/2001/XMLSchema" xmlns:p="http://schemas.microsoft.com/office/2006/metadata/properties" xmlns:ns2="12fa1e3f-bff0-4a68-a0e1-8991d6694121" xmlns:ns3="1fe0551b-aea2-4114-b38d-c5f7409b7e34" targetNamespace="http://schemas.microsoft.com/office/2006/metadata/properties" ma:root="true" ma:fieldsID="544b3990ea2472c0f9bdce3a5590c947" ns2:_="" ns3:_="">
    <xsd:import namespace="12fa1e3f-bff0-4a68-a0e1-8991d6694121"/>
    <xsd:import namespace="1fe0551b-aea2-4114-b38d-c5f7409b7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a1e3f-bff0-4a68-a0e1-8991d6694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e0551b-aea2-4114-b38d-c5f7409b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0f870a1-443f-4a47-b096-e8ee88ab6acd}" ma:internalName="TaxCatchAll" ma:showField="CatchAllData" ma:web="1fe0551b-aea2-4114-b38d-c5f7409b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fa1e3f-bff0-4a68-a0e1-8991d6694121">
      <Terms xmlns="http://schemas.microsoft.com/office/infopath/2007/PartnerControls"/>
    </lcf76f155ced4ddcb4097134ff3c332f>
    <TaxCatchAll xmlns="1fe0551b-aea2-4114-b38d-c5f7409b7e3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57F789-7609-4DAE-9960-E50C5EB1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a1e3f-bff0-4a68-a0e1-8991d6694121"/>
    <ds:schemaRef ds:uri="1fe0551b-aea2-4114-b38d-c5f7409b7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0081E-C9DC-42F8-B6AC-7E60B8140FCE}">
  <ds:schemaRefs>
    <ds:schemaRef ds:uri="http://schemas.openxmlformats.org/officeDocument/2006/bibliography"/>
  </ds:schemaRefs>
</ds:datastoreItem>
</file>

<file path=customXml/itemProps3.xml><?xml version="1.0" encoding="utf-8"?>
<ds:datastoreItem xmlns:ds="http://schemas.openxmlformats.org/officeDocument/2006/customXml" ds:itemID="{1D07E9FD-D367-4456-8714-1C4AFCB6ABD2}">
  <ds:schemaRefs>
    <ds:schemaRef ds:uri="http://schemas.microsoft.com/office/2006/metadata/properties"/>
    <ds:schemaRef ds:uri="http://schemas.microsoft.com/office/infopath/2007/PartnerControls"/>
    <ds:schemaRef ds:uri="12fa1e3f-bff0-4a68-a0e1-8991d6694121"/>
    <ds:schemaRef ds:uri="1fe0551b-aea2-4114-b38d-c5f7409b7e34"/>
  </ds:schemaRefs>
</ds:datastoreItem>
</file>

<file path=customXml/itemProps4.xml><?xml version="1.0" encoding="utf-8"?>
<ds:datastoreItem xmlns:ds="http://schemas.openxmlformats.org/officeDocument/2006/customXml" ds:itemID="{31DB8A33-A4BC-4BFD-ADA6-61735548C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105</Pages>
  <Words>23569</Words>
  <Characters>134349</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Victorian Default Offer 2025–26</vt:lpstr>
    </vt:vector>
  </TitlesOfParts>
  <Company/>
  <LinksUpToDate>false</LinksUpToDate>
  <CharactersWithSpaces>157603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Default Offer 2025–26</dc:title>
  <dc:subject/>
  <dc:creator>Meg Harris (ESC)</dc:creator>
  <cp:keywords>[SEC=OFFICIAL]</cp:keywords>
  <dc:description>Final Decision Paper</dc:description>
  <cp:lastModifiedBy>Meg Harris (ESC)</cp:lastModifiedBy>
  <cp:revision>716</cp:revision>
  <cp:lastPrinted>2025-05-22T04:53:00Z</cp:lastPrinted>
  <dcterms:created xsi:type="dcterms:W3CDTF">2025-05-23T06:48:00Z</dcterms:created>
  <dcterms:modified xsi:type="dcterms:W3CDTF">2025-05-23T00:17:00Z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0x0101008AF5B4F566EDE04E8FC82BBE258AC15C</vt:lpwstr>
  </property>
  <property fmtid="{D5CDD505-2E9C-101B-9397-08002B2CF9AE}" pid="3" name="MediaServiceImageTags">
    <vt:lpwstr/>
  </property>
  <property fmtid="{D5CDD505-2E9C-101B-9397-08002B2CF9AE}" pid="4" name="PM_Namespace">
    <vt:lpwstr>2019.2.1.vic.gov.au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2025-01-28T01:54:42Z</vt:lpwstr>
  </property>
  <property fmtid="{D5CDD505-2E9C-101B-9397-08002B2CF9AE}" pid="12" name="PM_Markers">
    <vt:lpwstr/>
  </property>
  <property fmtid="{D5CDD505-2E9C-101B-9397-08002B2CF9AE}" pid="13" name="PM_InsertionValue">
    <vt:lpwstr>OFFICIAL</vt:lpwstr>
  </property>
  <property fmtid="{D5CDD505-2E9C-101B-9397-08002B2CF9AE}" pid="14" name="PM_DisplayValueSecClassificationWithQualifier">
    <vt:lpwstr>OFFICIAL</vt:lpwstr>
  </property>
  <property fmtid="{D5CDD505-2E9C-101B-9397-08002B2CF9AE}" pid="15" name="PM_Originating_FileId">
    <vt:lpwstr>D9588BC96E3B4B1A917DCB5154574708</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DomainName_SHA256">
    <vt:lpwstr>9E5929A2B0C9364118E50F7972B6A4AA763F815A803675E11226272E392AE99C</vt:lpwstr>
  </property>
  <property fmtid="{D5CDD505-2E9C-101B-9397-08002B2CF9AE}" pid="21" name="PMUuid">
    <vt:lpwstr>v=2022.2;d=vic.gov.au;g=0BC0AFEB-CD42-5391-A624-A890967918FF</vt:lpwstr>
  </property>
  <property fmtid="{D5CDD505-2E9C-101B-9397-08002B2CF9AE}" pid="22" name="PM_Hash_Version">
    <vt:lpwstr>2022.1</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ClassificationContentMarkingHeaderShapeIds">
    <vt:lpwstr>48fa8535,2ac05238,71f04664,13c1623,3ad0e552,256aaf98,7eb93284,6f8bd727,24d6ed8d,10ec989f,1b3cb04f,688466d,30386f42,2e6efed3,20f40dab,1454a7f5,5b467c85,3eb735f3,483edb8a,1eb9b6eb,6e5e0538,293e362f,30e7b438</vt:lpwstr>
  </property>
  <property fmtid="{D5CDD505-2E9C-101B-9397-08002B2CF9AE}" pid="26" name="ClassificationContentMarkingHeaderFontProps">
    <vt:lpwstr>#ff0000,12,Calibri</vt:lpwstr>
  </property>
  <property fmtid="{D5CDD505-2E9C-101B-9397-08002B2CF9AE}" pid="27" name="ClassificationContentMarkingHeaderText">
    <vt:lpwstr>OFFICIAL: Sensitive</vt:lpwstr>
  </property>
  <property fmtid="{D5CDD505-2E9C-101B-9397-08002B2CF9AE}" pid="28" name="PM_Originator_Hash_SHA1">
    <vt:lpwstr>13FB284D2F9300206886A5E8B5D76ECEB1F2F6AE</vt:lpwstr>
  </property>
  <property fmtid="{D5CDD505-2E9C-101B-9397-08002B2CF9AE}" pid="29" name="PM_OriginatorUserAccountName_SHA256">
    <vt:lpwstr>085903AF1504212DAA520D5954CCABFF9C4686F466B669ABA9619B53688FEFDA</vt:lpwstr>
  </property>
  <property fmtid="{D5CDD505-2E9C-101B-9397-08002B2CF9AE}" pid="30" name="PMHMAC">
    <vt:lpwstr>v=2022.1;a=SHA256;h=0A8E596C1A85A4E39B402B4C61B891CA68107B6CE8E2D6AF260A4A513CBD91A6</vt:lpwstr>
  </property>
  <property fmtid="{D5CDD505-2E9C-101B-9397-08002B2CF9AE}" pid="31" name="PM_Hash_Salt_Prev">
    <vt:lpwstr>1A2216FB3B76F59285C71E94C65D32E4</vt:lpwstr>
  </property>
  <property fmtid="{D5CDD505-2E9C-101B-9397-08002B2CF9AE}" pid="32" name="PM_Hash_Salt">
    <vt:lpwstr>9D03A371D60B33EFA0489C30E3B24E53</vt:lpwstr>
  </property>
  <property fmtid="{D5CDD505-2E9C-101B-9397-08002B2CF9AE}" pid="33" name="PM_Hash_SHA1">
    <vt:lpwstr>6AD4461A713F8B82087A83421D5FC582BBB51F0C</vt:lpwstr>
  </property>
  <property fmtid="{D5CDD505-2E9C-101B-9397-08002B2CF9AE}" pid="34" name="ClassificationContentMarkingHeaderShapeIds-1">
    <vt:lpwstr>60178b3a,2025f9e0,378c580b,63c91b8c,489a7ed8,7d079cce,84b6e00,1f2e715,74c86a38,23d33125,4089d05b,738882a6,d83ce94,45a54e47,188de525,9f8cbc2,5e84ef8d,73a487e0,6d18339d,417c34c9,26fba1de,64bc52db,55bac6c9</vt:lpwstr>
  </property>
  <property fmtid="{D5CDD505-2E9C-101B-9397-08002B2CF9AE}" pid="35" name="ClassificationContentMarkingHeaderShapeIds-2">
    <vt:lpwstr>3fe67906,42565c3c,787f4136,6adb9607,66bf9992</vt:lpwstr>
  </property>
  <property fmtid="{D5CDD505-2E9C-101B-9397-08002B2CF9AE}" pid="36" name="MSIP_Label_90e7f466-423d-4722-af16-ba0e3ba437ba_Enabled">
    <vt:lpwstr>true</vt:lpwstr>
  </property>
  <property fmtid="{D5CDD505-2E9C-101B-9397-08002B2CF9AE}" pid="37" name="MSIP_Label_90e7f466-423d-4722-af16-ba0e3ba437ba_SetDate">
    <vt:lpwstr>2025-05-22T02:08:37Z</vt:lpwstr>
  </property>
  <property fmtid="{D5CDD505-2E9C-101B-9397-08002B2CF9AE}" pid="38" name="MSIP_Label_90e7f466-423d-4722-af16-ba0e3ba437ba_Method">
    <vt:lpwstr>Privileged</vt:lpwstr>
  </property>
  <property fmtid="{D5CDD505-2E9C-101B-9397-08002B2CF9AE}" pid="39" name="MSIP_Label_90e7f466-423d-4722-af16-ba0e3ba437ba_Name">
    <vt:lpwstr>No Marking</vt:lpwstr>
  </property>
  <property fmtid="{D5CDD505-2E9C-101B-9397-08002B2CF9AE}" pid="40" name="MSIP_Label_90e7f466-423d-4722-af16-ba0e3ba437ba_SiteId">
    <vt:lpwstr>5f894de5-5651-487a-aaff-5a8c899b254d</vt:lpwstr>
  </property>
  <property fmtid="{D5CDD505-2E9C-101B-9397-08002B2CF9AE}" pid="41" name="MSIP_Label_90e7f466-423d-4722-af16-ba0e3ba437ba_ActionId">
    <vt:lpwstr>d8f8cd13-4154-4a5b-a8ee-0d991640dcde</vt:lpwstr>
  </property>
  <property fmtid="{D5CDD505-2E9C-101B-9397-08002B2CF9AE}" pid="42" name="MSIP_Label_90e7f466-423d-4722-af16-ba0e3ba437ba_ContentBits">
    <vt:lpwstr>0</vt:lpwstr>
  </property>
  <property fmtid="{D5CDD505-2E9C-101B-9397-08002B2CF9AE}" pid="43" name="MSIP_Label_90e7f466-423d-4722-af16-ba0e3ba437ba_Tag">
    <vt:lpwstr>10, 0, 1, 1</vt:lpwstr>
  </property>
</Properties>
</file>