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21D1" w14:textId="66436C45"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29A03894" w14:textId="77777777" w:rsidR="007E1738" w:rsidRDefault="007E1738" w:rsidP="00633068">
      <w:pPr>
        <w:pStyle w:val="NoSpacing"/>
      </w:pPr>
    </w:p>
    <w:p w14:paraId="02A73D97" w14:textId="77777777" w:rsidR="007E1738" w:rsidRDefault="007E1738" w:rsidP="00633068">
      <w:pPr>
        <w:pStyle w:val="NoSpacing"/>
      </w:pPr>
    </w:p>
    <w:p w14:paraId="64F289B1" w14:textId="77777777" w:rsidR="007E1738" w:rsidRDefault="007E1738" w:rsidP="00633068">
      <w:pPr>
        <w:pStyle w:val="NoSpacing"/>
      </w:pPr>
    </w:p>
    <w:p w14:paraId="47994237" w14:textId="77777777" w:rsidR="007E1738" w:rsidRDefault="007E1738" w:rsidP="00633068">
      <w:pPr>
        <w:pStyle w:val="NoSpacing"/>
      </w:pPr>
    </w:p>
    <w:p w14:paraId="5D8E0C93" w14:textId="77777777" w:rsidR="007E1738" w:rsidRDefault="007E1738" w:rsidP="00633068">
      <w:pPr>
        <w:pStyle w:val="NoSpacing"/>
      </w:pPr>
    </w:p>
    <w:p w14:paraId="2D854004" w14:textId="77777777" w:rsidR="007E1738" w:rsidRDefault="007E1738" w:rsidP="00633068">
      <w:pPr>
        <w:pStyle w:val="NoSpacing"/>
      </w:pPr>
    </w:p>
    <w:p w14:paraId="6BF5A068" w14:textId="77777777" w:rsidR="007E1738" w:rsidRDefault="007E1738" w:rsidP="00633068">
      <w:pPr>
        <w:pStyle w:val="NoSpacing"/>
      </w:pPr>
    </w:p>
    <w:p w14:paraId="4917B682" w14:textId="77777777" w:rsidR="007E1738" w:rsidRDefault="007E1738" w:rsidP="00633068">
      <w:pPr>
        <w:pStyle w:val="NoSpacing"/>
      </w:pPr>
    </w:p>
    <w:p w14:paraId="2DC17577" w14:textId="77777777" w:rsidR="007E1738" w:rsidRDefault="007E1738" w:rsidP="00633068">
      <w:pPr>
        <w:pStyle w:val="NoSpacing"/>
      </w:pPr>
    </w:p>
    <w:p w14:paraId="71C420B5" w14:textId="77777777" w:rsidR="007E1738" w:rsidRDefault="007E1738" w:rsidP="00633068">
      <w:pPr>
        <w:pStyle w:val="NoSpacing"/>
      </w:pPr>
    </w:p>
    <w:p w14:paraId="0C27AEBA" w14:textId="77777777" w:rsidR="007E1738" w:rsidRDefault="007E1738" w:rsidP="00633068">
      <w:pPr>
        <w:pStyle w:val="NoSpacing"/>
      </w:pPr>
    </w:p>
    <w:p w14:paraId="6966C97E" w14:textId="77777777" w:rsidR="007E1738" w:rsidRDefault="007E1738" w:rsidP="00633068">
      <w:pPr>
        <w:pStyle w:val="NoSpacing"/>
      </w:pPr>
    </w:p>
    <w:p w14:paraId="274CE242" w14:textId="77777777" w:rsidR="007E1738" w:rsidRDefault="007E1738" w:rsidP="00633068">
      <w:pPr>
        <w:pStyle w:val="NoSpacing"/>
      </w:pPr>
    </w:p>
    <w:sdt>
      <w:sdtPr>
        <w:rPr>
          <w:lang w:val="en-AU"/>
        </w:rPr>
        <w:id w:val="-1806228930"/>
        <w:docPartObj>
          <w:docPartGallery w:val="Cover Pages"/>
          <w:docPartUnique/>
        </w:docPartObj>
      </w:sdtPr>
      <w:sdtEndPr/>
      <w:sdtContent>
        <w:p w14:paraId="4B90BEA4" w14:textId="77777777" w:rsidR="00067DD9" w:rsidRDefault="00067DD9" w:rsidP="00633068">
          <w:pPr>
            <w:pStyle w:val="NoSpacing"/>
            <w:sectPr w:rsidR="00067DD9" w:rsidSect="001853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692" w:gutter="0"/>
              <w:pgNumType w:start="0"/>
              <w:cols w:space="708"/>
              <w:docGrid w:linePitch="360"/>
            </w:sectPr>
          </w:pPr>
        </w:p>
        <w:p w14:paraId="0AEE6A0E" w14:textId="61ED391F" w:rsidR="00067DD9" w:rsidRPr="0063494B" w:rsidRDefault="00DC7C4F"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EndPr/>
            <w:sdtContent>
              <w:r w:rsidR="001776E5">
                <w:t>Victorian Default Offer Price Determination 202</w:t>
              </w:r>
              <w:r w:rsidR="009A409B">
                <w:t>4</w:t>
              </w:r>
              <w:r w:rsidR="001776E5">
                <w:t>–2</w:t>
              </w:r>
              <w:r w:rsidR="009A409B">
                <w:t>5</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76751B5" w14:textId="3C906548" w:rsidR="00067DD9" w:rsidRDefault="006B6065" w:rsidP="007E1738">
              <w:pPr>
                <w:pStyle w:val="Subtitle"/>
                <w:jc w:val="center"/>
              </w:pPr>
              <w:r>
                <w:t>1 July 202</w:t>
              </w:r>
              <w:r w:rsidR="00651D23">
                <w:t>4</w:t>
              </w:r>
              <w:r>
                <w:t xml:space="preserve"> to 30 June 202</w:t>
              </w:r>
              <w:r w:rsidR="00651D23">
                <w:t>5</w:t>
              </w:r>
            </w:p>
          </w:sdtContent>
        </w:sdt>
        <w:p w14:paraId="51B6768D" w14:textId="1D058AFF" w:rsidR="00067DD9" w:rsidRDefault="00DC7C4F" w:rsidP="007E1738">
          <w:pPr>
            <w:pStyle w:val="Subtitle"/>
            <w:jc w:val="center"/>
          </w:pPr>
          <w:sdt>
            <w:sdtPr>
              <w:id w:val="1251166870"/>
              <w:placeholder>
                <w:docPart w:val="6F03402753C9451895E0C26EA66B635F"/>
              </w:placeholder>
              <w:date w:fullDate="2024-05-20T00:00:00Z">
                <w:dateFormat w:val="d MMMM yyyy"/>
                <w:lid w:val="en-US"/>
                <w:storeMappedDataAs w:val="dateTime"/>
                <w:calendar w:val="gregorian"/>
              </w:date>
            </w:sdtPr>
            <w:sdtEndPr/>
            <w:sdtContent>
              <w:r w:rsidR="00BF258E" w:rsidRPr="00887D9A">
                <w:rPr>
                  <w:lang w:val="en-US"/>
                </w:rPr>
                <w:t>2</w:t>
              </w:r>
              <w:r w:rsidR="000714FE" w:rsidRPr="00887D9A">
                <w:rPr>
                  <w:lang w:val="en-US"/>
                </w:rPr>
                <w:t>0</w:t>
              </w:r>
              <w:r w:rsidR="00BF258E" w:rsidRPr="00887D9A">
                <w:rPr>
                  <w:lang w:val="en-US"/>
                </w:rPr>
                <w:t xml:space="preserve"> May 202</w:t>
              </w:r>
              <w:r w:rsidR="00651D23" w:rsidRPr="00887D9A">
                <w:rPr>
                  <w:lang w:val="en-US"/>
                </w:rPr>
                <w:t>4</w:t>
              </w:r>
            </w:sdtContent>
          </w:sdt>
        </w:p>
        <w:p w14:paraId="5FEEEB58" w14:textId="77777777" w:rsidR="00067DD9" w:rsidRDefault="00067DD9"/>
        <w:p w14:paraId="6BC76CED" w14:textId="77777777" w:rsidR="00067DD9" w:rsidRDefault="00067DD9">
          <w:pPr>
            <w:spacing w:line="259" w:lineRule="auto"/>
          </w:pPr>
          <w:r>
            <w:br w:type="page"/>
          </w:r>
        </w:p>
      </w:sdtContent>
    </w:sdt>
    <w:p w14:paraId="31E81124" w14:textId="77777777" w:rsidR="00FB5D3F" w:rsidRDefault="00FB5D3F" w:rsidP="00FB5D3F">
      <w:pPr>
        <w:pStyle w:val="Heading2"/>
      </w:pPr>
      <w:bookmarkStart w:id="5" w:name="_Toc133849738"/>
      <w:bookmarkStart w:id="6" w:name="_Toc133939293"/>
      <w:bookmarkEnd w:id="1"/>
      <w:bookmarkEnd w:id="2"/>
      <w:bookmarkEnd w:id="3"/>
      <w:r>
        <w:t>Acknowledgement</w:t>
      </w:r>
      <w:bookmarkEnd w:id="5"/>
      <w:bookmarkEnd w:id="6"/>
    </w:p>
    <w:p w14:paraId="2EE65584" w14:textId="77777777" w:rsidR="00FB5D3F" w:rsidRDefault="00FB5D3F" w:rsidP="00FB5D3F">
      <w:r>
        <w:t>We acknowledge the Traditional Owners of the lands and waterways on which we work and live.</w:t>
      </w:r>
    </w:p>
    <w:p w14:paraId="556B6EB6" w14:textId="77777777" w:rsidR="00FB5D3F" w:rsidRDefault="00FB5D3F" w:rsidP="00FB5D3F">
      <w:r>
        <w:t>We acknowledge all Aboriginal and Torres Strait Islander communities, and pay our respects to Elders past and present.</w:t>
      </w:r>
    </w:p>
    <w:p w14:paraId="15831A15"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618C4290" w14:textId="77777777" w:rsidR="00FB5D3F" w:rsidRDefault="00FB5D3F" w:rsidP="00FB5D3F">
      <w:pPr>
        <w:pStyle w:val="NoSpacing"/>
        <w:rPr>
          <w:b/>
        </w:rPr>
      </w:pPr>
    </w:p>
    <w:p w14:paraId="5CE26B39" w14:textId="77777777" w:rsidR="00FB5D3F" w:rsidRDefault="00FB5D3F" w:rsidP="00FB5D3F">
      <w:pPr>
        <w:spacing w:line="259" w:lineRule="auto"/>
        <w:rPr>
          <w:rStyle w:val="Strong"/>
        </w:rPr>
      </w:pPr>
    </w:p>
    <w:p w14:paraId="75384C89" w14:textId="77777777" w:rsidR="00FB5D3F" w:rsidRDefault="00FB5D3F" w:rsidP="00FB5D3F">
      <w:pPr>
        <w:spacing w:line="259" w:lineRule="auto"/>
        <w:rPr>
          <w:rStyle w:val="Strong"/>
        </w:rPr>
      </w:pPr>
    </w:p>
    <w:p w14:paraId="0BDD1404" w14:textId="77777777" w:rsidR="00FB5D3F" w:rsidRDefault="00FB5D3F" w:rsidP="00FB5D3F">
      <w:pPr>
        <w:spacing w:line="259" w:lineRule="auto"/>
        <w:rPr>
          <w:rStyle w:val="Strong"/>
        </w:rPr>
      </w:pPr>
    </w:p>
    <w:p w14:paraId="3B5594D3"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5D3B4568" w14:textId="4E8E4D46"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187A16">
            <w:t>2024</w:t>
          </w:r>
        </w:sdtContent>
      </w:sdt>
      <w:r>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9A409B">
            <w:t>Victorian Default Offer Price Determination 2024–25</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51D23" w:rsidRPr="00887D9A">
            <w:t>1 July 2024 to 30 June 2025</w:t>
          </w:r>
        </w:sdtContent>
      </w:sdt>
      <w:r w:rsidRPr="00887D9A">
        <w:t xml:space="preserve">, </w:t>
      </w:r>
      <w:sdt>
        <w:sdtPr>
          <w:alias w:val="Date"/>
          <w:tag w:val="Year"/>
          <w:id w:val="-733004738"/>
          <w:placeholder>
            <w:docPart w:val="96481528163E47148202FE7F807A6399"/>
          </w:placeholder>
          <w:date w:fullDate="2024-05-20T00:00:00Z">
            <w:dateFormat w:val="dd MMMM yyyy"/>
            <w:lid w:val="en-US"/>
            <w:storeMappedDataAs w:val="dateTime"/>
            <w:calendar w:val="gregorian"/>
          </w:date>
        </w:sdtPr>
        <w:sdtEndPr/>
        <w:sdtContent>
          <w:r w:rsidR="00E027DA">
            <w:rPr>
              <w:lang w:val="en-US"/>
            </w:rPr>
            <w:t>20 May 2024</w:t>
          </w:r>
        </w:sdtContent>
      </w:sdt>
    </w:p>
    <w:p w14:paraId="45E2900E" w14:textId="77777777" w:rsidR="00FB5D3F" w:rsidRDefault="00FB5D3F" w:rsidP="00FB5D3F">
      <w:pPr>
        <w:rPr>
          <w:rStyle w:val="Strong"/>
        </w:rPr>
      </w:pPr>
      <w:bookmarkStart w:id="7" w:name="_Toc480988876"/>
      <w:bookmarkStart w:id="8" w:name="_Toc481138188"/>
      <w:bookmarkStart w:id="9" w:name="_Toc481138396"/>
    </w:p>
    <w:bookmarkEnd w:id="7"/>
    <w:bookmarkEnd w:id="8"/>
    <w:bookmarkEnd w:id="9"/>
    <w:p w14:paraId="1FBD4ACB" w14:textId="62761EF2"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187A16">
            <w:t>2024</w:t>
          </w:r>
        </w:sdtContent>
      </w:sdt>
    </w:p>
    <w:p w14:paraId="3BEB2231" w14:textId="77777777" w:rsidR="00FB5D3F" w:rsidRDefault="00FB5D3F" w:rsidP="00FB5D3F">
      <w:r w:rsidRPr="00F70F20">
        <w:rPr>
          <w:noProof/>
          <w:lang w:eastAsia="en-AU"/>
        </w:rPr>
        <w:drawing>
          <wp:inline distT="0" distB="0" distL="0" distR="0" wp14:anchorId="4A996E59" wp14:editId="7B2B25B8">
            <wp:extent cx="1198800" cy="421200"/>
            <wp:effectExtent l="0" t="0" r="1905" b="0"/>
            <wp:docPr id="4" name="Picture 4" descr="untitl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468B807A" w14:textId="184EA797"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9A409B">
            <w:t>Victorian Default Offer Price Determination 2024–25</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70CC9784" w14:textId="77777777" w:rsidR="00FB5D3F" w:rsidRDefault="00FB5D3F" w:rsidP="00FB5D3F">
      <w:r>
        <w:t>The licence does not apply to any brand logo, images or photographs within the publication.</w:t>
      </w:r>
    </w:p>
    <w:bookmarkEnd w:id="4" w:displacedByCustomXml="next"/>
    <w:sdt>
      <w:sdtPr>
        <w:id w:val="1641840776"/>
        <w:lock w:val="sdtContentLocked"/>
        <w:placeholder>
          <w:docPart w:val="89546CF0731A43EEA0DAC878284F1376"/>
        </w:placeholder>
        <w:showingPlcHdr/>
        <w:text/>
      </w:sdtPr>
      <w:sdtEndPr/>
      <w:sdtContent>
        <w:p w14:paraId="18C06798" w14:textId="77777777" w:rsidR="004309BF" w:rsidRDefault="004309BF" w:rsidP="004309BF">
          <w:r>
            <w:t xml:space="preserve">  </w:t>
          </w:r>
        </w:p>
      </w:sdtContent>
    </w:sdt>
    <w:p w14:paraId="2852F1AF" w14:textId="77777777" w:rsidR="008F7087" w:rsidRDefault="008F7087" w:rsidP="00710792">
      <w:pPr>
        <w:pStyle w:val="Heading1"/>
        <w:sectPr w:rsidR="008F7087" w:rsidSect="001853B8">
          <w:headerReference w:type="default" r:id="rId19"/>
          <w:footerReference w:type="default" r:id="rId20"/>
          <w:type w:val="continuous"/>
          <w:pgSz w:w="11906" w:h="16838" w:code="9"/>
          <w:pgMar w:top="1134" w:right="1134" w:bottom="1134" w:left="1134" w:header="709" w:footer="692" w:gutter="0"/>
          <w:pgNumType w:fmt="lowerRoman"/>
          <w:cols w:space="708"/>
          <w:docGrid w:linePitch="360"/>
        </w:sectPr>
      </w:pPr>
      <w:bookmarkStart w:id="10" w:name="_Toc481138189"/>
      <w:bookmarkStart w:id="11" w:name="_Toc481138397"/>
    </w:p>
    <w:bookmarkEnd w:id="10"/>
    <w:bookmarkEnd w:id="11"/>
    <w:p w14:paraId="467FF8A8" w14:textId="77777777" w:rsidR="00D3670C" w:rsidRPr="00755FBF" w:rsidRDefault="00B503C2" w:rsidP="004509DC">
      <w:pPr>
        <w:pStyle w:val="TOCHeading"/>
        <w:spacing w:before="120" w:after="120" w:line="336" w:lineRule="auto"/>
        <w:ind w:hanging="851"/>
        <w:rPr>
          <w:rStyle w:val="Hyperlink"/>
          <w:color w:val="D50032" w:themeColor="accent6"/>
          <w:u w:val="none"/>
        </w:rPr>
      </w:pPr>
      <w:r>
        <w:rPr>
          <w:rStyle w:val="Hyperlink"/>
          <w:color w:val="CE0058" w:themeColor="accent4"/>
          <w:u w:val="none"/>
        </w:rPr>
        <w:br w:type="page"/>
      </w:r>
      <w:r w:rsidR="00D3670C" w:rsidRPr="00755FBF">
        <w:rPr>
          <w:rStyle w:val="Hyperlink"/>
          <w:color w:val="D50032" w:themeColor="accent6"/>
          <w:u w:val="none"/>
        </w:rPr>
        <w:t>Contents</w:t>
      </w:r>
    </w:p>
    <w:p w14:paraId="1CBE4E95" w14:textId="123A0ECB" w:rsidR="00FC29D2" w:rsidRDefault="00782E55">
      <w:pPr>
        <w:pStyle w:val="TOC3"/>
        <w:rPr>
          <w:rFonts w:eastAsiaTheme="minorEastAsia"/>
          <w:lang w:eastAsia="en-AU"/>
        </w:rPr>
      </w:pPr>
      <w:r>
        <w:rPr>
          <w:b/>
        </w:rPr>
        <w:fldChar w:fldCharType="begin"/>
      </w:r>
      <w:r>
        <w:instrText xml:space="preserve"> TOC \h \z \t "Heading 1,1,Heading 2,3,Heading 3,5,Heading 1 numbered,2,Heading 2 numbered,4,Heading 3 numbered,6" </w:instrText>
      </w:r>
      <w:r>
        <w:rPr>
          <w:b/>
        </w:rPr>
        <w:fldChar w:fldCharType="separate"/>
      </w:r>
      <w:hyperlink w:anchor="_Toc133939293" w:history="1">
        <w:r w:rsidR="00FC29D2" w:rsidRPr="00D35778">
          <w:rPr>
            <w:rStyle w:val="Hyperlink"/>
          </w:rPr>
          <w:t>Acknowledgement</w:t>
        </w:r>
        <w:r w:rsidR="00FC29D2">
          <w:rPr>
            <w:webHidden/>
          </w:rPr>
          <w:tab/>
        </w:r>
        <w:r w:rsidR="00FC29D2">
          <w:rPr>
            <w:webHidden/>
          </w:rPr>
          <w:fldChar w:fldCharType="begin"/>
        </w:r>
        <w:r w:rsidR="00FC29D2">
          <w:rPr>
            <w:webHidden/>
          </w:rPr>
          <w:instrText xml:space="preserve"> PAGEREF _Toc133939293 \h </w:instrText>
        </w:r>
        <w:r w:rsidR="00FC29D2">
          <w:rPr>
            <w:webHidden/>
          </w:rPr>
        </w:r>
        <w:r w:rsidR="00FC29D2">
          <w:rPr>
            <w:webHidden/>
          </w:rPr>
          <w:fldChar w:fldCharType="separate"/>
        </w:r>
        <w:r w:rsidR="00FC29D2">
          <w:rPr>
            <w:webHidden/>
          </w:rPr>
          <w:t>i</w:t>
        </w:r>
        <w:r w:rsidR="00FC29D2">
          <w:rPr>
            <w:webHidden/>
          </w:rPr>
          <w:fldChar w:fldCharType="end"/>
        </w:r>
      </w:hyperlink>
    </w:p>
    <w:p w14:paraId="4BD977AE" w14:textId="1B0D4654" w:rsidR="00FC29D2" w:rsidRDefault="00DC7C4F">
      <w:pPr>
        <w:pStyle w:val="TOC2"/>
        <w:tabs>
          <w:tab w:val="left" w:pos="851"/>
        </w:tabs>
        <w:rPr>
          <w:rFonts w:eastAsiaTheme="minorEastAsia"/>
          <w:lang w:eastAsia="en-AU"/>
        </w:rPr>
      </w:pPr>
      <w:hyperlink w:anchor="_Toc133939294" w:history="1">
        <w:r w:rsidR="00FC29D2" w:rsidRPr="00D35778">
          <w:rPr>
            <w:rStyle w:val="Hyperlink"/>
          </w:rPr>
          <w:t>1.</w:t>
        </w:r>
        <w:r w:rsidR="00FC29D2">
          <w:rPr>
            <w:rFonts w:eastAsiaTheme="minorEastAsia"/>
            <w:lang w:eastAsia="en-AU"/>
          </w:rPr>
          <w:tab/>
        </w:r>
        <w:r w:rsidR="00FC29D2" w:rsidRPr="00D35778">
          <w:rPr>
            <w:rStyle w:val="Hyperlink"/>
          </w:rPr>
          <w:t>Purpose and reasons</w:t>
        </w:r>
        <w:r w:rsidR="00FC29D2">
          <w:rPr>
            <w:webHidden/>
          </w:rPr>
          <w:tab/>
        </w:r>
        <w:r w:rsidR="00FC29D2">
          <w:rPr>
            <w:webHidden/>
          </w:rPr>
          <w:fldChar w:fldCharType="begin"/>
        </w:r>
        <w:r w:rsidR="00FC29D2">
          <w:rPr>
            <w:webHidden/>
          </w:rPr>
          <w:instrText xml:space="preserve"> PAGEREF _Toc133939294 \h </w:instrText>
        </w:r>
        <w:r w:rsidR="00FC29D2">
          <w:rPr>
            <w:webHidden/>
          </w:rPr>
        </w:r>
        <w:r w:rsidR="00FC29D2">
          <w:rPr>
            <w:webHidden/>
          </w:rPr>
          <w:fldChar w:fldCharType="separate"/>
        </w:r>
        <w:r w:rsidR="00FC29D2">
          <w:rPr>
            <w:webHidden/>
          </w:rPr>
          <w:t>1</w:t>
        </w:r>
        <w:r w:rsidR="00FC29D2">
          <w:rPr>
            <w:webHidden/>
          </w:rPr>
          <w:fldChar w:fldCharType="end"/>
        </w:r>
      </w:hyperlink>
    </w:p>
    <w:p w14:paraId="70D127F9" w14:textId="66C65DE2" w:rsidR="00FC29D2" w:rsidRDefault="00DC7C4F">
      <w:pPr>
        <w:pStyle w:val="TOC2"/>
        <w:tabs>
          <w:tab w:val="left" w:pos="851"/>
        </w:tabs>
        <w:rPr>
          <w:rFonts w:eastAsiaTheme="minorEastAsia"/>
          <w:lang w:eastAsia="en-AU"/>
        </w:rPr>
      </w:pPr>
      <w:hyperlink w:anchor="_Toc133939295" w:history="1">
        <w:r w:rsidR="00FC29D2" w:rsidRPr="00D35778">
          <w:rPr>
            <w:rStyle w:val="Hyperlink"/>
          </w:rPr>
          <w:t>2.</w:t>
        </w:r>
        <w:r w:rsidR="00FC29D2">
          <w:rPr>
            <w:rFonts w:eastAsiaTheme="minorEastAsia"/>
            <w:lang w:eastAsia="en-AU"/>
          </w:rPr>
          <w:tab/>
        </w:r>
        <w:r w:rsidR="00FC29D2" w:rsidRPr="00D35778">
          <w:rPr>
            <w:rStyle w:val="Hyperlink"/>
          </w:rPr>
          <w:t>Application period</w:t>
        </w:r>
        <w:r w:rsidR="00FC29D2">
          <w:rPr>
            <w:webHidden/>
          </w:rPr>
          <w:tab/>
        </w:r>
        <w:r w:rsidR="00FC29D2">
          <w:rPr>
            <w:webHidden/>
          </w:rPr>
          <w:fldChar w:fldCharType="begin"/>
        </w:r>
        <w:r w:rsidR="00FC29D2">
          <w:rPr>
            <w:webHidden/>
          </w:rPr>
          <w:instrText xml:space="preserve"> PAGEREF _Toc133939295 \h </w:instrText>
        </w:r>
        <w:r w:rsidR="00FC29D2">
          <w:rPr>
            <w:webHidden/>
          </w:rPr>
        </w:r>
        <w:r w:rsidR="00FC29D2">
          <w:rPr>
            <w:webHidden/>
          </w:rPr>
          <w:fldChar w:fldCharType="separate"/>
        </w:r>
        <w:r w:rsidR="00FC29D2">
          <w:rPr>
            <w:webHidden/>
          </w:rPr>
          <w:t>2</w:t>
        </w:r>
        <w:r w:rsidR="00FC29D2">
          <w:rPr>
            <w:webHidden/>
          </w:rPr>
          <w:fldChar w:fldCharType="end"/>
        </w:r>
      </w:hyperlink>
    </w:p>
    <w:p w14:paraId="22F76C87" w14:textId="39E0061D" w:rsidR="00FC29D2" w:rsidRDefault="00DC7C4F">
      <w:pPr>
        <w:pStyle w:val="TOC2"/>
        <w:tabs>
          <w:tab w:val="left" w:pos="851"/>
        </w:tabs>
        <w:rPr>
          <w:rFonts w:eastAsiaTheme="minorEastAsia"/>
          <w:lang w:eastAsia="en-AU"/>
        </w:rPr>
      </w:pPr>
      <w:hyperlink w:anchor="_Toc133939296" w:history="1">
        <w:r w:rsidR="00FC29D2" w:rsidRPr="00D35778">
          <w:rPr>
            <w:rStyle w:val="Hyperlink"/>
          </w:rPr>
          <w:t>3.</w:t>
        </w:r>
        <w:r w:rsidR="00FC29D2">
          <w:rPr>
            <w:rFonts w:eastAsiaTheme="minorEastAsia"/>
            <w:lang w:eastAsia="en-AU"/>
          </w:rPr>
          <w:tab/>
        </w:r>
        <w:r w:rsidR="00FC29D2" w:rsidRPr="00D35778">
          <w:rPr>
            <w:rStyle w:val="Hyperlink"/>
          </w:rPr>
          <w:t>Fixed flat tariffs</w:t>
        </w:r>
        <w:r w:rsidR="00FC29D2">
          <w:rPr>
            <w:webHidden/>
          </w:rPr>
          <w:tab/>
        </w:r>
        <w:r w:rsidR="00FC29D2">
          <w:rPr>
            <w:webHidden/>
          </w:rPr>
          <w:fldChar w:fldCharType="begin"/>
        </w:r>
        <w:r w:rsidR="00FC29D2">
          <w:rPr>
            <w:webHidden/>
          </w:rPr>
          <w:instrText xml:space="preserve"> PAGEREF _Toc133939296 \h </w:instrText>
        </w:r>
        <w:r w:rsidR="00FC29D2">
          <w:rPr>
            <w:webHidden/>
          </w:rPr>
        </w:r>
        <w:r w:rsidR="00FC29D2">
          <w:rPr>
            <w:webHidden/>
          </w:rPr>
          <w:fldChar w:fldCharType="separate"/>
        </w:r>
        <w:r w:rsidR="00FC29D2">
          <w:rPr>
            <w:webHidden/>
          </w:rPr>
          <w:t>3</w:t>
        </w:r>
        <w:r w:rsidR="00FC29D2">
          <w:rPr>
            <w:webHidden/>
          </w:rPr>
          <w:fldChar w:fldCharType="end"/>
        </w:r>
      </w:hyperlink>
    </w:p>
    <w:p w14:paraId="090B2E45" w14:textId="34A9D018" w:rsidR="00FC29D2" w:rsidRDefault="00DC7C4F">
      <w:pPr>
        <w:pStyle w:val="TOC2"/>
        <w:tabs>
          <w:tab w:val="left" w:pos="851"/>
        </w:tabs>
        <w:rPr>
          <w:rFonts w:eastAsiaTheme="minorEastAsia"/>
          <w:lang w:eastAsia="en-AU"/>
        </w:rPr>
      </w:pPr>
      <w:hyperlink w:anchor="_Toc133939297" w:history="1">
        <w:r w:rsidR="00FC29D2" w:rsidRPr="00D35778">
          <w:rPr>
            <w:rStyle w:val="Hyperlink"/>
          </w:rPr>
          <w:t>4.</w:t>
        </w:r>
        <w:r w:rsidR="00FC29D2">
          <w:rPr>
            <w:rFonts w:eastAsiaTheme="minorEastAsia"/>
            <w:lang w:eastAsia="en-AU"/>
          </w:rPr>
          <w:tab/>
        </w:r>
        <w:r w:rsidR="00FC29D2" w:rsidRPr="00D35778">
          <w:rPr>
            <w:rStyle w:val="Hyperlink"/>
          </w:rPr>
          <w:t>Two period time of use tariffs</w:t>
        </w:r>
        <w:r w:rsidR="00FC29D2">
          <w:rPr>
            <w:webHidden/>
          </w:rPr>
          <w:tab/>
        </w:r>
        <w:r w:rsidR="00FC29D2">
          <w:rPr>
            <w:webHidden/>
          </w:rPr>
          <w:fldChar w:fldCharType="begin"/>
        </w:r>
        <w:r w:rsidR="00FC29D2">
          <w:rPr>
            <w:webHidden/>
          </w:rPr>
          <w:instrText xml:space="preserve"> PAGEREF _Toc133939297 \h </w:instrText>
        </w:r>
        <w:r w:rsidR="00FC29D2">
          <w:rPr>
            <w:webHidden/>
          </w:rPr>
        </w:r>
        <w:r w:rsidR="00FC29D2">
          <w:rPr>
            <w:webHidden/>
          </w:rPr>
          <w:fldChar w:fldCharType="separate"/>
        </w:r>
        <w:r w:rsidR="00FC29D2">
          <w:rPr>
            <w:webHidden/>
          </w:rPr>
          <w:t>4</w:t>
        </w:r>
        <w:r w:rsidR="00FC29D2">
          <w:rPr>
            <w:webHidden/>
          </w:rPr>
          <w:fldChar w:fldCharType="end"/>
        </w:r>
      </w:hyperlink>
    </w:p>
    <w:p w14:paraId="0CFABB87" w14:textId="33749C67" w:rsidR="00FC29D2" w:rsidRDefault="00DC7C4F">
      <w:pPr>
        <w:pStyle w:val="TOC2"/>
        <w:tabs>
          <w:tab w:val="left" w:pos="851"/>
        </w:tabs>
        <w:rPr>
          <w:rFonts w:eastAsiaTheme="minorEastAsia"/>
          <w:lang w:eastAsia="en-AU"/>
        </w:rPr>
      </w:pPr>
      <w:hyperlink w:anchor="_Toc133939298" w:history="1">
        <w:r w:rsidR="00FC29D2" w:rsidRPr="00D35778">
          <w:rPr>
            <w:rStyle w:val="Hyperlink"/>
          </w:rPr>
          <w:t>5.</w:t>
        </w:r>
        <w:r w:rsidR="00FC29D2">
          <w:rPr>
            <w:rFonts w:eastAsiaTheme="minorEastAsia"/>
            <w:lang w:eastAsia="en-AU"/>
          </w:rPr>
          <w:tab/>
        </w:r>
        <w:r w:rsidR="00FC29D2" w:rsidRPr="00D35778">
          <w:rPr>
            <w:rStyle w:val="Hyperlink"/>
          </w:rPr>
          <w:t>VDO compliant maximum annual bill amount — all other standing offer tariff types</w:t>
        </w:r>
        <w:r w:rsidR="00FC29D2">
          <w:rPr>
            <w:webHidden/>
          </w:rPr>
          <w:tab/>
        </w:r>
        <w:r w:rsidR="00FC29D2">
          <w:rPr>
            <w:webHidden/>
          </w:rPr>
          <w:fldChar w:fldCharType="begin"/>
        </w:r>
        <w:r w:rsidR="00FC29D2">
          <w:rPr>
            <w:webHidden/>
          </w:rPr>
          <w:instrText xml:space="preserve"> PAGEREF _Toc133939298 \h </w:instrText>
        </w:r>
        <w:r w:rsidR="00FC29D2">
          <w:rPr>
            <w:webHidden/>
          </w:rPr>
        </w:r>
        <w:r w:rsidR="00FC29D2">
          <w:rPr>
            <w:webHidden/>
          </w:rPr>
          <w:fldChar w:fldCharType="separate"/>
        </w:r>
        <w:r w:rsidR="00FC29D2">
          <w:rPr>
            <w:webHidden/>
          </w:rPr>
          <w:t>5</w:t>
        </w:r>
        <w:r w:rsidR="00FC29D2">
          <w:rPr>
            <w:webHidden/>
          </w:rPr>
          <w:fldChar w:fldCharType="end"/>
        </w:r>
      </w:hyperlink>
    </w:p>
    <w:p w14:paraId="09F8CED6" w14:textId="42C5CD52" w:rsidR="00FC29D2" w:rsidRDefault="00DC7C4F">
      <w:pPr>
        <w:pStyle w:val="TOC2"/>
        <w:tabs>
          <w:tab w:val="left" w:pos="851"/>
        </w:tabs>
        <w:rPr>
          <w:rFonts w:eastAsiaTheme="minorEastAsia"/>
          <w:lang w:eastAsia="en-AU"/>
        </w:rPr>
      </w:pPr>
      <w:hyperlink w:anchor="_Toc133939299" w:history="1">
        <w:r w:rsidR="00FC29D2" w:rsidRPr="00D35778">
          <w:rPr>
            <w:rStyle w:val="Hyperlink"/>
          </w:rPr>
          <w:t>6.</w:t>
        </w:r>
        <w:r w:rsidR="00FC29D2">
          <w:rPr>
            <w:rFonts w:eastAsiaTheme="minorEastAsia"/>
            <w:lang w:eastAsia="en-AU"/>
          </w:rPr>
          <w:tab/>
        </w:r>
        <w:r w:rsidR="00FC29D2" w:rsidRPr="00D35778">
          <w:rPr>
            <w:rStyle w:val="Hyperlink"/>
          </w:rPr>
          <w:t>Varying a price determination</w:t>
        </w:r>
        <w:r w:rsidR="00FC29D2">
          <w:rPr>
            <w:webHidden/>
          </w:rPr>
          <w:tab/>
        </w:r>
        <w:r w:rsidR="00FC29D2">
          <w:rPr>
            <w:webHidden/>
          </w:rPr>
          <w:fldChar w:fldCharType="begin"/>
        </w:r>
        <w:r w:rsidR="00FC29D2">
          <w:rPr>
            <w:webHidden/>
          </w:rPr>
          <w:instrText xml:space="preserve"> PAGEREF _Toc133939299 \h </w:instrText>
        </w:r>
        <w:r w:rsidR="00FC29D2">
          <w:rPr>
            <w:webHidden/>
          </w:rPr>
        </w:r>
        <w:r w:rsidR="00FC29D2">
          <w:rPr>
            <w:webHidden/>
          </w:rPr>
          <w:fldChar w:fldCharType="separate"/>
        </w:r>
        <w:r w:rsidR="00FC29D2">
          <w:rPr>
            <w:webHidden/>
          </w:rPr>
          <w:t>7</w:t>
        </w:r>
        <w:r w:rsidR="00FC29D2">
          <w:rPr>
            <w:webHidden/>
          </w:rPr>
          <w:fldChar w:fldCharType="end"/>
        </w:r>
      </w:hyperlink>
    </w:p>
    <w:p w14:paraId="2923A256" w14:textId="42F53370" w:rsidR="00FC29D2" w:rsidRDefault="00DC7C4F">
      <w:pPr>
        <w:pStyle w:val="TOC1"/>
        <w:rPr>
          <w:rFonts w:eastAsiaTheme="minorEastAsia"/>
          <w:b w:val="0"/>
          <w:noProof/>
          <w:lang w:eastAsia="en-AU"/>
        </w:rPr>
      </w:pPr>
      <w:hyperlink w:anchor="_Toc133939300" w:history="1">
        <w:r w:rsidR="00FC29D2" w:rsidRPr="00D35778">
          <w:rPr>
            <w:rStyle w:val="Hyperlink"/>
            <w:noProof/>
          </w:rPr>
          <w:t>SCHEDULE 1</w:t>
        </w:r>
        <w:r w:rsidR="00FC29D2">
          <w:rPr>
            <w:noProof/>
            <w:webHidden/>
          </w:rPr>
          <w:tab/>
        </w:r>
        <w:r w:rsidR="00FC29D2">
          <w:rPr>
            <w:noProof/>
            <w:webHidden/>
          </w:rPr>
          <w:fldChar w:fldCharType="begin"/>
        </w:r>
        <w:r w:rsidR="00FC29D2">
          <w:rPr>
            <w:noProof/>
            <w:webHidden/>
          </w:rPr>
          <w:instrText xml:space="preserve"> PAGEREF _Toc133939300 \h </w:instrText>
        </w:r>
        <w:r w:rsidR="00FC29D2">
          <w:rPr>
            <w:noProof/>
            <w:webHidden/>
          </w:rPr>
        </w:r>
        <w:r w:rsidR="00FC29D2">
          <w:rPr>
            <w:noProof/>
            <w:webHidden/>
          </w:rPr>
          <w:fldChar w:fldCharType="separate"/>
        </w:r>
        <w:r w:rsidR="00FC29D2">
          <w:rPr>
            <w:noProof/>
            <w:webHidden/>
          </w:rPr>
          <w:t>10</w:t>
        </w:r>
        <w:r w:rsidR="00FC29D2">
          <w:rPr>
            <w:noProof/>
            <w:webHidden/>
          </w:rPr>
          <w:fldChar w:fldCharType="end"/>
        </w:r>
      </w:hyperlink>
    </w:p>
    <w:p w14:paraId="571798BB" w14:textId="665C8999" w:rsidR="00FC29D2" w:rsidRDefault="00DC7C4F">
      <w:pPr>
        <w:pStyle w:val="TOC1"/>
        <w:rPr>
          <w:rFonts w:eastAsiaTheme="minorEastAsia"/>
          <w:b w:val="0"/>
          <w:noProof/>
          <w:lang w:eastAsia="en-AU"/>
        </w:rPr>
      </w:pPr>
      <w:hyperlink w:anchor="_Toc133939301" w:history="1">
        <w:r w:rsidR="00FC29D2" w:rsidRPr="00D35778">
          <w:rPr>
            <w:rStyle w:val="Hyperlink"/>
            <w:noProof/>
          </w:rPr>
          <w:t>SCHEDULE 2</w:t>
        </w:r>
        <w:r w:rsidR="00FC29D2">
          <w:rPr>
            <w:noProof/>
            <w:webHidden/>
          </w:rPr>
          <w:tab/>
        </w:r>
        <w:r w:rsidR="00FC29D2">
          <w:rPr>
            <w:noProof/>
            <w:webHidden/>
          </w:rPr>
          <w:fldChar w:fldCharType="begin"/>
        </w:r>
        <w:r w:rsidR="00FC29D2">
          <w:rPr>
            <w:noProof/>
            <w:webHidden/>
          </w:rPr>
          <w:instrText xml:space="preserve"> PAGEREF _Toc133939301 \h </w:instrText>
        </w:r>
        <w:r w:rsidR="00FC29D2">
          <w:rPr>
            <w:noProof/>
            <w:webHidden/>
          </w:rPr>
        </w:r>
        <w:r w:rsidR="00FC29D2">
          <w:rPr>
            <w:noProof/>
            <w:webHidden/>
          </w:rPr>
          <w:fldChar w:fldCharType="separate"/>
        </w:r>
        <w:r w:rsidR="00FC29D2">
          <w:rPr>
            <w:noProof/>
            <w:webHidden/>
          </w:rPr>
          <w:t>11</w:t>
        </w:r>
        <w:r w:rsidR="00FC29D2">
          <w:rPr>
            <w:noProof/>
            <w:webHidden/>
          </w:rPr>
          <w:fldChar w:fldCharType="end"/>
        </w:r>
      </w:hyperlink>
    </w:p>
    <w:p w14:paraId="3F4B0F75" w14:textId="772C8E4C" w:rsidR="00FC29D2" w:rsidRDefault="00DC7C4F">
      <w:pPr>
        <w:pStyle w:val="TOC1"/>
        <w:rPr>
          <w:rFonts w:eastAsiaTheme="minorEastAsia"/>
          <w:b w:val="0"/>
          <w:noProof/>
          <w:lang w:eastAsia="en-AU"/>
        </w:rPr>
      </w:pPr>
      <w:hyperlink w:anchor="_Toc133939302" w:history="1">
        <w:r w:rsidR="00FC29D2" w:rsidRPr="00D35778">
          <w:rPr>
            <w:rStyle w:val="Hyperlink"/>
            <w:noProof/>
          </w:rPr>
          <w:t>SCHEDULE 3</w:t>
        </w:r>
        <w:r w:rsidR="00FC29D2">
          <w:rPr>
            <w:noProof/>
            <w:webHidden/>
          </w:rPr>
          <w:tab/>
        </w:r>
        <w:r w:rsidR="00FC29D2">
          <w:rPr>
            <w:noProof/>
            <w:webHidden/>
          </w:rPr>
          <w:fldChar w:fldCharType="begin"/>
        </w:r>
        <w:r w:rsidR="00FC29D2">
          <w:rPr>
            <w:noProof/>
            <w:webHidden/>
          </w:rPr>
          <w:instrText xml:space="preserve"> PAGEREF _Toc133939302 \h </w:instrText>
        </w:r>
        <w:r w:rsidR="00FC29D2">
          <w:rPr>
            <w:noProof/>
            <w:webHidden/>
          </w:rPr>
        </w:r>
        <w:r w:rsidR="00FC29D2">
          <w:rPr>
            <w:noProof/>
            <w:webHidden/>
          </w:rPr>
          <w:fldChar w:fldCharType="separate"/>
        </w:r>
        <w:r w:rsidR="00FC29D2">
          <w:rPr>
            <w:noProof/>
            <w:webHidden/>
          </w:rPr>
          <w:t>12</w:t>
        </w:r>
        <w:r w:rsidR="00FC29D2">
          <w:rPr>
            <w:noProof/>
            <w:webHidden/>
          </w:rPr>
          <w:fldChar w:fldCharType="end"/>
        </w:r>
      </w:hyperlink>
    </w:p>
    <w:p w14:paraId="3D9CC6F5" w14:textId="003B7343" w:rsidR="00FC29D2" w:rsidRDefault="00DC7C4F">
      <w:pPr>
        <w:pStyle w:val="TOC1"/>
        <w:rPr>
          <w:rFonts w:eastAsiaTheme="minorEastAsia"/>
          <w:b w:val="0"/>
          <w:noProof/>
          <w:lang w:eastAsia="en-AU"/>
        </w:rPr>
      </w:pPr>
      <w:hyperlink w:anchor="_Toc133939303" w:history="1">
        <w:r w:rsidR="00FC29D2" w:rsidRPr="00D35778">
          <w:rPr>
            <w:rStyle w:val="Hyperlink"/>
            <w:noProof/>
          </w:rPr>
          <w:t>SCHEDULE 4</w:t>
        </w:r>
        <w:r w:rsidR="00FC29D2">
          <w:rPr>
            <w:noProof/>
            <w:webHidden/>
          </w:rPr>
          <w:tab/>
        </w:r>
        <w:r w:rsidR="00FC29D2">
          <w:rPr>
            <w:noProof/>
            <w:webHidden/>
          </w:rPr>
          <w:fldChar w:fldCharType="begin"/>
        </w:r>
        <w:r w:rsidR="00FC29D2">
          <w:rPr>
            <w:noProof/>
            <w:webHidden/>
          </w:rPr>
          <w:instrText xml:space="preserve"> PAGEREF _Toc133939303 \h </w:instrText>
        </w:r>
        <w:r w:rsidR="00FC29D2">
          <w:rPr>
            <w:noProof/>
            <w:webHidden/>
          </w:rPr>
        </w:r>
        <w:r w:rsidR="00FC29D2">
          <w:rPr>
            <w:noProof/>
            <w:webHidden/>
          </w:rPr>
          <w:fldChar w:fldCharType="separate"/>
        </w:r>
        <w:r w:rsidR="00FC29D2">
          <w:rPr>
            <w:noProof/>
            <w:webHidden/>
          </w:rPr>
          <w:t>13</w:t>
        </w:r>
        <w:r w:rsidR="00FC29D2">
          <w:rPr>
            <w:noProof/>
            <w:webHidden/>
          </w:rPr>
          <w:fldChar w:fldCharType="end"/>
        </w:r>
      </w:hyperlink>
    </w:p>
    <w:p w14:paraId="42897B79" w14:textId="6A2B7179" w:rsidR="00FC29D2" w:rsidRDefault="00DC7C4F">
      <w:pPr>
        <w:pStyle w:val="TOC1"/>
        <w:rPr>
          <w:rFonts w:eastAsiaTheme="minorEastAsia"/>
          <w:b w:val="0"/>
          <w:noProof/>
          <w:lang w:eastAsia="en-AU"/>
        </w:rPr>
      </w:pPr>
      <w:hyperlink w:anchor="_Toc133939304" w:history="1">
        <w:r w:rsidR="00FC29D2" w:rsidRPr="00D35778">
          <w:rPr>
            <w:rStyle w:val="Hyperlink"/>
            <w:noProof/>
          </w:rPr>
          <w:t>SCHEDULE 5</w:t>
        </w:r>
        <w:r w:rsidR="00FC29D2">
          <w:rPr>
            <w:noProof/>
            <w:webHidden/>
          </w:rPr>
          <w:tab/>
        </w:r>
        <w:r w:rsidR="00FC29D2">
          <w:rPr>
            <w:noProof/>
            <w:webHidden/>
          </w:rPr>
          <w:fldChar w:fldCharType="begin"/>
        </w:r>
        <w:r w:rsidR="00FC29D2">
          <w:rPr>
            <w:noProof/>
            <w:webHidden/>
          </w:rPr>
          <w:instrText xml:space="preserve"> PAGEREF _Toc133939304 \h </w:instrText>
        </w:r>
        <w:r w:rsidR="00FC29D2">
          <w:rPr>
            <w:noProof/>
            <w:webHidden/>
          </w:rPr>
        </w:r>
        <w:r w:rsidR="00FC29D2">
          <w:rPr>
            <w:noProof/>
            <w:webHidden/>
          </w:rPr>
          <w:fldChar w:fldCharType="separate"/>
        </w:r>
        <w:r w:rsidR="00FC29D2">
          <w:rPr>
            <w:noProof/>
            <w:webHidden/>
          </w:rPr>
          <w:t>14</w:t>
        </w:r>
        <w:r w:rsidR="00FC29D2">
          <w:rPr>
            <w:noProof/>
            <w:webHidden/>
          </w:rPr>
          <w:fldChar w:fldCharType="end"/>
        </w:r>
      </w:hyperlink>
    </w:p>
    <w:p w14:paraId="4865151C" w14:textId="2F529BF6" w:rsidR="00D3670C" w:rsidRDefault="00782E55" w:rsidP="00D3670C">
      <w:r>
        <w:rPr>
          <w:color w:val="236192" w:themeColor="accent1"/>
        </w:rPr>
        <w:fldChar w:fldCharType="end"/>
      </w:r>
    </w:p>
    <w:p w14:paraId="68E79DA6" w14:textId="77777777" w:rsidR="003A30F3" w:rsidRDefault="003A30F3" w:rsidP="003A30F3"/>
    <w:p w14:paraId="1897D847" w14:textId="77777777" w:rsidR="003A30F3" w:rsidRPr="003A30F3" w:rsidRDefault="003A30F3" w:rsidP="003A30F3">
      <w:pPr>
        <w:sectPr w:rsidR="003A30F3" w:rsidRPr="003A30F3" w:rsidSect="001853B8">
          <w:footerReference w:type="default" r:id="rId21"/>
          <w:type w:val="continuous"/>
          <w:pgSz w:w="11906" w:h="16838" w:code="9"/>
          <w:pgMar w:top="1134" w:right="1134" w:bottom="1134" w:left="1134" w:header="709" w:footer="692" w:gutter="0"/>
          <w:pgNumType w:fmt="lowerRoman"/>
          <w:cols w:space="708"/>
          <w:docGrid w:linePitch="360"/>
        </w:sectPr>
      </w:pPr>
    </w:p>
    <w:p w14:paraId="07049D73" w14:textId="77777777" w:rsidR="001776E5" w:rsidRDefault="001776E5" w:rsidP="00C43E0B">
      <w:pPr>
        <w:pStyle w:val="Heading1numbered"/>
      </w:pPr>
      <w:bookmarkStart w:id="12" w:name="_Toc133939294"/>
      <w:r>
        <w:t>Purpose and reasons</w:t>
      </w:r>
      <w:bookmarkEnd w:id="12"/>
    </w:p>
    <w:p w14:paraId="571900DE" w14:textId="51C0D52B" w:rsidR="001776E5" w:rsidRDefault="001976E8" w:rsidP="00FC29D2">
      <w:pPr>
        <w:ind w:left="706" w:hanging="706"/>
      </w:pPr>
      <w:r>
        <w:t>1.1</w:t>
      </w:r>
      <w:r>
        <w:tab/>
      </w:r>
      <w:r w:rsidR="001776E5">
        <w:t>This price determination is made by the Essential Services Commission (commission) under section 33 of the Essential Services Commission Act 2001 (ESC Act)</w:t>
      </w:r>
      <w:r w:rsidR="001776E5" w:rsidRPr="004509DC">
        <w:t xml:space="preserve"> </w:t>
      </w:r>
      <w:r w:rsidR="001776E5">
        <w:t xml:space="preserve">for the purpose of giving effect to the requirements of the Order in Council (Order) made under section 13 of the Electricity Industry Act 2000 (EI Act) and published in the Government Gazette No. S 208 on 30 May 2019, </w:t>
      </w:r>
      <w:r w:rsidR="0079568F">
        <w:t xml:space="preserve">as amended from time to time, </w:t>
      </w:r>
      <w:r w:rsidR="001776E5">
        <w:t>and specifically to the requirements of clause 10 of the Order.</w:t>
      </w:r>
    </w:p>
    <w:p w14:paraId="75433869" w14:textId="5D76775E" w:rsidR="001776E5" w:rsidRDefault="001976E8" w:rsidP="00FC29D2">
      <w:pPr>
        <w:pStyle w:val="ListNumber2"/>
        <w:numPr>
          <w:ilvl w:val="0"/>
          <w:numId w:val="0"/>
        </w:numPr>
        <w:spacing w:before="120" w:after="120"/>
        <w:ind w:left="709" w:hanging="709"/>
        <w:contextualSpacing w:val="0"/>
      </w:pPr>
      <w:r>
        <w:t>1.2</w:t>
      </w:r>
      <w:r>
        <w:tab/>
      </w:r>
      <w:r w:rsidR="001776E5">
        <w:t>The reasons for the making of this price determination are as set out in the final decision document</w:t>
      </w:r>
      <w:r w:rsidR="00D76E7F">
        <w:t xml:space="preserve"> (Final Decision)</w:t>
      </w:r>
      <w:r w:rsidR="001776E5">
        <w:t xml:space="preserve"> published by the Commission on its website and cited as </w:t>
      </w:r>
      <w:r w:rsidR="00D76E7F">
        <w:t>‘</w:t>
      </w:r>
      <w:r w:rsidR="00D76E7F" w:rsidRPr="00D76E7F">
        <w:t>Essential Services Commission 202</w:t>
      </w:r>
      <w:r w:rsidR="00677982">
        <w:t>4</w:t>
      </w:r>
      <w:r w:rsidR="00D76E7F" w:rsidRPr="00D76E7F">
        <w:t>, Victorian Default Offer 202</w:t>
      </w:r>
      <w:r w:rsidR="00677982">
        <w:t>4</w:t>
      </w:r>
      <w:r w:rsidR="0052703B">
        <w:t>–</w:t>
      </w:r>
      <w:r w:rsidR="00D76E7F" w:rsidRPr="00D76E7F">
        <w:t>2</w:t>
      </w:r>
      <w:r w:rsidR="00677982">
        <w:t>5</w:t>
      </w:r>
      <w:r w:rsidR="00D76E7F" w:rsidRPr="00D76E7F">
        <w:t xml:space="preserve">: Final Decision </w:t>
      </w:r>
      <w:r w:rsidR="00D76E7F" w:rsidRPr="00887D9A">
        <w:t>Paper, 2</w:t>
      </w:r>
      <w:r w:rsidR="003B14D3" w:rsidRPr="00887D9A">
        <w:t>0</w:t>
      </w:r>
      <w:r w:rsidR="00D76E7F" w:rsidRPr="00887D9A">
        <w:t xml:space="preserve"> May’.</w:t>
      </w:r>
    </w:p>
    <w:p w14:paraId="2ED80656" w14:textId="3EB510C7" w:rsidR="001776E5" w:rsidRDefault="001976E8" w:rsidP="00FC29D2">
      <w:pPr>
        <w:pStyle w:val="ListNumber2"/>
        <w:numPr>
          <w:ilvl w:val="0"/>
          <w:numId w:val="0"/>
        </w:numPr>
        <w:spacing w:before="120" w:after="120"/>
        <w:ind w:left="706" w:hanging="706"/>
        <w:contextualSpacing w:val="0"/>
      </w:pPr>
      <w:r>
        <w:t>1.3</w:t>
      </w:r>
      <w:r>
        <w:tab/>
      </w:r>
      <w:r w:rsidR="001776E5">
        <w:t>In summary this price determination regulates for each distribution zone in Victoria</w:t>
      </w:r>
      <w:r w:rsidR="00D76E7F">
        <w:t>, during the regulatory period 1 July 202</w:t>
      </w:r>
      <w:r w:rsidR="0052703B">
        <w:t>4</w:t>
      </w:r>
      <w:r w:rsidR="00D76E7F">
        <w:t xml:space="preserve"> to 30 June 202</w:t>
      </w:r>
      <w:r w:rsidR="0052703B">
        <w:t>5</w:t>
      </w:r>
      <w:r w:rsidR="001776E5">
        <w:t>:</w:t>
      </w:r>
    </w:p>
    <w:p w14:paraId="3077E430" w14:textId="745F1D08" w:rsidR="001776E5" w:rsidRDefault="001976E8" w:rsidP="001976E8">
      <w:pPr>
        <w:pStyle w:val="ListLetters0"/>
        <w:numPr>
          <w:ilvl w:val="0"/>
          <w:numId w:val="0"/>
        </w:numPr>
        <w:ind w:left="1134" w:hanging="425"/>
      </w:pPr>
      <w:r w:rsidRPr="31AFF1DC">
        <w:rPr>
          <w:lang w:val="en-AU"/>
        </w:rPr>
        <w:t>a)</w:t>
      </w:r>
      <w:r>
        <w:tab/>
      </w:r>
      <w:r w:rsidR="001776E5" w:rsidRPr="31AFF1DC">
        <w:rPr>
          <w:lang w:val="en-AU"/>
        </w:rPr>
        <w:t>The flat tariffs that a retailer must charge prescribed customers under any flat tariff standing offer;</w:t>
      </w:r>
    </w:p>
    <w:p w14:paraId="0279E234" w14:textId="58DF60CB" w:rsidR="001776E5" w:rsidRDefault="001976E8" w:rsidP="001976E8">
      <w:pPr>
        <w:pStyle w:val="ListLetters0"/>
        <w:numPr>
          <w:ilvl w:val="0"/>
          <w:numId w:val="0"/>
        </w:numPr>
        <w:ind w:left="1134" w:hanging="425"/>
      </w:pPr>
      <w:r w:rsidRPr="31AFF1DC">
        <w:rPr>
          <w:lang w:val="en-AU"/>
        </w:rPr>
        <w:t>b)</w:t>
      </w:r>
      <w:r>
        <w:tab/>
      </w:r>
      <w:r w:rsidR="001776E5" w:rsidRPr="31AFF1DC">
        <w:rPr>
          <w:lang w:val="en-AU"/>
        </w:rPr>
        <w:t>The non-flat tariffs that a retailer must charge prescribed customers under a two-period time of use tariff standing offer; and</w:t>
      </w:r>
    </w:p>
    <w:p w14:paraId="18E7936C" w14:textId="4948913A" w:rsidR="001776E5" w:rsidRDefault="001976E8" w:rsidP="001976E8">
      <w:pPr>
        <w:pStyle w:val="ListLetters0"/>
        <w:numPr>
          <w:ilvl w:val="0"/>
          <w:numId w:val="0"/>
        </w:numPr>
        <w:ind w:left="1134" w:hanging="425"/>
      </w:pPr>
      <w:r w:rsidRPr="31AFF1DC">
        <w:rPr>
          <w:lang w:val="en-AU"/>
        </w:rPr>
        <w:t>c)</w:t>
      </w:r>
      <w:r>
        <w:tab/>
      </w:r>
      <w:r w:rsidR="001776E5" w:rsidRPr="31AFF1DC">
        <w:rPr>
          <w:lang w:val="en-AU"/>
        </w:rPr>
        <w:t>The Victorian Default Offer (VDO) compliant maximum annual bill amount (as defined in clause 10(2)(a)ii of the Order) for all other standing offers (non-standard standing offers).</w:t>
      </w:r>
    </w:p>
    <w:p w14:paraId="070F685D" w14:textId="4C4CAEC3" w:rsidR="001776E5" w:rsidRDefault="001976E8" w:rsidP="00FC29D2">
      <w:pPr>
        <w:pStyle w:val="ListNumber2"/>
        <w:numPr>
          <w:ilvl w:val="0"/>
          <w:numId w:val="0"/>
        </w:numPr>
        <w:spacing w:before="120" w:after="120"/>
        <w:ind w:left="706" w:hanging="706"/>
        <w:contextualSpacing w:val="0"/>
      </w:pPr>
      <w:r>
        <w:t>1.4</w:t>
      </w:r>
      <w:r>
        <w:tab/>
      </w:r>
      <w:r w:rsidR="001776E5">
        <w:t>It does so to give effect to the Final Decision and the objective of the Order that there be a simple, trusted and reasonably priced electricity option that safeguards consumers who are unable or unwilling to engage in the electricity retail market.</w:t>
      </w:r>
    </w:p>
    <w:p w14:paraId="75235EE5" w14:textId="73307028" w:rsidR="001776E5" w:rsidRDefault="001976E8" w:rsidP="00FC29D2">
      <w:pPr>
        <w:pStyle w:val="ListNumber2"/>
        <w:numPr>
          <w:ilvl w:val="0"/>
          <w:numId w:val="0"/>
        </w:numPr>
        <w:spacing w:before="120" w:after="120"/>
        <w:ind w:left="706" w:hanging="706"/>
        <w:contextualSpacing w:val="0"/>
      </w:pPr>
      <w:r>
        <w:t>1.5</w:t>
      </w:r>
      <w:r>
        <w:tab/>
      </w:r>
      <w:r w:rsidR="001776E5">
        <w:t xml:space="preserve">Unless expressly stated otherwise, terms defined in the Order have the same meanings in this price determination.  </w:t>
      </w:r>
    </w:p>
    <w:p w14:paraId="000BC11E" w14:textId="55579E00" w:rsidR="00B503C2" w:rsidRDefault="00FC29D2" w:rsidP="00FC29D2">
      <w:pPr>
        <w:pStyle w:val="ListNumber2"/>
        <w:numPr>
          <w:ilvl w:val="0"/>
          <w:numId w:val="0"/>
        </w:numPr>
        <w:spacing w:before="120" w:after="120"/>
        <w:ind w:left="706" w:hanging="706"/>
        <w:contextualSpacing w:val="0"/>
      </w:pPr>
      <w:r>
        <w:t>1.6</w:t>
      </w:r>
      <w:r>
        <w:tab/>
      </w:r>
      <w:r w:rsidR="001776E5">
        <w:t xml:space="preserve">This price determination is to be cited as the </w:t>
      </w:r>
      <w:r w:rsidR="008E642A">
        <w:t>‘Victorian Default Offer Price Determination 202</w:t>
      </w:r>
      <w:r w:rsidR="00536A04">
        <w:t>4–</w:t>
      </w:r>
      <w:r w:rsidR="008E642A">
        <w:t>2</w:t>
      </w:r>
      <w:r w:rsidR="00536A04">
        <w:t>5</w:t>
      </w:r>
      <w:r w:rsidR="008E642A">
        <w:t>’.</w:t>
      </w:r>
    </w:p>
    <w:p w14:paraId="5DFC3D9D" w14:textId="77777777" w:rsidR="008F7087" w:rsidRDefault="008F7087" w:rsidP="00B503C2"/>
    <w:p w14:paraId="30D4A633" w14:textId="77777777" w:rsidR="00B503C2" w:rsidRDefault="00B503C2" w:rsidP="00B503C2">
      <w:pPr>
        <w:sectPr w:rsidR="00B503C2" w:rsidSect="001853B8">
          <w:footerReference w:type="default" r:id="rId22"/>
          <w:type w:val="continuous"/>
          <w:pgSz w:w="11906" w:h="16838" w:code="9"/>
          <w:pgMar w:top="1134" w:right="1134" w:bottom="1134" w:left="1134" w:header="709" w:footer="692" w:gutter="0"/>
          <w:pgNumType w:start="1"/>
          <w:cols w:space="708"/>
          <w:docGrid w:linePitch="360"/>
        </w:sectPr>
      </w:pPr>
    </w:p>
    <w:p w14:paraId="2AA2B0E2" w14:textId="676414BE" w:rsidR="00710792" w:rsidRDefault="001776E5" w:rsidP="00C43E0B">
      <w:pPr>
        <w:pStyle w:val="Heading1numbered"/>
      </w:pPr>
      <w:bookmarkStart w:id="13" w:name="_Toc133939295"/>
      <w:r w:rsidRPr="001776E5">
        <w:t>Application</w:t>
      </w:r>
      <w:r>
        <w:t xml:space="preserve"> period</w:t>
      </w:r>
      <w:bookmarkEnd w:id="13"/>
    </w:p>
    <w:p w14:paraId="3E68A1B9" w14:textId="2D6EA1AA" w:rsidR="004855CE" w:rsidRDefault="001976E8" w:rsidP="001976E8">
      <w:pPr>
        <w:pStyle w:val="ListNumber2"/>
        <w:numPr>
          <w:ilvl w:val="0"/>
          <w:numId w:val="0"/>
        </w:numPr>
        <w:ind w:left="709" w:hanging="709"/>
      </w:pPr>
      <w:bookmarkStart w:id="14" w:name="_Toc480988882"/>
      <w:bookmarkStart w:id="15" w:name="_Toc481138193"/>
      <w:bookmarkStart w:id="16" w:name="_Toc481138401"/>
      <w:r>
        <w:t>2.1</w:t>
      </w:r>
      <w:r>
        <w:tab/>
      </w:r>
      <w:r w:rsidR="001776E5">
        <w:t>This price determination takes effect on and from 1 July 202</w:t>
      </w:r>
      <w:r w:rsidR="00536A04">
        <w:t>4</w:t>
      </w:r>
      <w:r w:rsidR="001776E5">
        <w:t xml:space="preserve"> and subject to </w:t>
      </w:r>
      <w:r w:rsidR="00C43E0B">
        <w:t>amendment</w:t>
      </w:r>
      <w:r w:rsidR="001776E5">
        <w:t xml:space="preserve"> or revocation by the commission, has effect until 30 June 202</w:t>
      </w:r>
      <w:r w:rsidR="00DB1F74">
        <w:t>5</w:t>
      </w:r>
      <w:r w:rsidR="00C43E0B">
        <w:t>.</w:t>
      </w:r>
    </w:p>
    <w:p w14:paraId="6A1A4412" w14:textId="77DE9DC6" w:rsidR="00C43E0B" w:rsidRDefault="001976E8" w:rsidP="001976E8">
      <w:pPr>
        <w:pStyle w:val="ListNumber2"/>
        <w:numPr>
          <w:ilvl w:val="0"/>
          <w:numId w:val="0"/>
        </w:numPr>
        <w:ind w:left="709" w:hanging="709"/>
      </w:pPr>
      <w:r>
        <w:t>2.2</w:t>
      </w:r>
      <w:r>
        <w:tab/>
      </w:r>
      <w:r w:rsidR="00C43E0B">
        <w:t>If the commission has not made a price determination for the next regulatory period on or before 30 June 202</w:t>
      </w:r>
      <w:r w:rsidR="00DB1F74">
        <w:t>5</w:t>
      </w:r>
      <w:r w:rsidR="00C43E0B">
        <w:t xml:space="preserve">, the provisions that apply to prescribed customers as set out in this determination will apply, and figures </w:t>
      </w:r>
      <w:r w:rsidR="00C43E0B" w:rsidRPr="00D6383E">
        <w:t>will be updated for inflation as specified in Equation 1</w:t>
      </w:r>
      <w:r w:rsidR="00C43E0B">
        <w:t>,</w:t>
      </w:r>
      <w:r w:rsidR="00C43E0B" w:rsidRPr="00D6383E">
        <w:t xml:space="preserve"> and </w:t>
      </w:r>
      <w:r w:rsidR="00C43E0B">
        <w:t xml:space="preserve">these updated arrangements </w:t>
      </w:r>
      <w:r w:rsidR="00C43E0B" w:rsidRPr="00D6383E">
        <w:t>will then apply from 1 J</w:t>
      </w:r>
      <w:r w:rsidR="00C43E0B">
        <w:t>ul</w:t>
      </w:r>
      <w:r w:rsidR="00C43E0B" w:rsidRPr="00D6383E">
        <w:t>y 202</w:t>
      </w:r>
      <w:r w:rsidR="00DB1F74">
        <w:t>5</w:t>
      </w:r>
      <w:r w:rsidR="00C43E0B" w:rsidRPr="00D6383E">
        <w:t xml:space="preserve"> and until the date on which a new price determination for the next regulatory period comes into effect</w:t>
      </w:r>
      <w:r w:rsidR="00C43E0B">
        <w:t>.</w:t>
      </w:r>
    </w:p>
    <w:p w14:paraId="0F6DD967" w14:textId="0DBBD283" w:rsidR="00C43E0B" w:rsidRDefault="00C43E0B" w:rsidP="00C43E0B">
      <w:pPr>
        <w:rPr>
          <w:b/>
          <w:bCs/>
        </w:rPr>
      </w:pPr>
      <w:r w:rsidRPr="00353A13">
        <w:rPr>
          <w:b/>
          <w:bCs/>
        </w:rPr>
        <w:t>EQUATION 1</w:t>
      </w:r>
    </w:p>
    <w:p w14:paraId="7987B70A" w14:textId="27408A38" w:rsidR="004B1300" w:rsidRPr="00353A13" w:rsidRDefault="00DC7C4F" w:rsidP="00C43E0B">
      <w:pPr>
        <w:rPr>
          <w:b/>
          <w:bCs/>
        </w:rPr>
      </w:pPr>
      <m:oMathPara>
        <m:oMath>
          <m:sSubSup>
            <m:sSubSupPr>
              <m:ctrlPr>
                <w:rPr>
                  <w:rFonts w:ascii="Cambria Math" w:hAnsi="Cambria Math" w:cstheme="minorHAnsi"/>
                  <w:i/>
                </w:rPr>
              </m:ctrlPr>
            </m:sSubSupPr>
            <m:e>
              <m:r>
                <w:rPr>
                  <w:rFonts w:ascii="Cambria Math" w:hAnsi="Cambria Math" w:cstheme="minorHAnsi"/>
                </w:rPr>
                <m:t>VDO</m:t>
              </m:r>
            </m:e>
            <m:sub>
              <m:r>
                <w:rPr>
                  <w:rFonts w:ascii="Cambria Math" w:hAnsi="Cambria Math" w:cstheme="minorHAnsi"/>
                </w:rPr>
                <m:t>k</m:t>
              </m:r>
              <m:r>
                <w:rPr>
                  <w:rFonts w:ascii="Cambria Math" w:hAnsi="Cambria Math" w:cstheme="minorHAnsi"/>
                </w:rPr>
                <m:t xml:space="preserve">, </m:t>
              </m:r>
              <m:r>
                <w:rPr>
                  <w:rFonts w:ascii="Cambria Math" w:hAnsi="Cambria Math" w:cstheme="minorHAnsi"/>
                </w:rPr>
                <m:t>July</m:t>
              </m:r>
              <m:r>
                <w:rPr>
                  <w:rFonts w:ascii="Cambria Math" w:hAnsi="Cambria Math" w:cstheme="minorHAnsi"/>
                </w:rPr>
                <m:t xml:space="preserve"> 2025</m:t>
              </m:r>
            </m:sub>
            <m:sup>
              <m:r>
                <w:rPr>
                  <w:rFonts w:ascii="Cambria Math" w:hAnsi="Cambria Math" w:cstheme="minorHAnsi"/>
                </w:rPr>
                <m:t>i</m:t>
              </m:r>
            </m:sup>
          </m:sSubSup>
          <m:r>
            <w:rPr>
              <w:rFonts w:ascii="Cambria Math" w:hAnsi="Cambria Math" w:cstheme="minorHAnsi"/>
            </w:rPr>
            <m:t>=</m:t>
          </m:r>
          <m:d>
            <m:dPr>
              <m:begChr m:val="["/>
              <m:endChr m:val="]"/>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VDO</m:t>
                  </m:r>
                </m:e>
                <m:sub>
                  <m:r>
                    <w:rPr>
                      <w:rFonts w:ascii="Cambria Math" w:hAnsi="Cambria Math" w:cstheme="minorHAnsi"/>
                    </w:rPr>
                    <m:t>k</m:t>
                  </m:r>
                  <m:r>
                    <w:rPr>
                      <w:rFonts w:ascii="Cambria Math" w:hAnsi="Cambria Math" w:cstheme="minorHAnsi"/>
                    </w:rPr>
                    <m:t>,</m:t>
                  </m:r>
                  <m:r>
                    <w:rPr>
                      <w:rFonts w:ascii="Cambria Math" w:hAnsi="Cambria Math" w:cstheme="minorHAnsi"/>
                    </w:rPr>
                    <m:t>July</m:t>
                  </m:r>
                  <m:r>
                    <w:rPr>
                      <w:rFonts w:ascii="Cambria Math" w:hAnsi="Cambria Math" w:cstheme="minorHAnsi"/>
                    </w:rPr>
                    <m:t xml:space="preserve"> 2024</m:t>
                  </m:r>
                </m:sub>
                <m:sup>
                  <m:r>
                    <w:rPr>
                      <w:rFonts w:ascii="Cambria Math" w:hAnsi="Cambria Math" w:cstheme="minorHAnsi"/>
                    </w:rPr>
                    <m:t>i</m:t>
                  </m:r>
                </m:sup>
              </m:sSubSup>
              <m:d>
                <m:dPr>
                  <m:ctrlPr>
                    <w:rPr>
                      <w:rFonts w:ascii="Cambria Math" w:hAnsi="Cambria Math" w:cstheme="minorHAnsi"/>
                      <w:i/>
                    </w:rPr>
                  </m:ctrlPr>
                </m:dPr>
                <m:e>
                  <m:r>
                    <w:rPr>
                      <w:rFonts w:ascii="Cambria Math" w:hAnsi="Cambria Math" w:cstheme="minorHAnsi"/>
                    </w:rPr>
                    <m:t>1</m:t>
                  </m:r>
                  <m:r>
                    <w:rPr>
                      <w:rFonts w:ascii="Cambria Math" w:eastAsiaTheme="minorEastAsia" w:hAnsi="Cambria Math" w:cstheme="minorHAnsi"/>
                    </w:rPr>
                    <m:t>+(</m:t>
                  </m:r>
                  <m:f>
                    <m:fPr>
                      <m:ctrlPr>
                        <w:rPr>
                          <w:rFonts w:ascii="Cambria Math" w:hAnsi="Cambria Math" w:cstheme="minorHAnsi"/>
                          <w:i/>
                        </w:rPr>
                      </m:ctrlPr>
                    </m:fPr>
                    <m:num>
                      <m:r>
                        <w:rPr>
                          <w:rFonts w:ascii="Cambria Math" w:eastAsiaTheme="minorEastAsia" w:hAnsi="Cambria Math" w:cstheme="minorHAnsi"/>
                        </w:rPr>
                        <m:t>CP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Marc</m:t>
                          </m:r>
                          <m:r>
                            <w:rPr>
                              <w:rFonts w:ascii="Cambria Math" w:hAnsi="Cambria Math" w:cstheme="minorHAnsi"/>
                            </w:rPr>
                            <m:t>h</m:t>
                          </m:r>
                          <m:r>
                            <w:rPr>
                              <w:rFonts w:ascii="Cambria Math" w:hAnsi="Cambria Math" w:cstheme="minorHAnsi"/>
                            </w:rPr>
                            <m:t xml:space="preserve"> 2025</m:t>
                          </m:r>
                        </m:sub>
                      </m:sSub>
                      <m:r>
                        <w:rPr>
                          <w:rFonts w:ascii="Cambria Math" w:hAnsi="Cambria Math" w:cstheme="minorHAnsi"/>
                        </w:rPr>
                        <m:t>-</m:t>
                      </m:r>
                      <m:r>
                        <w:rPr>
                          <w:rFonts w:ascii="Cambria Math" w:eastAsiaTheme="minorEastAsia" w:hAnsi="Cambria Math" w:cstheme="minorHAnsi"/>
                        </w:rPr>
                        <m:t>CP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Marc</m:t>
                          </m:r>
                          <m:r>
                            <w:rPr>
                              <w:rFonts w:ascii="Cambria Math" w:hAnsi="Cambria Math" w:cstheme="minorHAnsi"/>
                            </w:rPr>
                            <m:t>h</m:t>
                          </m:r>
                          <m:r>
                            <w:rPr>
                              <w:rFonts w:ascii="Cambria Math" w:hAnsi="Cambria Math" w:cstheme="minorHAnsi"/>
                            </w:rPr>
                            <m:t xml:space="preserve"> 2024</m:t>
                          </m:r>
                        </m:sub>
                      </m:sSub>
                      <m:ctrlPr>
                        <w:rPr>
                          <w:rFonts w:ascii="Cambria Math" w:eastAsiaTheme="minorEastAsia" w:hAnsi="Cambria Math" w:cstheme="minorHAnsi"/>
                          <w:i/>
                        </w:rPr>
                      </m:ctrlPr>
                    </m:num>
                    <m:den>
                      <m:r>
                        <w:rPr>
                          <w:rFonts w:ascii="Cambria Math" w:eastAsiaTheme="minorEastAsia" w:hAnsi="Cambria Math" w:cstheme="minorHAnsi"/>
                        </w:rPr>
                        <m:t>CP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Marc</m:t>
                          </m:r>
                          <m:r>
                            <w:rPr>
                              <w:rFonts w:ascii="Cambria Math" w:hAnsi="Cambria Math" w:cstheme="minorHAnsi"/>
                            </w:rPr>
                            <m:t>h</m:t>
                          </m:r>
                          <m:r>
                            <w:rPr>
                              <w:rFonts w:ascii="Cambria Math" w:hAnsi="Cambria Math" w:cstheme="minorHAnsi"/>
                            </w:rPr>
                            <m:t xml:space="preserve"> 2024</m:t>
                          </m:r>
                        </m:sub>
                      </m:sSub>
                    </m:den>
                  </m:f>
                  <m:r>
                    <w:rPr>
                      <w:rFonts w:ascii="Cambria Math" w:hAnsi="Cambria Math" w:cstheme="minorHAnsi"/>
                    </w:rPr>
                    <m:t>)</m:t>
                  </m:r>
                  <m:ctrlPr>
                    <w:rPr>
                      <w:rFonts w:ascii="Cambria Math" w:eastAsiaTheme="minorEastAsia" w:hAnsi="Cambria Math" w:cstheme="minorHAnsi"/>
                      <w:i/>
                    </w:rPr>
                  </m:ctrlPr>
                </m:e>
              </m:d>
            </m:e>
          </m:d>
        </m:oMath>
      </m:oMathPara>
    </w:p>
    <w:p w14:paraId="604FB9CA" w14:textId="22A0D1BE" w:rsidR="00C43E0B" w:rsidRDefault="00353A13" w:rsidP="00C43E0B">
      <w:r>
        <w:t>w</w:t>
      </w:r>
      <w:r w:rsidR="00C43E0B">
        <w:t>here:</w:t>
      </w:r>
    </w:p>
    <w:tbl>
      <w:tblPr>
        <w:tblStyle w:val="TwoColumnImage"/>
        <w:tblW w:w="0" w:type="auto"/>
        <w:tblBorders>
          <w:top w:val="single" w:sz="4" w:space="0" w:color="auto"/>
        </w:tblBorders>
        <w:tblLook w:val="04A0" w:firstRow="1" w:lastRow="0" w:firstColumn="1" w:lastColumn="0" w:noHBand="0" w:noVBand="1"/>
      </w:tblPr>
      <w:tblGrid>
        <w:gridCol w:w="1800"/>
        <w:gridCol w:w="7838"/>
      </w:tblGrid>
      <w:tr w:rsidR="00C43E0B" w14:paraId="3FABA199" w14:textId="77777777" w:rsidTr="004B1300">
        <w:tc>
          <w:tcPr>
            <w:tcW w:w="1800" w:type="dxa"/>
            <w:tcBorders>
              <w:bottom w:val="single" w:sz="4" w:space="0" w:color="auto"/>
            </w:tcBorders>
          </w:tcPr>
          <w:p w14:paraId="58A8CCC7" w14:textId="00E71C24" w:rsidR="00C43E0B" w:rsidRDefault="00C43E0B" w:rsidP="004855CE">
            <w:r>
              <w:t>VDO</w:t>
            </w:r>
          </w:p>
        </w:tc>
        <w:tc>
          <w:tcPr>
            <w:tcW w:w="7838" w:type="dxa"/>
            <w:tcBorders>
              <w:bottom w:val="single" w:sz="4" w:space="0" w:color="auto"/>
            </w:tcBorders>
          </w:tcPr>
          <w:p w14:paraId="5EC4D1A5" w14:textId="4B860619" w:rsidR="00C43E0B" w:rsidRDefault="00353A13" w:rsidP="004855CE">
            <w:r w:rsidRPr="00AD5785">
              <w:rPr>
                <w:rFonts w:eastAsia="Calibri" w:cstheme="minorHAnsi"/>
                <w:lang w:val="en-US"/>
              </w:rPr>
              <w:t>Means a standing offer made available by a retailer under section 35 of the Act and in respect of which tariffs are regulated under this price determination</w:t>
            </w:r>
          </w:p>
        </w:tc>
      </w:tr>
      <w:tr w:rsidR="00C43E0B" w14:paraId="3A8C3852" w14:textId="77777777" w:rsidTr="004B1300">
        <w:tc>
          <w:tcPr>
            <w:tcW w:w="1800" w:type="dxa"/>
            <w:tcBorders>
              <w:top w:val="single" w:sz="4" w:space="0" w:color="auto"/>
              <w:bottom w:val="single" w:sz="4" w:space="0" w:color="auto"/>
            </w:tcBorders>
          </w:tcPr>
          <w:p w14:paraId="366351AF" w14:textId="240ECAD0" w:rsidR="00C43E0B" w:rsidRDefault="00353A13" w:rsidP="004855CE">
            <w:r>
              <w:t>i</w:t>
            </w:r>
          </w:p>
        </w:tc>
        <w:tc>
          <w:tcPr>
            <w:tcW w:w="7838" w:type="dxa"/>
            <w:tcBorders>
              <w:top w:val="single" w:sz="4" w:space="0" w:color="auto"/>
              <w:bottom w:val="single" w:sz="4" w:space="0" w:color="auto"/>
            </w:tcBorders>
          </w:tcPr>
          <w:p w14:paraId="1B417E05" w14:textId="62D36AAD" w:rsidR="00C43E0B" w:rsidRDefault="00353A13" w:rsidP="004855CE">
            <w:r w:rsidRPr="00D6383E">
              <w:rPr>
                <w:rFonts w:eastAsia="Calibri" w:cstheme="minorHAnsi"/>
                <w:lang w:val="en-US"/>
              </w:rPr>
              <w:t>Is the relevant distribution zones of the relevant licensed distribution company (AusNet Services, Citi</w:t>
            </w:r>
            <w:r>
              <w:rPr>
                <w:rFonts w:eastAsia="Calibri" w:cstheme="minorHAnsi"/>
                <w:lang w:val="en-US"/>
              </w:rPr>
              <w:t>P</w:t>
            </w:r>
            <w:r w:rsidRPr="00D6383E">
              <w:rPr>
                <w:rFonts w:eastAsia="Calibri" w:cstheme="minorHAnsi"/>
                <w:lang w:val="en-US"/>
              </w:rPr>
              <w:t>ower, Jemena, Powercor or United Energy).</w:t>
            </w:r>
          </w:p>
        </w:tc>
      </w:tr>
      <w:tr w:rsidR="00C43E0B" w14:paraId="199DDF6F" w14:textId="77777777" w:rsidTr="004B1300">
        <w:tc>
          <w:tcPr>
            <w:tcW w:w="1800" w:type="dxa"/>
            <w:tcBorders>
              <w:top w:val="single" w:sz="4" w:space="0" w:color="auto"/>
            </w:tcBorders>
          </w:tcPr>
          <w:p w14:paraId="3059659A" w14:textId="4ED60D90" w:rsidR="00C43E0B" w:rsidRDefault="00353A13" w:rsidP="004855CE">
            <w:r>
              <w:t>k</w:t>
            </w:r>
          </w:p>
        </w:tc>
        <w:tc>
          <w:tcPr>
            <w:tcW w:w="7838" w:type="dxa"/>
            <w:tcBorders>
              <w:top w:val="single" w:sz="4" w:space="0" w:color="auto"/>
            </w:tcBorders>
          </w:tcPr>
          <w:p w14:paraId="709B872E" w14:textId="557105E8" w:rsidR="00C43E0B" w:rsidRDefault="00353A13" w:rsidP="004855CE">
            <w:r w:rsidRPr="00D6383E">
              <w:rPr>
                <w:rFonts w:eastAsia="Calibri" w:cstheme="minorHAnsi"/>
                <w:lang w:val="en-US"/>
              </w:rPr>
              <w:t xml:space="preserve">Is the relevant VDO price determination element, which can be the fixed flat </w:t>
            </w:r>
            <w:r>
              <w:rPr>
                <w:rFonts w:eastAsia="Calibri" w:cstheme="minorHAnsi"/>
                <w:lang w:val="en-US"/>
              </w:rPr>
              <w:t>tariffs referred to in clause 3, the fixed two part time of use tariffs referred to in clause 4 or the</w:t>
            </w:r>
            <w:r w:rsidRPr="00D6383E">
              <w:rPr>
                <w:rFonts w:eastAsia="Calibri" w:cstheme="minorHAnsi"/>
                <w:lang w:val="en-US"/>
              </w:rPr>
              <w:t xml:space="preserve"> VDO compliant maximum annual bill amount </w:t>
            </w:r>
            <w:r>
              <w:rPr>
                <w:rFonts w:eastAsia="Calibri" w:cstheme="minorHAnsi"/>
                <w:lang w:val="en-US"/>
              </w:rPr>
              <w:t xml:space="preserve">referred to in clause 5, </w:t>
            </w:r>
            <w:r w:rsidRPr="00D6383E">
              <w:rPr>
                <w:rFonts w:eastAsia="Calibri" w:cstheme="minorHAnsi"/>
                <w:lang w:val="en-US"/>
              </w:rPr>
              <w:t>for the relevant prescribed customer in the relevant distribution zone.</w:t>
            </w:r>
          </w:p>
        </w:tc>
      </w:tr>
      <w:tr w:rsidR="00C43E0B" w14:paraId="1E50B706" w14:textId="77777777" w:rsidTr="004B1300">
        <w:tc>
          <w:tcPr>
            <w:tcW w:w="1800" w:type="dxa"/>
            <w:tcBorders>
              <w:top w:val="single" w:sz="4" w:space="0" w:color="auto"/>
              <w:bottom w:val="single" w:sz="4" w:space="0" w:color="auto"/>
            </w:tcBorders>
          </w:tcPr>
          <w:p w14:paraId="491F8DC3" w14:textId="2D07C281" w:rsidR="00C43E0B" w:rsidRDefault="00353A13" w:rsidP="004855CE">
            <w:r>
              <w:t>C</w:t>
            </w:r>
            <w:r w:rsidR="00A96D13">
              <w:t>PI</w:t>
            </w:r>
            <w:r>
              <w:t xml:space="preserve"> </w:t>
            </w:r>
            <w:r w:rsidR="007323DA">
              <w:t>M</w:t>
            </w:r>
            <w:r>
              <w:t>arch 202</w:t>
            </w:r>
            <w:r w:rsidR="00945B1A">
              <w:t>5</w:t>
            </w:r>
          </w:p>
        </w:tc>
        <w:tc>
          <w:tcPr>
            <w:tcW w:w="7838" w:type="dxa"/>
            <w:tcBorders>
              <w:top w:val="single" w:sz="4" w:space="0" w:color="auto"/>
              <w:bottom w:val="single" w:sz="4" w:space="0" w:color="auto"/>
            </w:tcBorders>
          </w:tcPr>
          <w:p w14:paraId="5A8E4097" w14:textId="377CD203" w:rsidR="00C43E0B" w:rsidRDefault="00353A13" w:rsidP="004855CE">
            <w:r w:rsidRPr="00AD5785">
              <w:rPr>
                <w:rFonts w:eastAsia="Calibri" w:cstheme="minorHAnsi"/>
                <w:lang w:val="en-US"/>
              </w:rPr>
              <w:t xml:space="preserve">Is the All Groups, Australia (Original) CPI index for the </w:t>
            </w:r>
            <w:r>
              <w:rPr>
                <w:rFonts w:eastAsia="Calibri" w:cstheme="minorHAnsi"/>
                <w:lang w:val="en-US"/>
              </w:rPr>
              <w:t>March 202</w:t>
            </w:r>
            <w:r w:rsidR="00945B1A">
              <w:rPr>
                <w:rFonts w:eastAsia="Calibri" w:cstheme="minorHAnsi"/>
                <w:lang w:val="en-US"/>
              </w:rPr>
              <w:t>5</w:t>
            </w:r>
            <w:r>
              <w:rPr>
                <w:rFonts w:eastAsia="Calibri" w:cstheme="minorHAnsi"/>
                <w:lang w:val="en-US"/>
              </w:rPr>
              <w:t xml:space="preserve"> </w:t>
            </w:r>
            <w:r w:rsidRPr="00AD5785">
              <w:rPr>
                <w:rFonts w:eastAsia="Calibri" w:cstheme="minorHAnsi"/>
                <w:lang w:val="en-US"/>
              </w:rPr>
              <w:t xml:space="preserve">quarter as published by the Australian Bureau of Statistics in Cat. No. 6401.0, </w:t>
            </w:r>
            <w:r w:rsidRPr="00AD5785">
              <w:rPr>
                <w:rFonts w:eastAsia="Calibri" w:cstheme="minorHAnsi"/>
                <w:i/>
                <w:iCs/>
                <w:lang w:val="en-US"/>
              </w:rPr>
              <w:t>Consumer Price Index, Australia.</w:t>
            </w:r>
          </w:p>
        </w:tc>
      </w:tr>
      <w:tr w:rsidR="00C43E0B" w14:paraId="16B69725" w14:textId="77777777" w:rsidTr="004B1300">
        <w:tc>
          <w:tcPr>
            <w:tcW w:w="1800" w:type="dxa"/>
            <w:tcBorders>
              <w:top w:val="single" w:sz="4" w:space="0" w:color="auto"/>
            </w:tcBorders>
          </w:tcPr>
          <w:p w14:paraId="198A36AD" w14:textId="0DEFCABC" w:rsidR="00C43E0B" w:rsidRDefault="00353A13" w:rsidP="004855CE">
            <w:r>
              <w:t>C</w:t>
            </w:r>
            <w:r w:rsidR="00A96D13">
              <w:t>PI</w:t>
            </w:r>
            <w:r>
              <w:t xml:space="preserve"> </w:t>
            </w:r>
            <w:r w:rsidR="007323DA">
              <w:t>M</w:t>
            </w:r>
            <w:r>
              <w:t>arch 202</w:t>
            </w:r>
            <w:r w:rsidR="00945B1A">
              <w:t>4</w:t>
            </w:r>
          </w:p>
        </w:tc>
        <w:tc>
          <w:tcPr>
            <w:tcW w:w="7838" w:type="dxa"/>
            <w:tcBorders>
              <w:top w:val="single" w:sz="4" w:space="0" w:color="auto"/>
            </w:tcBorders>
          </w:tcPr>
          <w:p w14:paraId="666047FD" w14:textId="4B137FC4" w:rsidR="00C43E0B" w:rsidRDefault="00353A13" w:rsidP="004855CE">
            <w:r w:rsidRPr="00AD5785">
              <w:rPr>
                <w:rFonts w:eastAsia="Calibri" w:cstheme="minorHAnsi"/>
                <w:lang w:val="en-US"/>
              </w:rPr>
              <w:t xml:space="preserve">Is the All Groups, Australia (Original) CPI index for the </w:t>
            </w:r>
            <w:r>
              <w:rPr>
                <w:rFonts w:eastAsia="Calibri" w:cstheme="minorHAnsi"/>
                <w:lang w:val="en-US"/>
              </w:rPr>
              <w:t>March 202</w:t>
            </w:r>
            <w:r w:rsidR="00945B1A">
              <w:rPr>
                <w:rFonts w:eastAsia="Calibri" w:cstheme="minorHAnsi"/>
                <w:lang w:val="en-US"/>
              </w:rPr>
              <w:t>4</w:t>
            </w:r>
            <w:r>
              <w:rPr>
                <w:rFonts w:eastAsia="Calibri" w:cstheme="minorHAnsi"/>
                <w:lang w:val="en-US"/>
              </w:rPr>
              <w:t xml:space="preserve"> </w:t>
            </w:r>
            <w:r w:rsidRPr="00AD5785">
              <w:rPr>
                <w:rFonts w:eastAsia="Calibri" w:cstheme="minorHAnsi"/>
                <w:lang w:val="en-US"/>
              </w:rPr>
              <w:t xml:space="preserve">quarter as published by the Australian Bureau of Statistics in Cat. No. 6401.0, </w:t>
            </w:r>
            <w:r w:rsidRPr="00AD5785">
              <w:rPr>
                <w:rFonts w:eastAsia="Calibri" w:cstheme="minorHAnsi"/>
                <w:i/>
                <w:iCs/>
                <w:lang w:val="en-US"/>
              </w:rPr>
              <w:t>Consumer Price Index, Australia.</w:t>
            </w:r>
          </w:p>
        </w:tc>
      </w:tr>
    </w:tbl>
    <w:p w14:paraId="4F1104F5" w14:textId="18315C27" w:rsidR="00E5390E" w:rsidRDefault="00353A13" w:rsidP="00353A13">
      <w:pPr>
        <w:pStyle w:val="Heading1numbered"/>
      </w:pPr>
      <w:bookmarkStart w:id="17" w:name="_Toc133939296"/>
      <w:r>
        <w:t>Fixed flat tariffs</w:t>
      </w:r>
      <w:bookmarkEnd w:id="17"/>
    </w:p>
    <w:p w14:paraId="38A9105F" w14:textId="5D08921B" w:rsidR="00353A13" w:rsidRDefault="001976E8" w:rsidP="001976E8">
      <w:pPr>
        <w:pStyle w:val="ListNumber2"/>
        <w:numPr>
          <w:ilvl w:val="0"/>
          <w:numId w:val="0"/>
        </w:numPr>
        <w:ind w:left="709" w:hanging="709"/>
      </w:pPr>
      <w:r>
        <w:t>3.1</w:t>
      </w:r>
      <w:r>
        <w:tab/>
      </w:r>
      <w:r w:rsidR="00353A13">
        <w:t xml:space="preserve">Subject to this price determination, the tariffs a retailer must charge a prescribed customer under any flat tariff or flat tariff plus controlled load standing offer, according to the distribution zone of the customer’s supply point, are fixed at the amounts specified in </w:t>
      </w:r>
      <w:r w:rsidR="009B2930">
        <w:t>S</w:t>
      </w:r>
      <w:r w:rsidR="00353A13">
        <w:t xml:space="preserve">chedule 1 and </w:t>
      </w:r>
      <w:r w:rsidR="009B2930">
        <w:t>S</w:t>
      </w:r>
      <w:r w:rsidR="00353A13">
        <w:t>chedule 2.</w:t>
      </w:r>
    </w:p>
    <w:p w14:paraId="5A6F0970" w14:textId="1F6C6239" w:rsidR="00353A13" w:rsidRDefault="00353A13" w:rsidP="00353A13">
      <w:pPr>
        <w:pStyle w:val="Heading1numbered"/>
      </w:pPr>
      <w:bookmarkStart w:id="18" w:name="_Toc133939297"/>
      <w:r>
        <w:t>Two</w:t>
      </w:r>
      <w:r w:rsidR="003B6138">
        <w:t>-</w:t>
      </w:r>
      <w:r>
        <w:t>period time of use tariffs</w:t>
      </w:r>
      <w:bookmarkEnd w:id="18"/>
    </w:p>
    <w:p w14:paraId="52923B9B" w14:textId="1C00DFE7" w:rsidR="009B2930" w:rsidRDefault="001976E8" w:rsidP="009B2930">
      <w:pPr>
        <w:pStyle w:val="ListNumber2"/>
        <w:numPr>
          <w:ilvl w:val="0"/>
          <w:numId w:val="0"/>
        </w:numPr>
        <w:ind w:left="706" w:hanging="706"/>
        <w:contextualSpacing w:val="0"/>
      </w:pPr>
      <w:r>
        <w:t>4.1</w:t>
      </w:r>
      <w:r>
        <w:tab/>
      </w:r>
      <w:r w:rsidR="009B2930" w:rsidRPr="009B2930">
        <w:t>Subject to this price determination, if a retailer charges a domestic customer a tariff or tariffs under a standing offer that contains a two</w:t>
      </w:r>
      <w:r w:rsidR="003B6138">
        <w:t>-</w:t>
      </w:r>
      <w:r w:rsidR="009B2930" w:rsidRPr="009B2930">
        <w:t>period time of use tariff as defined in clause 4.2, the tariffs a retailer must charge are fixed at the tariffs specified in Schedule 3.</w:t>
      </w:r>
    </w:p>
    <w:p w14:paraId="3B6FC217" w14:textId="689A676C" w:rsidR="005E7345" w:rsidRDefault="001976E8" w:rsidP="001976E8">
      <w:pPr>
        <w:pStyle w:val="ListNumber2"/>
        <w:numPr>
          <w:ilvl w:val="0"/>
          <w:numId w:val="0"/>
        </w:numPr>
        <w:ind w:left="709" w:hanging="709"/>
        <w:contextualSpacing w:val="0"/>
      </w:pPr>
      <w:r>
        <w:t>4.2</w:t>
      </w:r>
      <w:r>
        <w:tab/>
      </w:r>
      <w:r w:rsidR="005E7345">
        <w:t>A two</w:t>
      </w:r>
      <w:r w:rsidR="003B6138">
        <w:t>-</w:t>
      </w:r>
      <w:r w:rsidR="005E7345">
        <w:t>period time of use tariff offered to a domestic customer means a tariff that comprises the following components:</w:t>
      </w:r>
    </w:p>
    <w:p w14:paraId="6CC74200" w14:textId="62805E60" w:rsidR="005E7345" w:rsidRDefault="001976E8" w:rsidP="009B2930">
      <w:pPr>
        <w:pStyle w:val="ListLetters0"/>
        <w:numPr>
          <w:ilvl w:val="0"/>
          <w:numId w:val="0"/>
        </w:numPr>
        <w:ind w:left="1138" w:hanging="432"/>
      </w:pPr>
      <w:r w:rsidRPr="31AFF1DC">
        <w:rPr>
          <w:lang w:val="en-AU"/>
        </w:rPr>
        <w:t>a)</w:t>
      </w:r>
      <w:r>
        <w:tab/>
      </w:r>
      <w:r w:rsidR="00B46964" w:rsidRPr="31AFF1DC">
        <w:rPr>
          <w:lang w:val="en-AU"/>
        </w:rPr>
        <w:t>a</w:t>
      </w:r>
      <w:r w:rsidR="005E7345" w:rsidRPr="31AFF1DC">
        <w:rPr>
          <w:lang w:val="en-AU"/>
        </w:rPr>
        <w:t xml:space="preserve"> fixed supply charge;</w:t>
      </w:r>
    </w:p>
    <w:p w14:paraId="751B8B6D" w14:textId="75ADE119" w:rsidR="005E7345" w:rsidRDefault="001976E8" w:rsidP="009B2930">
      <w:pPr>
        <w:pStyle w:val="ListLetters0"/>
        <w:numPr>
          <w:ilvl w:val="0"/>
          <w:numId w:val="0"/>
        </w:numPr>
        <w:ind w:left="1138" w:hanging="432"/>
      </w:pPr>
      <w:r w:rsidRPr="31AFF1DC">
        <w:rPr>
          <w:lang w:val="en-AU"/>
        </w:rPr>
        <w:t>b)</w:t>
      </w:r>
      <w:r>
        <w:tab/>
      </w:r>
      <w:r w:rsidR="00B46964" w:rsidRPr="31AFF1DC">
        <w:rPr>
          <w:lang w:val="en-AU"/>
        </w:rPr>
        <w:t>a</w:t>
      </w:r>
      <w:r w:rsidR="005E7345" w:rsidRPr="31AFF1DC">
        <w:rPr>
          <w:lang w:val="en-AU"/>
        </w:rPr>
        <w:t xml:space="preserve"> fixed peak period usage charge, which applie</w:t>
      </w:r>
      <w:r w:rsidR="00A95AFA">
        <w:rPr>
          <w:lang w:val="en-AU"/>
        </w:rPr>
        <w:t>s</w:t>
      </w:r>
      <w:r w:rsidR="005E7345" w:rsidRPr="31AFF1DC">
        <w:rPr>
          <w:lang w:val="en-AU"/>
        </w:rPr>
        <w:t xml:space="preserve"> from 3pm to 9pm everyday;</w:t>
      </w:r>
    </w:p>
    <w:p w14:paraId="4FEE3C18" w14:textId="5558EC3B" w:rsidR="005E7345" w:rsidRDefault="001976E8" w:rsidP="009B2930">
      <w:pPr>
        <w:pStyle w:val="ListLetters0"/>
        <w:numPr>
          <w:ilvl w:val="0"/>
          <w:numId w:val="0"/>
        </w:numPr>
        <w:ind w:left="1138" w:hanging="432"/>
      </w:pPr>
      <w:r w:rsidRPr="31AFF1DC">
        <w:rPr>
          <w:lang w:val="en-AU"/>
        </w:rPr>
        <w:t>c)</w:t>
      </w:r>
      <w:r>
        <w:tab/>
      </w:r>
      <w:r w:rsidR="00B46964" w:rsidRPr="31AFF1DC">
        <w:rPr>
          <w:lang w:val="en-AU"/>
        </w:rPr>
        <w:t>a</w:t>
      </w:r>
      <w:r w:rsidR="005E7345" w:rsidRPr="31AFF1DC">
        <w:rPr>
          <w:lang w:val="en-AU"/>
        </w:rPr>
        <w:t xml:space="preserve"> fixed off</w:t>
      </w:r>
      <w:r w:rsidR="002D661B">
        <w:rPr>
          <w:lang w:val="en-AU"/>
        </w:rPr>
        <w:t>-</w:t>
      </w:r>
      <w:r w:rsidR="005E7345" w:rsidRPr="31AFF1DC">
        <w:rPr>
          <w:lang w:val="en-AU"/>
        </w:rPr>
        <w:t>peak usage charge which applies at all other times; and</w:t>
      </w:r>
    </w:p>
    <w:p w14:paraId="5DD42DAB" w14:textId="3758CA7E" w:rsidR="005E7345" w:rsidRDefault="001976E8" w:rsidP="009B2930">
      <w:pPr>
        <w:pStyle w:val="ListLetters0"/>
        <w:numPr>
          <w:ilvl w:val="0"/>
          <w:numId w:val="0"/>
        </w:numPr>
        <w:ind w:left="1138" w:hanging="432"/>
      </w:pPr>
      <w:r>
        <w:t>d)</w:t>
      </w:r>
      <w:r>
        <w:tab/>
      </w:r>
      <w:r w:rsidR="00B46964">
        <w:t>a</w:t>
      </w:r>
      <w:r w:rsidR="005E7345">
        <w:t xml:space="preserve"> fixed controlled load usage charge (where applicable).</w:t>
      </w:r>
    </w:p>
    <w:p w14:paraId="12DDAE70" w14:textId="0B4607B7" w:rsidR="005E7345" w:rsidRDefault="001976E8" w:rsidP="001976E8">
      <w:pPr>
        <w:pStyle w:val="ListNumber2"/>
        <w:numPr>
          <w:ilvl w:val="0"/>
          <w:numId w:val="0"/>
        </w:numPr>
        <w:ind w:left="709" w:hanging="709"/>
        <w:contextualSpacing w:val="0"/>
      </w:pPr>
      <w:r>
        <w:t>4.3</w:t>
      </w:r>
      <w:r>
        <w:tab/>
      </w:r>
      <w:r w:rsidR="005E7345">
        <w:t>Subject to this determination, if a retailer charges a small business customer a tariff or tariffs under a standing offer that contains a two</w:t>
      </w:r>
      <w:r w:rsidR="00427AFB">
        <w:t>-</w:t>
      </w:r>
      <w:r w:rsidR="005E7345">
        <w:t xml:space="preserve">period time of use tariff as defined in clause </w:t>
      </w:r>
      <w:r w:rsidR="00807DB5">
        <w:t>4.4</w:t>
      </w:r>
      <w:r w:rsidR="005E7345">
        <w:t xml:space="preserve">, the tariffs a retailer must charge are fixed at the tariffs specified in </w:t>
      </w:r>
      <w:r w:rsidR="00884CD4">
        <w:t>S</w:t>
      </w:r>
      <w:r w:rsidR="005E7345">
        <w:t xml:space="preserve">chedule </w:t>
      </w:r>
      <w:r w:rsidR="00807DB5">
        <w:t>4</w:t>
      </w:r>
      <w:r w:rsidR="005E7345">
        <w:t>.</w:t>
      </w:r>
    </w:p>
    <w:p w14:paraId="3434834C" w14:textId="41877167" w:rsidR="005E7345" w:rsidRDefault="001976E8" w:rsidP="001976E8">
      <w:pPr>
        <w:pStyle w:val="ListNumber2"/>
        <w:numPr>
          <w:ilvl w:val="0"/>
          <w:numId w:val="0"/>
        </w:numPr>
        <w:ind w:left="709" w:hanging="709"/>
        <w:contextualSpacing w:val="0"/>
      </w:pPr>
      <w:r>
        <w:t>4.4</w:t>
      </w:r>
      <w:r>
        <w:tab/>
      </w:r>
      <w:r w:rsidR="005E7345">
        <w:t>A two</w:t>
      </w:r>
      <w:r w:rsidR="00427AFB">
        <w:t>-</w:t>
      </w:r>
      <w:r w:rsidR="005E7345">
        <w:t>period time of use tariff offered to a small business customer means a tariff that comprises three components:</w:t>
      </w:r>
    </w:p>
    <w:p w14:paraId="36A67C27" w14:textId="5F4C4F7D" w:rsidR="005E7345" w:rsidRDefault="001976E8" w:rsidP="009B2930">
      <w:pPr>
        <w:pStyle w:val="ListLetters0"/>
        <w:numPr>
          <w:ilvl w:val="0"/>
          <w:numId w:val="0"/>
        </w:numPr>
        <w:ind w:left="1138" w:hanging="432"/>
      </w:pPr>
      <w:r w:rsidRPr="31AFF1DC">
        <w:rPr>
          <w:lang w:val="en-AU"/>
        </w:rPr>
        <w:t>a)</w:t>
      </w:r>
      <w:r>
        <w:tab/>
      </w:r>
      <w:r w:rsidR="00B46964" w:rsidRPr="31AFF1DC">
        <w:rPr>
          <w:lang w:val="en-AU"/>
        </w:rPr>
        <w:t>a</w:t>
      </w:r>
      <w:r w:rsidR="005E7345" w:rsidRPr="31AFF1DC">
        <w:rPr>
          <w:lang w:val="en-AU"/>
        </w:rPr>
        <w:t xml:space="preserve"> fixed daily supply charge;</w:t>
      </w:r>
    </w:p>
    <w:p w14:paraId="2D40AB12" w14:textId="40018FE3" w:rsidR="005E7345" w:rsidRDefault="001976E8" w:rsidP="009B2930">
      <w:pPr>
        <w:pStyle w:val="ListLetters0"/>
        <w:numPr>
          <w:ilvl w:val="0"/>
          <w:numId w:val="0"/>
        </w:numPr>
        <w:ind w:left="1138" w:hanging="432"/>
      </w:pPr>
      <w:r w:rsidRPr="31AFF1DC">
        <w:rPr>
          <w:lang w:val="en-AU"/>
        </w:rPr>
        <w:t>b)</w:t>
      </w:r>
      <w:r>
        <w:tab/>
      </w:r>
      <w:r w:rsidR="00B46964" w:rsidRPr="31AFF1DC">
        <w:rPr>
          <w:lang w:val="en-AU"/>
        </w:rPr>
        <w:t>a</w:t>
      </w:r>
      <w:r w:rsidR="005E7345" w:rsidRPr="31AFF1DC">
        <w:rPr>
          <w:lang w:val="en-AU"/>
        </w:rPr>
        <w:t xml:space="preserve"> fixed peak period usage charge which applies from 9am to 9pm on weekdays; and</w:t>
      </w:r>
    </w:p>
    <w:p w14:paraId="31403777" w14:textId="6914F389" w:rsidR="005E7345" w:rsidRDefault="001976E8" w:rsidP="009B2930">
      <w:pPr>
        <w:pStyle w:val="ListLetters0"/>
        <w:numPr>
          <w:ilvl w:val="0"/>
          <w:numId w:val="0"/>
        </w:numPr>
        <w:ind w:left="1138" w:hanging="432"/>
      </w:pPr>
      <w:r w:rsidRPr="31AFF1DC">
        <w:rPr>
          <w:lang w:val="en-AU"/>
        </w:rPr>
        <w:t>c)</w:t>
      </w:r>
      <w:r>
        <w:tab/>
      </w:r>
      <w:r w:rsidR="00B46964" w:rsidRPr="31AFF1DC">
        <w:rPr>
          <w:lang w:val="en-AU"/>
        </w:rPr>
        <w:t>a</w:t>
      </w:r>
      <w:r w:rsidR="005E7345" w:rsidRPr="31AFF1DC">
        <w:rPr>
          <w:lang w:val="en-AU"/>
        </w:rPr>
        <w:t xml:space="preserve"> fixed off</w:t>
      </w:r>
      <w:r w:rsidR="002D661B">
        <w:rPr>
          <w:lang w:val="en-AU"/>
        </w:rPr>
        <w:t>-</w:t>
      </w:r>
      <w:r w:rsidR="005E7345" w:rsidRPr="31AFF1DC">
        <w:rPr>
          <w:lang w:val="en-AU"/>
        </w:rPr>
        <w:t xml:space="preserve">peak usage charge which applies at all other times. </w:t>
      </w:r>
    </w:p>
    <w:p w14:paraId="3B4777A4" w14:textId="4D96DD80" w:rsidR="005E7345" w:rsidRDefault="00502604" w:rsidP="00502604">
      <w:pPr>
        <w:pStyle w:val="Heading1numbered"/>
      </w:pPr>
      <w:bookmarkStart w:id="19" w:name="_Toc133939298"/>
      <w:r>
        <w:t>VDO compliant maximum annual bill amount — all other standing offer tariff types</w:t>
      </w:r>
      <w:bookmarkEnd w:id="19"/>
    </w:p>
    <w:p w14:paraId="02D1A14F" w14:textId="126314F8" w:rsidR="003461F6" w:rsidRDefault="003461F6" w:rsidP="003D24D9">
      <w:pPr>
        <w:ind w:left="709" w:hanging="709"/>
      </w:pPr>
      <w:r>
        <w:t>5.1</w:t>
      </w:r>
      <w:r>
        <w:tab/>
      </w:r>
      <w:r w:rsidR="00502604">
        <w:t>Subject to this price determination</w:t>
      </w:r>
      <w:r>
        <w:t>, a retailer must not charge a prescribed customer a tariff or tariffs under a standing offer that contains:</w:t>
      </w:r>
    </w:p>
    <w:p w14:paraId="357F0DC6" w14:textId="71C59F34" w:rsidR="00502604" w:rsidRDefault="003461F6" w:rsidP="003D24D9">
      <w:pPr>
        <w:pStyle w:val="ListParagraph"/>
        <w:numPr>
          <w:ilvl w:val="0"/>
          <w:numId w:val="39"/>
        </w:numPr>
        <w:ind w:left="1134" w:hanging="425"/>
      </w:pPr>
      <w:r>
        <w:t>a tariff that is not a flat tariff</w:t>
      </w:r>
      <w:r w:rsidR="00061828">
        <w:t>;</w:t>
      </w:r>
      <w:r>
        <w:t xml:space="preserve"> or</w:t>
      </w:r>
    </w:p>
    <w:p w14:paraId="331EBC7C" w14:textId="5F30EFCC" w:rsidR="003461F6" w:rsidRDefault="003461F6" w:rsidP="003D24D9">
      <w:pPr>
        <w:pStyle w:val="ListParagraph"/>
        <w:numPr>
          <w:ilvl w:val="0"/>
          <w:numId w:val="39"/>
        </w:numPr>
        <w:ind w:left="1134" w:hanging="425"/>
      </w:pPr>
      <w:r>
        <w:t>any combination of a flat tariff and a tariff that is not a flat tariff</w:t>
      </w:r>
      <w:r w:rsidR="00061828">
        <w:t>;</w:t>
      </w:r>
    </w:p>
    <w:p w14:paraId="7EF3B597" w14:textId="04165D14" w:rsidR="003461F6" w:rsidRDefault="003461F6" w:rsidP="003D24D9">
      <w:pPr>
        <w:ind w:left="709"/>
      </w:pPr>
      <w:r>
        <w:t>and is not a two</w:t>
      </w:r>
      <w:r w:rsidR="00427AFB">
        <w:t>-</w:t>
      </w:r>
      <w:r>
        <w:t xml:space="preserve">period time of use tariff referred to in clause </w:t>
      </w:r>
      <w:r w:rsidR="00807DB5">
        <w:t>4.1</w:t>
      </w:r>
      <w:r>
        <w:t xml:space="preserve"> or clause </w:t>
      </w:r>
      <w:r w:rsidR="00807DB5">
        <w:t>4.3</w:t>
      </w:r>
      <w:r>
        <w:t xml:space="preserve">, if that tariff or tariffs would produce an estimated annual electricity bill amount that would be higher than the VDO compliant maximum annual bill amount determined by the commission in Schedule </w:t>
      </w:r>
      <w:r w:rsidR="00807DB5">
        <w:t>5</w:t>
      </w:r>
      <w:r>
        <w:t>.</w:t>
      </w:r>
    </w:p>
    <w:p w14:paraId="06873CDB" w14:textId="476C6DB9" w:rsidR="003461F6" w:rsidRDefault="00C3787B" w:rsidP="003D24D9">
      <w:pPr>
        <w:ind w:left="709" w:hanging="709"/>
      </w:pPr>
      <w:r>
        <w:t>5.2</w:t>
      </w:r>
      <w:r w:rsidR="003D24D9">
        <w:tab/>
      </w:r>
      <w:r w:rsidR="003461F6">
        <w:t xml:space="preserve">For all non-flat standing offer tariff types referred to in clause </w:t>
      </w:r>
      <w:r w:rsidR="00807DB5">
        <w:t>5.1</w:t>
      </w:r>
      <w:r w:rsidR="003461F6">
        <w:t xml:space="preserve"> (non-standard standing offers), the retailer must provide to the commission by email to </w:t>
      </w:r>
      <w:hyperlink r:id="rId23" w:history="1">
        <w:r w:rsidR="003461F6" w:rsidRPr="008C66A4">
          <w:rPr>
            <w:rStyle w:val="Hyperlink"/>
          </w:rPr>
          <w:t>VDO@esc.vic.gov.au</w:t>
        </w:r>
      </w:hyperlink>
      <w:r w:rsidR="003461F6">
        <w:t xml:space="preserve">, and publish on the retailer’s website, the tariffs and a representative profile of customer usage and related usage allocations, at the applicable annual reference consumption amount (ARCA) determined by the </w:t>
      </w:r>
      <w:r w:rsidR="00061828">
        <w:t>c</w:t>
      </w:r>
      <w:r w:rsidR="003461F6">
        <w:t xml:space="preserve">ommission in clause </w:t>
      </w:r>
      <w:r w:rsidR="00807DB5">
        <w:t>5.5</w:t>
      </w:r>
      <w:r w:rsidR="003461F6">
        <w:t>. For each such non-standard standing offer the representative profile of customer usage and related usage allocations must be reasonably representative of the profile of usage by customers on that tariff type over a 365-day period. These profiles must be provided to the commission and published no later than the day before the tariffs they relate to come into effect.</w:t>
      </w:r>
    </w:p>
    <w:p w14:paraId="4FF6DA10" w14:textId="5E237B8D" w:rsidR="00C3787B" w:rsidRDefault="00C3787B" w:rsidP="003D24D9">
      <w:pPr>
        <w:ind w:left="709" w:hanging="709"/>
      </w:pPr>
      <w:r>
        <w:t>5.3</w:t>
      </w:r>
      <w:r w:rsidR="003D24D9">
        <w:tab/>
      </w:r>
      <w:r>
        <w:t>Such representative profile of customer usage and related usage allocations must be included in the retailer’s notice of standing offers published on the retailers’ website, in accordance with this determination, below the tariff information set out for that non-standard standing offer.</w:t>
      </w:r>
    </w:p>
    <w:p w14:paraId="6568C687" w14:textId="3B7245EE" w:rsidR="003461F6" w:rsidRDefault="00C3787B" w:rsidP="003D24D9">
      <w:pPr>
        <w:ind w:left="709" w:hanging="709"/>
      </w:pPr>
      <w:r>
        <w:t xml:space="preserve">5.4 </w:t>
      </w:r>
      <w:r w:rsidR="003D24D9">
        <w:tab/>
      </w:r>
      <w:r>
        <w:t xml:space="preserve">A retailer may only vary its tariffs or representative profile of customer usage and related usage allocations for non-standard standing offers, as may be required to give effect to a new price determination or variation of an existing price determination made by the commission in relation to standing offers, or as may be necessary to give effect to an Order in force under subsection 35(3AC) of the EI Act. Clause </w:t>
      </w:r>
      <w:r w:rsidRPr="00CC5954">
        <w:t>5.</w:t>
      </w:r>
      <w:r w:rsidR="00CC5954" w:rsidRPr="00CC5954">
        <w:t>2</w:t>
      </w:r>
      <w:r w:rsidRPr="00CC5954">
        <w:t xml:space="preserve"> and clause 5.</w:t>
      </w:r>
      <w:r w:rsidR="00CC5954" w:rsidRPr="00CC5954">
        <w:t>3</w:t>
      </w:r>
      <w:r>
        <w:t xml:space="preserve"> will apply to any such variation.</w:t>
      </w:r>
    </w:p>
    <w:p w14:paraId="378D5E7B" w14:textId="365AD07B" w:rsidR="004C49C0" w:rsidRDefault="00C3787B" w:rsidP="003D24D9">
      <w:pPr>
        <w:ind w:left="709" w:hanging="709"/>
      </w:pPr>
      <w:r>
        <w:t>5.5</w:t>
      </w:r>
      <w:r w:rsidR="003D24D9">
        <w:tab/>
      </w:r>
      <w:r>
        <w:t>The annual reference consumption amount (ARCA) for purposes of this clause 5 is:</w:t>
      </w:r>
    </w:p>
    <w:p w14:paraId="22E45C08" w14:textId="4CDB712F" w:rsidR="00C3787B" w:rsidRDefault="00C3787B" w:rsidP="003D24D9">
      <w:pPr>
        <w:pStyle w:val="ListParagraph"/>
        <w:numPr>
          <w:ilvl w:val="0"/>
          <w:numId w:val="41"/>
        </w:numPr>
        <w:ind w:left="1134" w:hanging="425"/>
      </w:pPr>
      <w:r>
        <w:t>for a domestic customer — 4,000 kWh per annum;</w:t>
      </w:r>
    </w:p>
    <w:p w14:paraId="5221FAC3" w14:textId="101702E1" w:rsidR="00C3787B" w:rsidRDefault="00C3787B" w:rsidP="003D24D9">
      <w:pPr>
        <w:pStyle w:val="ListParagraph"/>
        <w:numPr>
          <w:ilvl w:val="0"/>
          <w:numId w:val="41"/>
        </w:numPr>
        <w:ind w:left="1134" w:hanging="425"/>
      </w:pPr>
      <w:r>
        <w:t>for a small business customer — 20,000 kWh per annum.</w:t>
      </w:r>
    </w:p>
    <w:p w14:paraId="7F322D43" w14:textId="355B0CBD" w:rsidR="00C3787B" w:rsidRDefault="00C3787B" w:rsidP="003D24D9">
      <w:pPr>
        <w:ind w:left="709" w:hanging="709"/>
      </w:pPr>
      <w:r>
        <w:t>5.6</w:t>
      </w:r>
      <w:r w:rsidR="003D24D9">
        <w:tab/>
      </w:r>
      <w:r>
        <w:t>For the purpose of clause 5.</w:t>
      </w:r>
      <w:r w:rsidR="00CC5954">
        <w:t>5</w:t>
      </w:r>
      <w:r>
        <w:t>, the amount of electricity used by customers is to be assumed to be the same on each day of the year.</w:t>
      </w:r>
    </w:p>
    <w:p w14:paraId="0C343470" w14:textId="4908A7F3" w:rsidR="00C3787B" w:rsidRDefault="00C3787B" w:rsidP="003D24D9">
      <w:pPr>
        <w:ind w:left="709" w:hanging="709"/>
      </w:pPr>
      <w:r>
        <w:t>5.7</w:t>
      </w:r>
      <w:r w:rsidR="003D24D9">
        <w:tab/>
      </w:r>
      <w:r>
        <w:t xml:space="preserve">A retailer’s estimated annual electricity bill for a non-standard standing offer must not exceed the applicable VDO compliant maximum bill amount specified in Schedule </w:t>
      </w:r>
      <w:r w:rsidR="00CC5954">
        <w:t>5</w:t>
      </w:r>
      <w:r>
        <w:t>.</w:t>
      </w:r>
    </w:p>
    <w:p w14:paraId="746A0DB0" w14:textId="073572D1" w:rsidR="00C3787B" w:rsidRDefault="00C3787B" w:rsidP="003D24D9">
      <w:pPr>
        <w:ind w:left="709" w:hanging="709"/>
      </w:pPr>
      <w:r>
        <w:t>5.8</w:t>
      </w:r>
      <w:r w:rsidR="003D24D9">
        <w:tab/>
      </w:r>
      <w:r>
        <w:t>The retailer bill for a non-standard standing offer must be calculated:</w:t>
      </w:r>
    </w:p>
    <w:p w14:paraId="13541B14" w14:textId="19F6FAE1" w:rsidR="00C3787B" w:rsidRDefault="00C3787B" w:rsidP="00CC5954">
      <w:pPr>
        <w:ind w:left="1138" w:hanging="432"/>
        <w:contextualSpacing/>
      </w:pPr>
      <w:r>
        <w:t>a)</w:t>
      </w:r>
      <w:r w:rsidR="003D24D9">
        <w:tab/>
      </w:r>
      <w:r>
        <w:t>by selecting and apportioning the applicable ARCA according to the retailer’s relevant published representative profile of customer usage and related usage allocations</w:t>
      </w:r>
      <w:r w:rsidR="002D1ED2">
        <w:t>;</w:t>
      </w:r>
    </w:p>
    <w:p w14:paraId="0060A55A" w14:textId="33034276" w:rsidR="00C3787B" w:rsidRDefault="00C3787B" w:rsidP="00CC5954">
      <w:pPr>
        <w:ind w:left="1138" w:hanging="432"/>
        <w:contextualSpacing/>
      </w:pPr>
      <w:r>
        <w:t>b)</w:t>
      </w:r>
      <w:r w:rsidR="003D24D9">
        <w:tab/>
      </w:r>
      <w:r>
        <w:t xml:space="preserve">by applying the retailer's published tariffs for that non-standard standing offer to the </w:t>
      </w:r>
      <w:r w:rsidR="00957D22">
        <w:t xml:space="preserve"> </w:t>
      </w:r>
      <w:r>
        <w:t>ARCA (as apportioned)</w:t>
      </w:r>
      <w:r w:rsidR="002D1ED2">
        <w:t>;</w:t>
      </w:r>
    </w:p>
    <w:p w14:paraId="423BE236" w14:textId="2DDB2C68" w:rsidR="00C3787B" w:rsidRDefault="00C3787B" w:rsidP="003D24D9">
      <w:pPr>
        <w:ind w:left="1134" w:hanging="425"/>
      </w:pPr>
      <w:r>
        <w:t>c)</w:t>
      </w:r>
      <w:r w:rsidR="003D24D9">
        <w:tab/>
      </w:r>
      <w:r>
        <w:t>for an assumed supply period of 365 days</w:t>
      </w:r>
      <w:r w:rsidR="002D1ED2">
        <w:t>;</w:t>
      </w:r>
    </w:p>
    <w:p w14:paraId="14B4A5D4" w14:textId="0F8CBAC3" w:rsidR="00C3787B" w:rsidRDefault="00C3787B" w:rsidP="003D24D9">
      <w:pPr>
        <w:ind w:left="709"/>
      </w:pPr>
      <w:r>
        <w:t>to produce an estimated annual electricity bill for that non-standard standing offer.</w:t>
      </w:r>
    </w:p>
    <w:p w14:paraId="34F26620" w14:textId="37FEC0D1" w:rsidR="004C49C0" w:rsidRDefault="004C49C0" w:rsidP="004C49C0">
      <w:pPr>
        <w:pStyle w:val="Heading1numbered"/>
      </w:pPr>
      <w:bookmarkStart w:id="20" w:name="_Toc133939299"/>
      <w:r>
        <w:t>Var</w:t>
      </w:r>
      <w:r w:rsidR="00624533">
        <w:t>ying</w:t>
      </w:r>
      <w:r>
        <w:t xml:space="preserve"> a price determination</w:t>
      </w:r>
      <w:bookmarkEnd w:id="20"/>
    </w:p>
    <w:p w14:paraId="41D2F2F8" w14:textId="31004894" w:rsidR="004C49C0" w:rsidRDefault="00C3787B" w:rsidP="003D24D9">
      <w:pPr>
        <w:ind w:left="709" w:hanging="709"/>
      </w:pPr>
      <w:r>
        <w:t>6.1</w:t>
      </w:r>
      <w:r w:rsidR="003D24D9">
        <w:tab/>
      </w:r>
      <w:r w:rsidR="004C49C0">
        <w:t>The commission may vary (by amendment or revocation) this price determination</w:t>
      </w:r>
      <w:r w:rsidR="00624533">
        <w:t xml:space="preserve"> (a price determination variation) by a later price determination which gives effect to the amendment or revocation.</w:t>
      </w:r>
    </w:p>
    <w:p w14:paraId="2A80F038" w14:textId="0BB9893B" w:rsidR="00624533" w:rsidRDefault="003D24D9" w:rsidP="003D24D9">
      <w:pPr>
        <w:ind w:left="709" w:hanging="709"/>
      </w:pPr>
      <w:r>
        <w:t>6.2</w:t>
      </w:r>
      <w:r>
        <w:tab/>
      </w:r>
      <w:r w:rsidR="00624533">
        <w:t>The circumstances</w:t>
      </w:r>
      <w:r w:rsidR="00C3787B">
        <w:t xml:space="preserve"> under which the commission in its discretion may consider and decide on a proposed variation, and relevant matters, are as follows:</w:t>
      </w:r>
    </w:p>
    <w:tbl>
      <w:tblPr>
        <w:tblStyle w:val="TableGrid"/>
        <w:tblW w:w="0" w:type="auto"/>
        <w:tblLook w:val="04A0" w:firstRow="1" w:lastRow="0" w:firstColumn="1" w:lastColumn="0" w:noHBand="0" w:noVBand="1"/>
      </w:tblPr>
      <w:tblGrid>
        <w:gridCol w:w="4819"/>
        <w:gridCol w:w="4819"/>
      </w:tblGrid>
      <w:tr w:rsidR="00C3787B" w14:paraId="130CC5C3" w14:textId="77777777" w:rsidTr="00B837AB">
        <w:trPr>
          <w:cnfStyle w:val="100000000000" w:firstRow="1" w:lastRow="0" w:firstColumn="0" w:lastColumn="0" w:oddVBand="0" w:evenVBand="0" w:oddHBand="0" w:evenHBand="0" w:firstRowFirstColumn="0" w:firstRowLastColumn="0" w:lastRowFirstColumn="0" w:lastRowLastColumn="0"/>
          <w:tblHeader/>
        </w:trPr>
        <w:tc>
          <w:tcPr>
            <w:tcW w:w="4819" w:type="dxa"/>
          </w:tcPr>
          <w:p w14:paraId="27F6BFA5" w14:textId="3EBE3D61" w:rsidR="00C3787B" w:rsidRDefault="00C3787B" w:rsidP="00353A13">
            <w:r>
              <w:t>Circumstance</w:t>
            </w:r>
          </w:p>
        </w:tc>
        <w:tc>
          <w:tcPr>
            <w:tcW w:w="4819" w:type="dxa"/>
          </w:tcPr>
          <w:p w14:paraId="4022D331" w14:textId="00A56704" w:rsidR="00C3787B" w:rsidRDefault="00C3787B" w:rsidP="00353A13">
            <w:r>
              <w:t>Matters to which the Commission may have regard when considering whether an event or circumstance is sufficiently material to warrant a proposed price determination variation</w:t>
            </w:r>
          </w:p>
        </w:tc>
      </w:tr>
      <w:tr w:rsidR="00C3787B" w14:paraId="3EBAA3C8" w14:textId="77777777" w:rsidTr="00C3787B">
        <w:trPr>
          <w:cnfStyle w:val="000000100000" w:firstRow="0" w:lastRow="0" w:firstColumn="0" w:lastColumn="0" w:oddVBand="0" w:evenVBand="0" w:oddHBand="1" w:evenHBand="0" w:firstRowFirstColumn="0" w:firstRowLastColumn="0" w:lastRowFirstColumn="0" w:lastRowLastColumn="0"/>
        </w:trPr>
        <w:tc>
          <w:tcPr>
            <w:tcW w:w="4819" w:type="dxa"/>
          </w:tcPr>
          <w:p w14:paraId="6C0B7DD6" w14:textId="491517FC" w:rsidR="00C3787B" w:rsidRDefault="005B174D" w:rsidP="003D24D9">
            <w:pPr>
              <w:pStyle w:val="ListParagraph"/>
              <w:numPr>
                <w:ilvl w:val="6"/>
                <w:numId w:val="30"/>
              </w:numPr>
              <w:ind w:left="342" w:hanging="342"/>
            </w:pPr>
            <w:r>
              <w:t>An event occurs or a circumstance arises outside the control of retailers within the regulatory period, that was unforeseen or sufficiently uncertain as to not have been taken into account at the making of this price determination, and the impact of that event or circumstance on the efficient costs of the sale of electricity by retailers calculated by the Commission for purposes of determining the tariffs specified in Schedules 1 to 5, is generally assessed by the Commission, in its discretion, to be material.</w:t>
            </w:r>
          </w:p>
        </w:tc>
        <w:tc>
          <w:tcPr>
            <w:tcW w:w="4819" w:type="dxa"/>
          </w:tcPr>
          <w:p w14:paraId="38DB4208" w14:textId="77777777" w:rsidR="005B174D" w:rsidRDefault="005B174D" w:rsidP="00353A13">
            <w:r>
              <w:t xml:space="preserve">The commission would have regard to: </w:t>
            </w:r>
          </w:p>
          <w:p w14:paraId="516B0116" w14:textId="1A088973" w:rsidR="005B174D" w:rsidRDefault="005B174D" w:rsidP="005B174D">
            <w:pPr>
              <w:pStyle w:val="ListBullet"/>
            </w:pPr>
            <w:r>
              <w:t>the timing, duration and magnitude of the event or circumstance;</w:t>
            </w:r>
          </w:p>
          <w:p w14:paraId="7F2A56C4" w14:textId="2AA3CC9B" w:rsidR="005B174D" w:rsidRDefault="005B174D" w:rsidP="005B174D">
            <w:pPr>
              <w:pStyle w:val="ListBullet"/>
            </w:pPr>
            <w:r>
              <w:t xml:space="preserve">the extent of the impact (positive or negative) on efficient costs calculated by the commission for purposes of determining the tariffs specified in Schedules </w:t>
            </w:r>
            <w:r w:rsidR="00175F1D">
              <w:t>1</w:t>
            </w:r>
            <w:r>
              <w:t xml:space="preserve"> to </w:t>
            </w:r>
            <w:r w:rsidR="00175F1D">
              <w:t>5</w:t>
            </w:r>
            <w:r w:rsidRPr="00175F1D">
              <w:t>;</w:t>
            </w:r>
          </w:p>
          <w:p w14:paraId="14158A77" w14:textId="52779523" w:rsidR="005B174D" w:rsidRDefault="005B174D" w:rsidP="005B174D">
            <w:pPr>
              <w:pStyle w:val="ListBullet"/>
            </w:pPr>
            <w:r>
              <w:t xml:space="preserve">the extent of the impact (positive or negative) on the tariffs specified in Schedules </w:t>
            </w:r>
            <w:r w:rsidR="00175F1D">
              <w:t>1</w:t>
            </w:r>
            <w:r>
              <w:t xml:space="preserve"> to </w:t>
            </w:r>
            <w:r w:rsidR="00175F1D">
              <w:t>5</w:t>
            </w:r>
            <w:r>
              <w:t>;</w:t>
            </w:r>
          </w:p>
          <w:p w14:paraId="3EEF5E96" w14:textId="0E60E169" w:rsidR="005B174D" w:rsidRDefault="005B174D" w:rsidP="005B174D">
            <w:pPr>
              <w:pStyle w:val="ListBullet"/>
            </w:pPr>
            <w:r>
              <w:t>the general extent of the impact on prescribed customer annual bills;</w:t>
            </w:r>
          </w:p>
          <w:p w14:paraId="29F4A51D" w14:textId="5CE6F882" w:rsidR="005B174D" w:rsidRDefault="005B174D" w:rsidP="005B174D">
            <w:pPr>
              <w:pStyle w:val="ListBullet"/>
            </w:pPr>
            <w:r>
              <w:t>the capacity of retailers to manage the impact until the commencement of the next regulatory period;</w:t>
            </w:r>
          </w:p>
          <w:p w14:paraId="7B823CAA" w14:textId="2FB0D706" w:rsidR="005B174D" w:rsidRDefault="005B174D" w:rsidP="005B174D">
            <w:pPr>
              <w:pStyle w:val="ListBullet"/>
            </w:pPr>
            <w:r>
              <w:t>the costs and benefits to retailers and prescribed customers of a proposed price determination variation;</w:t>
            </w:r>
          </w:p>
          <w:p w14:paraId="11DADCE3" w14:textId="77777777" w:rsidR="005B174D" w:rsidRDefault="005B174D" w:rsidP="005B174D">
            <w:pPr>
              <w:pStyle w:val="ListBullet"/>
            </w:pPr>
            <w:r>
              <w:t>the objectives and requirements of the Order; and</w:t>
            </w:r>
          </w:p>
          <w:p w14:paraId="65A99457" w14:textId="5022DA97" w:rsidR="005B174D" w:rsidRDefault="005B174D" w:rsidP="005B174D">
            <w:pPr>
              <w:pStyle w:val="ListBullet"/>
            </w:pPr>
            <w:r>
              <w:t xml:space="preserve">any other matter that the </w:t>
            </w:r>
            <w:r w:rsidR="00DE2BF5">
              <w:t>c</w:t>
            </w:r>
            <w:r>
              <w:t>ommission considers relevant and appropriate.</w:t>
            </w:r>
          </w:p>
          <w:p w14:paraId="0FE77D32" w14:textId="3F9D042D" w:rsidR="00C3787B" w:rsidRDefault="005B174D" w:rsidP="00353A13">
            <w:r>
              <w:t>The commission will assess the materiality of the event or circumstance on a sector wide basis and is not obliged to have regard to any matter or impact which is specific to one or a small group of retailers only.</w:t>
            </w:r>
          </w:p>
        </w:tc>
      </w:tr>
      <w:tr w:rsidR="00C3787B" w14:paraId="102C998B" w14:textId="77777777" w:rsidTr="00C3787B">
        <w:trPr>
          <w:cnfStyle w:val="000000010000" w:firstRow="0" w:lastRow="0" w:firstColumn="0" w:lastColumn="0" w:oddVBand="0" w:evenVBand="0" w:oddHBand="0" w:evenHBand="1" w:firstRowFirstColumn="0" w:firstRowLastColumn="0" w:lastRowFirstColumn="0" w:lastRowLastColumn="0"/>
        </w:trPr>
        <w:tc>
          <w:tcPr>
            <w:tcW w:w="4819" w:type="dxa"/>
          </w:tcPr>
          <w:p w14:paraId="192A077A" w14:textId="05E62043" w:rsidR="00C3787B" w:rsidRDefault="00B837AB" w:rsidP="003D24D9">
            <w:pPr>
              <w:pStyle w:val="ListParagraph"/>
              <w:numPr>
                <w:ilvl w:val="6"/>
                <w:numId w:val="30"/>
              </w:numPr>
              <w:ind w:left="342" w:hanging="342"/>
            </w:pPr>
            <w:r>
              <w:t>The Commission discerns that there was a clerical error, miscalculation, misdescription or other deficiency in this determination, or in the preparation of it (including false or misleading information having been supplied to the commission), and this is generally assessed by the commission, in its sole discretion to be material.</w:t>
            </w:r>
          </w:p>
        </w:tc>
        <w:tc>
          <w:tcPr>
            <w:tcW w:w="4819" w:type="dxa"/>
          </w:tcPr>
          <w:p w14:paraId="7C6D824C" w14:textId="27FF211D" w:rsidR="00C3787B" w:rsidRDefault="00B837AB" w:rsidP="00353A13">
            <w:r>
              <w:t>The commission would have regard to the matters set out above in relation to item 1.</w:t>
            </w:r>
          </w:p>
        </w:tc>
      </w:tr>
      <w:tr w:rsidR="00C3787B" w14:paraId="7555C8E2" w14:textId="77777777" w:rsidTr="00C3787B">
        <w:trPr>
          <w:cnfStyle w:val="000000100000" w:firstRow="0" w:lastRow="0" w:firstColumn="0" w:lastColumn="0" w:oddVBand="0" w:evenVBand="0" w:oddHBand="1" w:evenHBand="0" w:firstRowFirstColumn="0" w:firstRowLastColumn="0" w:lastRowFirstColumn="0" w:lastRowLastColumn="0"/>
        </w:trPr>
        <w:tc>
          <w:tcPr>
            <w:tcW w:w="4819" w:type="dxa"/>
          </w:tcPr>
          <w:p w14:paraId="1A0B2DC2" w14:textId="4D62007D" w:rsidR="00C3787B" w:rsidRDefault="00B837AB" w:rsidP="003D24D9">
            <w:pPr>
              <w:pStyle w:val="ListParagraph"/>
              <w:numPr>
                <w:ilvl w:val="6"/>
                <w:numId w:val="30"/>
              </w:numPr>
              <w:ind w:left="342" w:hanging="342"/>
            </w:pPr>
            <w:r>
              <w:t>The commission discerns that a price determination variation is necessary or desirable to avoid an unintended consequence of this price determination.</w:t>
            </w:r>
          </w:p>
        </w:tc>
        <w:tc>
          <w:tcPr>
            <w:tcW w:w="4819" w:type="dxa"/>
          </w:tcPr>
          <w:p w14:paraId="39E73129" w14:textId="042AABF5" w:rsidR="00C3787B" w:rsidRDefault="00B837AB" w:rsidP="00353A13">
            <w:r>
              <w:t>The commission would have regard to the matters set out above in relation to item 1.</w:t>
            </w:r>
          </w:p>
        </w:tc>
      </w:tr>
    </w:tbl>
    <w:p w14:paraId="318B147E" w14:textId="591DA87F" w:rsidR="00C3787B" w:rsidRDefault="00C3787B" w:rsidP="003D24D9">
      <w:pPr>
        <w:ind w:left="709" w:hanging="709"/>
      </w:pPr>
      <w:r>
        <w:t>6.3</w:t>
      </w:r>
      <w:r w:rsidR="003D24D9">
        <w:tab/>
      </w:r>
      <w:r w:rsidR="006C51BE">
        <w:t>I</w:t>
      </w:r>
      <w:r>
        <w:t xml:space="preserve">f proposing to amend or revoke this price determination, subject to clause </w:t>
      </w:r>
      <w:r w:rsidR="00175F1D">
        <w:t>6.5</w:t>
      </w:r>
      <w:r>
        <w:t xml:space="preserve">, the commission will issue a draft decision and publish a notice on its </w:t>
      </w:r>
      <w:r w:rsidR="00683C85">
        <w:t>i</w:t>
      </w:r>
      <w:r>
        <w:t>nternet site which comprises:</w:t>
      </w:r>
    </w:p>
    <w:p w14:paraId="7CC19DAF" w14:textId="224DCF9B" w:rsidR="00C3787B" w:rsidRDefault="00C3787B" w:rsidP="00175F1D">
      <w:pPr>
        <w:ind w:left="1138" w:hanging="432"/>
        <w:contextualSpacing/>
      </w:pPr>
      <w:r>
        <w:t>a)</w:t>
      </w:r>
      <w:r w:rsidR="003D24D9">
        <w:tab/>
      </w:r>
      <w:r>
        <w:t>a copy of the draft decision;</w:t>
      </w:r>
    </w:p>
    <w:p w14:paraId="6081BCAD" w14:textId="1E223551" w:rsidR="00C3787B" w:rsidRDefault="00C3787B" w:rsidP="00175F1D">
      <w:pPr>
        <w:ind w:left="1138" w:hanging="432"/>
        <w:contextualSpacing/>
      </w:pPr>
      <w:r>
        <w:t>b)</w:t>
      </w:r>
      <w:r w:rsidR="003D24D9">
        <w:tab/>
      </w:r>
      <w:r>
        <w:t>the reasons for the draft decision; and</w:t>
      </w:r>
    </w:p>
    <w:p w14:paraId="6D364C9E" w14:textId="21642D42" w:rsidR="00C3787B" w:rsidRDefault="00C3787B" w:rsidP="003D24D9">
      <w:pPr>
        <w:ind w:left="1134" w:hanging="425"/>
      </w:pPr>
      <w:r>
        <w:t>c)</w:t>
      </w:r>
      <w:r w:rsidR="003D24D9">
        <w:tab/>
      </w:r>
      <w:r>
        <w:t>an invitation to interested and affected parties to make submissions to the commission in relation to the draft decision before a date specified in the notice.</w:t>
      </w:r>
    </w:p>
    <w:p w14:paraId="59857CD4" w14:textId="1857A424" w:rsidR="00B837AB" w:rsidRDefault="00B837AB" w:rsidP="003D24D9">
      <w:pPr>
        <w:ind w:left="709" w:hanging="709"/>
      </w:pPr>
      <w:r>
        <w:t>6.4</w:t>
      </w:r>
      <w:r w:rsidR="003D24D9">
        <w:tab/>
      </w:r>
      <w:r>
        <w:t>The commission will consult retailers and other relevant stakeholders on the draft decision, as the Commission determines reasonable and appropriate, having regard to its Charter of Consultation and Regulatory Practice (as current at the time).</w:t>
      </w:r>
    </w:p>
    <w:p w14:paraId="6BE11E73" w14:textId="61D5E6D4" w:rsidR="001C0A22" w:rsidRDefault="00B837AB" w:rsidP="003D24D9">
      <w:pPr>
        <w:ind w:left="709" w:hanging="709"/>
      </w:pPr>
      <w:r>
        <w:t>6.5</w:t>
      </w:r>
      <w:r w:rsidR="003D24D9">
        <w:tab/>
      </w:r>
      <w:r>
        <w:t>The Commission may amend or revoke this price determination without following the process of consulting outlined above if the Commission considers:</w:t>
      </w:r>
    </w:p>
    <w:p w14:paraId="398F28B0" w14:textId="065DFDCF" w:rsidR="001C0A22" w:rsidRDefault="00B837AB" w:rsidP="00175F1D">
      <w:pPr>
        <w:ind w:left="1138" w:hanging="432"/>
        <w:contextualSpacing/>
      </w:pPr>
      <w:r>
        <w:t>a)</w:t>
      </w:r>
      <w:r w:rsidR="003D24D9">
        <w:tab/>
      </w:r>
      <w:r>
        <w:t>the amendment or revocation of this price determination is not sufficiently material to warrant consultation; or</w:t>
      </w:r>
    </w:p>
    <w:p w14:paraId="43A90A78" w14:textId="1DB69DFB" w:rsidR="001C0A22" w:rsidRDefault="00B837AB" w:rsidP="003D24D9">
      <w:pPr>
        <w:ind w:left="1134" w:hanging="425"/>
      </w:pPr>
      <w:r>
        <w:t>b)</w:t>
      </w:r>
      <w:r w:rsidR="003D24D9">
        <w:tab/>
      </w:r>
      <w:r>
        <w:t>the need to effect the amendment or revocation is sufficiently urgent to make consultation impracticable.</w:t>
      </w:r>
    </w:p>
    <w:p w14:paraId="52B08270" w14:textId="68BCCE32" w:rsidR="00C3787B" w:rsidRDefault="00B837AB" w:rsidP="003D24D9">
      <w:pPr>
        <w:ind w:left="709" w:hanging="709"/>
      </w:pPr>
      <w:r>
        <w:t>6.6</w:t>
      </w:r>
      <w:r w:rsidR="003D24D9">
        <w:tab/>
      </w:r>
      <w:r>
        <w:t>If the Commission decides not to follow the process and undertake the consultation outlined above, it will provide reasons for the decision and will make them available to interested and affected parties</w:t>
      </w:r>
      <w:r w:rsidR="001C0A22">
        <w:t>.</w:t>
      </w:r>
    </w:p>
    <w:p w14:paraId="17D11E14" w14:textId="4C7B9359" w:rsidR="00C3787B" w:rsidRDefault="00C3787B" w:rsidP="00353A13"/>
    <w:p w14:paraId="3BD08C02" w14:textId="77777777" w:rsidR="00C3787B" w:rsidRDefault="00C3787B" w:rsidP="00353A13"/>
    <w:p w14:paraId="3CF0D872" w14:textId="3B5E6BA6" w:rsidR="00624533" w:rsidRDefault="00624533" w:rsidP="00624533">
      <w:pPr>
        <w:pStyle w:val="Heading1"/>
      </w:pPr>
      <w:bookmarkStart w:id="21" w:name="_Toc133939300"/>
      <w:r>
        <w:t>S</w:t>
      </w:r>
      <w:r w:rsidR="00FC29D2">
        <w:t>CHEDULE</w:t>
      </w:r>
      <w:r>
        <w:t xml:space="preserve"> 1</w:t>
      </w:r>
      <w:bookmarkEnd w:id="21"/>
    </w:p>
    <w:p w14:paraId="4A12BD8E" w14:textId="5AB21F10" w:rsidR="001C0A22" w:rsidRPr="001C0A22" w:rsidRDefault="001C0A22" w:rsidP="00353A13">
      <w:pPr>
        <w:rPr>
          <w:rStyle w:val="Strong"/>
        </w:rPr>
      </w:pPr>
      <w:r w:rsidRPr="001C0A22">
        <w:rPr>
          <w:rStyle w:val="Strong"/>
        </w:rPr>
        <w:t>Victorian default offer fixed flat tariffs for general usage and general usage + controlled load usage</w:t>
      </w:r>
      <w:r w:rsidR="0022721B" w:rsidRPr="0022721B">
        <w:rPr>
          <w:rStyle w:val="Strong"/>
        </w:rPr>
        <w:t xml:space="preserve"> </w:t>
      </w:r>
      <w:r w:rsidR="0022721B" w:rsidRPr="001C0A22">
        <w:rPr>
          <w:rStyle w:val="Strong"/>
        </w:rPr>
        <w:t xml:space="preserve">for </w:t>
      </w:r>
      <w:r w:rsidR="0022721B">
        <w:rPr>
          <w:rStyle w:val="Strong"/>
        </w:rPr>
        <w:t xml:space="preserve">the </w:t>
      </w:r>
      <w:r w:rsidR="0022721B" w:rsidRPr="001C0A22">
        <w:rPr>
          <w:rStyle w:val="Strong"/>
        </w:rPr>
        <w:t>period 1 July 202</w:t>
      </w:r>
      <w:r w:rsidR="0039364E">
        <w:rPr>
          <w:rStyle w:val="Strong"/>
        </w:rPr>
        <w:t>4</w:t>
      </w:r>
      <w:r w:rsidR="0022721B" w:rsidRPr="001C0A22">
        <w:rPr>
          <w:rStyle w:val="Strong"/>
        </w:rPr>
        <w:t xml:space="preserve"> to 30 June 202</w:t>
      </w:r>
      <w:r w:rsidR="0039364E">
        <w:rPr>
          <w:rStyle w:val="Strong"/>
        </w:rPr>
        <w:t>5</w:t>
      </w:r>
      <w:r w:rsidRPr="001C0A22">
        <w:rPr>
          <w:rStyle w:val="Strong"/>
        </w:rPr>
        <w:t xml:space="preserve"> </w:t>
      </w:r>
      <w:r w:rsidR="004B57F5">
        <w:rPr>
          <w:rStyle w:val="Strong"/>
        </w:rPr>
        <w:t>—</w:t>
      </w:r>
      <w:r w:rsidRPr="001C0A22">
        <w:rPr>
          <w:rStyle w:val="Strong"/>
        </w:rPr>
        <w:t xml:space="preserve"> domestic customers </w:t>
      </w:r>
    </w:p>
    <w:p w14:paraId="5D3D144F" w14:textId="13088CEB" w:rsidR="00624533" w:rsidRDefault="001C0A22" w:rsidP="00353A13">
      <w:r>
        <w:t>Charges inclusive of GST</w:t>
      </w:r>
    </w:p>
    <w:tbl>
      <w:tblPr>
        <w:tblStyle w:val="TableGrid"/>
        <w:tblW w:w="0" w:type="auto"/>
        <w:tblLook w:val="04A0" w:firstRow="1" w:lastRow="0" w:firstColumn="1" w:lastColumn="0" w:noHBand="0" w:noVBand="1"/>
      </w:tblPr>
      <w:tblGrid>
        <w:gridCol w:w="1620"/>
        <w:gridCol w:w="1357"/>
        <w:gridCol w:w="2410"/>
        <w:gridCol w:w="2083"/>
        <w:gridCol w:w="2168"/>
      </w:tblGrid>
      <w:tr w:rsidR="001C0A22" w14:paraId="04DC27FF" w14:textId="77777777" w:rsidTr="008F537D">
        <w:trPr>
          <w:cnfStyle w:val="100000000000" w:firstRow="1" w:lastRow="0" w:firstColumn="0" w:lastColumn="0" w:oddVBand="0" w:evenVBand="0" w:oddHBand="0" w:evenHBand="0" w:firstRowFirstColumn="0" w:firstRowLastColumn="0" w:lastRowFirstColumn="0" w:lastRowLastColumn="0"/>
        </w:trPr>
        <w:tc>
          <w:tcPr>
            <w:tcW w:w="1620" w:type="dxa"/>
          </w:tcPr>
          <w:p w14:paraId="44910B0C" w14:textId="3607132F" w:rsidR="001C0A22" w:rsidRDefault="00683C85" w:rsidP="00353A13">
            <w:bookmarkStart w:id="22" w:name="_Hlk133917281"/>
            <w:r>
              <w:t>Distribution</w:t>
            </w:r>
            <w:r w:rsidR="001C0A22">
              <w:t xml:space="preserve"> zone</w:t>
            </w:r>
          </w:p>
        </w:tc>
        <w:tc>
          <w:tcPr>
            <w:tcW w:w="1357" w:type="dxa"/>
          </w:tcPr>
          <w:p w14:paraId="0B61A1AE" w14:textId="3A348F4C" w:rsidR="001C0A22" w:rsidRDefault="001C0A22" w:rsidP="00353A13">
            <w:r>
              <w:t xml:space="preserve">Supply charge </w:t>
            </w:r>
            <w:r w:rsidR="00175F1D">
              <w:br/>
            </w:r>
            <w:r>
              <w:t>($ per day)</w:t>
            </w:r>
          </w:p>
        </w:tc>
        <w:tc>
          <w:tcPr>
            <w:tcW w:w="2410" w:type="dxa"/>
          </w:tcPr>
          <w:p w14:paraId="3B844D47" w14:textId="547517DB" w:rsidR="001C0A22" w:rsidRDefault="001C0A22" w:rsidP="00353A13">
            <w:r>
              <w:t>Usage charge structure</w:t>
            </w:r>
          </w:p>
        </w:tc>
        <w:tc>
          <w:tcPr>
            <w:tcW w:w="2083" w:type="dxa"/>
          </w:tcPr>
          <w:p w14:paraId="5D95780E" w14:textId="6715BC7E" w:rsidR="001C0A22" w:rsidRDefault="001C0A22" w:rsidP="00353A13">
            <w:r>
              <w:t>Usage charge (not controlled load) ($ per kWh)</w:t>
            </w:r>
          </w:p>
        </w:tc>
        <w:tc>
          <w:tcPr>
            <w:tcW w:w="2168" w:type="dxa"/>
          </w:tcPr>
          <w:p w14:paraId="4A2B9411" w14:textId="4D497B13" w:rsidR="001C0A22" w:rsidRDefault="001C0A22" w:rsidP="00353A13">
            <w:r>
              <w:t>Usage charge, controlled load ($ per kWh)</w:t>
            </w:r>
          </w:p>
        </w:tc>
      </w:tr>
      <w:bookmarkEnd w:id="22"/>
      <w:tr w:rsidR="007A5455" w14:paraId="7EA0885A" w14:textId="77777777" w:rsidTr="008F537D">
        <w:trPr>
          <w:cnfStyle w:val="000000100000" w:firstRow="0" w:lastRow="0" w:firstColumn="0" w:lastColumn="0" w:oddVBand="0" w:evenVBand="0" w:oddHBand="1" w:evenHBand="0" w:firstRowFirstColumn="0" w:firstRowLastColumn="0" w:lastRowFirstColumn="0" w:lastRowLastColumn="0"/>
        </w:trPr>
        <w:tc>
          <w:tcPr>
            <w:tcW w:w="1620" w:type="dxa"/>
          </w:tcPr>
          <w:p w14:paraId="0CF7109F" w14:textId="6A5326AC" w:rsidR="007A5455" w:rsidRDefault="007A5455" w:rsidP="007A5455">
            <w:r w:rsidRPr="00AD5785">
              <w:t>AusNet Services</w:t>
            </w:r>
          </w:p>
        </w:tc>
        <w:tc>
          <w:tcPr>
            <w:tcW w:w="1357" w:type="dxa"/>
          </w:tcPr>
          <w:p w14:paraId="7D4552F7" w14:textId="42B4EE42" w:rsidR="007A5455" w:rsidRDefault="007A5455" w:rsidP="007A5455">
            <w:r w:rsidRPr="007A5455">
              <w:t>$1.</w:t>
            </w:r>
            <w:r w:rsidR="004A3198">
              <w:t>3354</w:t>
            </w:r>
          </w:p>
        </w:tc>
        <w:tc>
          <w:tcPr>
            <w:tcW w:w="2410" w:type="dxa"/>
          </w:tcPr>
          <w:p w14:paraId="678CB834" w14:textId="0E384D57" w:rsidR="007A5455" w:rsidRPr="007A5455" w:rsidRDefault="007A5455" w:rsidP="007A5455">
            <w:r w:rsidRPr="007A5455">
              <w:t>●   Block 1 (up to 1020 kWh during a quarter)</w:t>
            </w:r>
            <w:r w:rsidRPr="007A5455">
              <w:br/>
              <w:t>●   Block 2 (&gt; 1020 kWh during a quarter)</w:t>
            </w:r>
          </w:p>
        </w:tc>
        <w:tc>
          <w:tcPr>
            <w:tcW w:w="2083" w:type="dxa"/>
          </w:tcPr>
          <w:p w14:paraId="32E0BB6B" w14:textId="77777777" w:rsidR="00725EA1" w:rsidRDefault="007A5455" w:rsidP="007A5455">
            <w:pPr>
              <w:rPr>
                <w:rFonts w:ascii="Arial" w:hAnsi="Arial" w:cs="Arial"/>
                <w:color w:val="000000"/>
              </w:rPr>
            </w:pPr>
            <w:r>
              <w:rPr>
                <w:rFonts w:ascii="Arial" w:hAnsi="Arial" w:cs="Arial"/>
                <w:color w:val="000000"/>
              </w:rPr>
              <w:t>$0.3</w:t>
            </w:r>
            <w:r w:rsidR="00725EA1">
              <w:rPr>
                <w:rFonts w:ascii="Arial" w:hAnsi="Arial" w:cs="Arial"/>
                <w:color w:val="000000"/>
              </w:rPr>
              <w:t>536</w:t>
            </w:r>
          </w:p>
          <w:p w14:paraId="1C838114" w14:textId="77BFDF71" w:rsidR="007A5455" w:rsidRDefault="007A5455" w:rsidP="007A5455">
            <w:r>
              <w:rPr>
                <w:rFonts w:ascii="Arial" w:hAnsi="Arial" w:cs="Arial"/>
                <w:color w:val="000000"/>
              </w:rPr>
              <w:br/>
              <w:t>$0.3</w:t>
            </w:r>
            <w:r w:rsidR="00725EA1">
              <w:rPr>
                <w:rFonts w:ascii="Arial" w:hAnsi="Arial" w:cs="Arial"/>
                <w:color w:val="000000"/>
              </w:rPr>
              <w:t>617</w:t>
            </w:r>
          </w:p>
        </w:tc>
        <w:tc>
          <w:tcPr>
            <w:tcW w:w="2168" w:type="dxa"/>
          </w:tcPr>
          <w:p w14:paraId="7BFB9C1A" w14:textId="634E96F0" w:rsidR="007A5455" w:rsidRDefault="007A5455" w:rsidP="007A5455">
            <w:r>
              <w:rPr>
                <w:rFonts w:ascii="Arial" w:hAnsi="Arial" w:cs="Arial"/>
                <w:color w:val="000000"/>
              </w:rPr>
              <w:t>$0.2</w:t>
            </w:r>
            <w:r w:rsidR="00725EA1">
              <w:rPr>
                <w:rFonts w:ascii="Arial" w:hAnsi="Arial" w:cs="Arial"/>
                <w:color w:val="000000"/>
              </w:rPr>
              <w:t>512</w:t>
            </w:r>
          </w:p>
        </w:tc>
      </w:tr>
      <w:tr w:rsidR="007A5455" w14:paraId="275C78DC" w14:textId="77777777" w:rsidTr="008F537D">
        <w:trPr>
          <w:cnfStyle w:val="000000010000" w:firstRow="0" w:lastRow="0" w:firstColumn="0" w:lastColumn="0" w:oddVBand="0" w:evenVBand="0" w:oddHBand="0" w:evenHBand="1" w:firstRowFirstColumn="0" w:firstRowLastColumn="0" w:lastRowFirstColumn="0" w:lastRowLastColumn="0"/>
        </w:trPr>
        <w:tc>
          <w:tcPr>
            <w:tcW w:w="1620" w:type="dxa"/>
          </w:tcPr>
          <w:p w14:paraId="6F9BEF16" w14:textId="12FF95D1" w:rsidR="007A5455" w:rsidRDefault="007A5455" w:rsidP="007A5455">
            <w:r w:rsidRPr="00AD5785">
              <w:t>CitiPower</w:t>
            </w:r>
          </w:p>
        </w:tc>
        <w:tc>
          <w:tcPr>
            <w:tcW w:w="1357" w:type="dxa"/>
          </w:tcPr>
          <w:p w14:paraId="4C300BB6" w14:textId="1BA52968" w:rsidR="007A5455" w:rsidRDefault="007A5455" w:rsidP="007A5455">
            <w:r>
              <w:rPr>
                <w:rFonts w:ascii="Arial" w:hAnsi="Arial" w:cs="Arial"/>
                <w:color w:val="000000"/>
              </w:rPr>
              <w:t>$1.</w:t>
            </w:r>
            <w:r w:rsidR="00725EA1">
              <w:rPr>
                <w:rFonts w:ascii="Arial" w:hAnsi="Arial" w:cs="Arial"/>
                <w:color w:val="000000"/>
              </w:rPr>
              <w:t>1673</w:t>
            </w:r>
          </w:p>
        </w:tc>
        <w:tc>
          <w:tcPr>
            <w:tcW w:w="2410" w:type="dxa"/>
            <w:vAlign w:val="center"/>
          </w:tcPr>
          <w:p w14:paraId="6A3E3489" w14:textId="4CADED09" w:rsidR="007A5455" w:rsidRDefault="007A5455" w:rsidP="007A5455">
            <w:r>
              <w:rPr>
                <w:rFonts w:ascii="Arial" w:hAnsi="Arial" w:cs="Arial"/>
                <w:color w:val="000000"/>
              </w:rPr>
              <w:t>Anytime</w:t>
            </w:r>
          </w:p>
        </w:tc>
        <w:tc>
          <w:tcPr>
            <w:tcW w:w="2083" w:type="dxa"/>
          </w:tcPr>
          <w:p w14:paraId="6F72496D" w14:textId="12C9E0DE" w:rsidR="007A5455" w:rsidRDefault="007A5455" w:rsidP="007A5455">
            <w:r>
              <w:rPr>
                <w:rFonts w:ascii="Arial" w:hAnsi="Arial" w:cs="Arial"/>
                <w:color w:val="000000"/>
              </w:rPr>
              <w:t>$0.2</w:t>
            </w:r>
            <w:r w:rsidR="00F2191D">
              <w:rPr>
                <w:rFonts w:ascii="Arial" w:hAnsi="Arial" w:cs="Arial"/>
                <w:color w:val="000000"/>
              </w:rPr>
              <w:t>5</w:t>
            </w:r>
            <w:r w:rsidR="00725EA1">
              <w:rPr>
                <w:rFonts w:ascii="Arial" w:hAnsi="Arial" w:cs="Arial"/>
                <w:color w:val="000000"/>
              </w:rPr>
              <w:t>75</w:t>
            </w:r>
          </w:p>
        </w:tc>
        <w:tc>
          <w:tcPr>
            <w:tcW w:w="2168" w:type="dxa"/>
          </w:tcPr>
          <w:p w14:paraId="0E77DCC0" w14:textId="4A171969" w:rsidR="007A5455" w:rsidRDefault="007A5455" w:rsidP="007A5455">
            <w:r>
              <w:rPr>
                <w:rFonts w:ascii="Arial" w:hAnsi="Arial" w:cs="Arial"/>
                <w:color w:val="000000"/>
              </w:rPr>
              <w:t>$0.</w:t>
            </w:r>
            <w:r w:rsidR="00F56308">
              <w:rPr>
                <w:rFonts w:ascii="Arial" w:hAnsi="Arial" w:cs="Arial"/>
                <w:color w:val="000000"/>
              </w:rPr>
              <w:t>19</w:t>
            </w:r>
            <w:r w:rsidR="0080591D">
              <w:rPr>
                <w:rFonts w:ascii="Arial" w:hAnsi="Arial" w:cs="Arial"/>
                <w:color w:val="000000"/>
              </w:rPr>
              <w:t>01</w:t>
            </w:r>
          </w:p>
        </w:tc>
      </w:tr>
      <w:tr w:rsidR="007A5455" w14:paraId="3903874F" w14:textId="77777777" w:rsidTr="007A5455">
        <w:trPr>
          <w:cnfStyle w:val="000000100000" w:firstRow="0" w:lastRow="0" w:firstColumn="0" w:lastColumn="0" w:oddVBand="0" w:evenVBand="0" w:oddHBand="1" w:evenHBand="0" w:firstRowFirstColumn="0" w:firstRowLastColumn="0" w:lastRowFirstColumn="0" w:lastRowLastColumn="0"/>
        </w:trPr>
        <w:tc>
          <w:tcPr>
            <w:tcW w:w="1620" w:type="dxa"/>
          </w:tcPr>
          <w:p w14:paraId="219551DC" w14:textId="72231F21" w:rsidR="007A5455" w:rsidRDefault="007A5455" w:rsidP="007A5455">
            <w:r w:rsidRPr="00AD5785">
              <w:t>Jemena</w:t>
            </w:r>
          </w:p>
        </w:tc>
        <w:tc>
          <w:tcPr>
            <w:tcW w:w="1357" w:type="dxa"/>
          </w:tcPr>
          <w:p w14:paraId="787238C3" w14:textId="6D3C64E5" w:rsidR="007A5455" w:rsidRDefault="007A5455" w:rsidP="007A5455">
            <w:r>
              <w:rPr>
                <w:rFonts w:ascii="Arial" w:hAnsi="Arial" w:cs="Arial"/>
                <w:color w:val="000000"/>
              </w:rPr>
              <w:t>$1.</w:t>
            </w:r>
            <w:r w:rsidR="00076E7B">
              <w:rPr>
                <w:rFonts w:ascii="Arial" w:hAnsi="Arial" w:cs="Arial"/>
                <w:color w:val="000000"/>
              </w:rPr>
              <w:t>2</w:t>
            </w:r>
            <w:r w:rsidR="00725EA1">
              <w:rPr>
                <w:rFonts w:ascii="Arial" w:hAnsi="Arial" w:cs="Arial"/>
                <w:color w:val="000000"/>
              </w:rPr>
              <w:t>105</w:t>
            </w:r>
          </w:p>
        </w:tc>
        <w:tc>
          <w:tcPr>
            <w:tcW w:w="2410" w:type="dxa"/>
            <w:tcBorders>
              <w:bottom w:val="nil"/>
            </w:tcBorders>
            <w:vAlign w:val="center"/>
          </w:tcPr>
          <w:p w14:paraId="50F89ADB" w14:textId="168108E8" w:rsidR="007A5455" w:rsidRDefault="007A5455" w:rsidP="007A5455">
            <w:r>
              <w:rPr>
                <w:rFonts w:ascii="Arial" w:hAnsi="Arial" w:cs="Arial"/>
                <w:color w:val="000000"/>
              </w:rPr>
              <w:t>Anytime</w:t>
            </w:r>
          </w:p>
        </w:tc>
        <w:tc>
          <w:tcPr>
            <w:tcW w:w="2083" w:type="dxa"/>
          </w:tcPr>
          <w:p w14:paraId="6C59B3E0" w14:textId="39BD6402" w:rsidR="007A5455" w:rsidRDefault="007A5455" w:rsidP="007A5455">
            <w:r>
              <w:rPr>
                <w:rFonts w:ascii="Arial" w:hAnsi="Arial" w:cs="Arial"/>
                <w:color w:val="000000"/>
              </w:rPr>
              <w:t>$0.</w:t>
            </w:r>
            <w:r w:rsidR="00725EA1">
              <w:rPr>
                <w:rFonts w:ascii="Arial" w:hAnsi="Arial" w:cs="Arial"/>
                <w:color w:val="000000"/>
              </w:rPr>
              <w:t>3054</w:t>
            </w:r>
          </w:p>
        </w:tc>
        <w:tc>
          <w:tcPr>
            <w:tcW w:w="2168" w:type="dxa"/>
          </w:tcPr>
          <w:p w14:paraId="48567CEE" w14:textId="1D877994" w:rsidR="007A5455" w:rsidRDefault="007A5455" w:rsidP="007A5455">
            <w:r>
              <w:rPr>
                <w:rFonts w:ascii="Arial" w:hAnsi="Arial" w:cs="Arial"/>
                <w:color w:val="000000"/>
              </w:rPr>
              <w:t>$0.2</w:t>
            </w:r>
            <w:r w:rsidR="0080591D">
              <w:rPr>
                <w:rFonts w:ascii="Arial" w:hAnsi="Arial" w:cs="Arial"/>
                <w:color w:val="000000"/>
              </w:rPr>
              <w:t>362</w:t>
            </w:r>
          </w:p>
        </w:tc>
      </w:tr>
      <w:tr w:rsidR="007A5455" w14:paraId="44B19D3B" w14:textId="77777777" w:rsidTr="007A5455">
        <w:trPr>
          <w:cnfStyle w:val="000000010000" w:firstRow="0" w:lastRow="0" w:firstColumn="0" w:lastColumn="0" w:oddVBand="0" w:evenVBand="0" w:oddHBand="0" w:evenHBand="1" w:firstRowFirstColumn="0" w:firstRowLastColumn="0" w:lastRowFirstColumn="0" w:lastRowLastColumn="0"/>
        </w:trPr>
        <w:tc>
          <w:tcPr>
            <w:tcW w:w="1620" w:type="dxa"/>
          </w:tcPr>
          <w:p w14:paraId="576ABB2A" w14:textId="486E3BA2" w:rsidR="007A5455" w:rsidRDefault="007A5455" w:rsidP="007A5455">
            <w:r w:rsidRPr="00AD5785">
              <w:t>Powercor</w:t>
            </w:r>
          </w:p>
        </w:tc>
        <w:tc>
          <w:tcPr>
            <w:tcW w:w="1357" w:type="dxa"/>
          </w:tcPr>
          <w:p w14:paraId="349B0F74" w14:textId="64A9CA74" w:rsidR="007A5455" w:rsidRDefault="007A5455" w:rsidP="007A5455">
            <w:r>
              <w:rPr>
                <w:rFonts w:ascii="Arial" w:hAnsi="Arial" w:cs="Arial"/>
                <w:color w:val="000000"/>
              </w:rPr>
              <w:t>$1.3</w:t>
            </w:r>
            <w:r w:rsidR="00725EA1">
              <w:rPr>
                <w:rFonts w:ascii="Arial" w:hAnsi="Arial" w:cs="Arial"/>
                <w:color w:val="000000"/>
              </w:rPr>
              <w:t>163</w:t>
            </w:r>
          </w:p>
        </w:tc>
        <w:tc>
          <w:tcPr>
            <w:tcW w:w="2410" w:type="dxa"/>
            <w:tcBorders>
              <w:top w:val="nil"/>
              <w:bottom w:val="nil"/>
            </w:tcBorders>
            <w:vAlign w:val="center"/>
          </w:tcPr>
          <w:p w14:paraId="3BAC9CC6" w14:textId="51C9BFDA" w:rsidR="007A5455" w:rsidRDefault="007A5455" w:rsidP="007A5455">
            <w:r>
              <w:rPr>
                <w:rFonts w:ascii="Arial" w:hAnsi="Arial" w:cs="Arial"/>
                <w:color w:val="000000"/>
              </w:rPr>
              <w:t>Anytime</w:t>
            </w:r>
          </w:p>
        </w:tc>
        <w:tc>
          <w:tcPr>
            <w:tcW w:w="2083" w:type="dxa"/>
          </w:tcPr>
          <w:p w14:paraId="68072448" w14:textId="213B0A47" w:rsidR="007A5455" w:rsidRDefault="007A5455" w:rsidP="007A5455">
            <w:r>
              <w:rPr>
                <w:rFonts w:ascii="Arial" w:hAnsi="Arial" w:cs="Arial"/>
                <w:color w:val="000000"/>
              </w:rPr>
              <w:t>$0.</w:t>
            </w:r>
            <w:r w:rsidR="0080591D">
              <w:rPr>
                <w:rFonts w:ascii="Arial" w:hAnsi="Arial" w:cs="Arial"/>
                <w:color w:val="000000"/>
              </w:rPr>
              <w:t>3045</w:t>
            </w:r>
          </w:p>
        </w:tc>
        <w:tc>
          <w:tcPr>
            <w:tcW w:w="2168" w:type="dxa"/>
          </w:tcPr>
          <w:p w14:paraId="7507BB84" w14:textId="61E82ED2" w:rsidR="007A5455" w:rsidRDefault="007A5455" w:rsidP="007A5455">
            <w:r>
              <w:rPr>
                <w:rFonts w:ascii="Arial" w:hAnsi="Arial" w:cs="Arial"/>
                <w:color w:val="000000"/>
              </w:rPr>
              <w:t>$0.2</w:t>
            </w:r>
            <w:r w:rsidR="0080591D">
              <w:rPr>
                <w:rFonts w:ascii="Arial" w:hAnsi="Arial" w:cs="Arial"/>
                <w:color w:val="000000"/>
              </w:rPr>
              <w:t>226</w:t>
            </w:r>
          </w:p>
        </w:tc>
      </w:tr>
      <w:tr w:rsidR="007A5455" w14:paraId="3C20F8B1" w14:textId="77777777" w:rsidTr="007A5455">
        <w:trPr>
          <w:cnfStyle w:val="000000100000" w:firstRow="0" w:lastRow="0" w:firstColumn="0" w:lastColumn="0" w:oddVBand="0" w:evenVBand="0" w:oddHBand="1" w:evenHBand="0" w:firstRowFirstColumn="0" w:firstRowLastColumn="0" w:lastRowFirstColumn="0" w:lastRowLastColumn="0"/>
        </w:trPr>
        <w:tc>
          <w:tcPr>
            <w:tcW w:w="1620" w:type="dxa"/>
          </w:tcPr>
          <w:p w14:paraId="6CE9B806" w14:textId="47F29F6D" w:rsidR="007A5455" w:rsidRDefault="007A5455" w:rsidP="007A5455">
            <w:r w:rsidRPr="00AD5785">
              <w:t>United Energy</w:t>
            </w:r>
          </w:p>
        </w:tc>
        <w:tc>
          <w:tcPr>
            <w:tcW w:w="1357" w:type="dxa"/>
          </w:tcPr>
          <w:p w14:paraId="5D45A4FB" w14:textId="305FD520" w:rsidR="007A5455" w:rsidRDefault="007A5455" w:rsidP="007A5455">
            <w:r>
              <w:rPr>
                <w:rFonts w:ascii="Arial" w:hAnsi="Arial" w:cs="Arial"/>
                <w:color w:val="000000"/>
              </w:rPr>
              <w:t>$1.</w:t>
            </w:r>
            <w:r w:rsidR="00725EA1">
              <w:rPr>
                <w:rFonts w:ascii="Arial" w:hAnsi="Arial" w:cs="Arial"/>
                <w:color w:val="000000"/>
              </w:rPr>
              <w:t>0955</w:t>
            </w:r>
          </w:p>
        </w:tc>
        <w:tc>
          <w:tcPr>
            <w:tcW w:w="2410" w:type="dxa"/>
            <w:tcBorders>
              <w:top w:val="nil"/>
              <w:bottom w:val="nil"/>
            </w:tcBorders>
            <w:vAlign w:val="center"/>
          </w:tcPr>
          <w:p w14:paraId="53D7131D" w14:textId="2105F5E3" w:rsidR="007A5455" w:rsidRDefault="007A5455" w:rsidP="007A5455">
            <w:r>
              <w:rPr>
                <w:rFonts w:ascii="Arial" w:hAnsi="Arial" w:cs="Arial"/>
                <w:color w:val="000000"/>
              </w:rPr>
              <w:t>Anytime</w:t>
            </w:r>
          </w:p>
        </w:tc>
        <w:tc>
          <w:tcPr>
            <w:tcW w:w="2083" w:type="dxa"/>
          </w:tcPr>
          <w:p w14:paraId="7D0528E2" w14:textId="1F3CA515" w:rsidR="007A5455" w:rsidRDefault="007A5455" w:rsidP="007A5455">
            <w:r>
              <w:rPr>
                <w:rFonts w:ascii="Arial" w:hAnsi="Arial" w:cs="Arial"/>
                <w:color w:val="000000"/>
              </w:rPr>
              <w:t>$0.</w:t>
            </w:r>
            <w:r w:rsidR="00F56308">
              <w:rPr>
                <w:rFonts w:ascii="Arial" w:hAnsi="Arial" w:cs="Arial"/>
                <w:color w:val="000000"/>
              </w:rPr>
              <w:t>28</w:t>
            </w:r>
            <w:r w:rsidR="0080591D">
              <w:rPr>
                <w:rFonts w:ascii="Arial" w:hAnsi="Arial" w:cs="Arial"/>
                <w:color w:val="000000"/>
              </w:rPr>
              <w:t>84</w:t>
            </w:r>
          </w:p>
        </w:tc>
        <w:tc>
          <w:tcPr>
            <w:tcW w:w="2168" w:type="dxa"/>
          </w:tcPr>
          <w:p w14:paraId="49FE4EC7" w14:textId="79BF7190" w:rsidR="007A5455" w:rsidRDefault="007A5455" w:rsidP="007A5455">
            <w:r>
              <w:rPr>
                <w:rFonts w:ascii="Arial" w:hAnsi="Arial" w:cs="Arial"/>
                <w:color w:val="000000"/>
              </w:rPr>
              <w:t>$0.2</w:t>
            </w:r>
            <w:r w:rsidR="0080591D">
              <w:rPr>
                <w:rFonts w:ascii="Arial" w:hAnsi="Arial" w:cs="Arial"/>
                <w:color w:val="000000"/>
              </w:rPr>
              <w:t>105</w:t>
            </w:r>
          </w:p>
        </w:tc>
      </w:tr>
    </w:tbl>
    <w:p w14:paraId="385E83B3" w14:textId="1CEF3961" w:rsidR="001C0A22" w:rsidRDefault="001C0A22" w:rsidP="00353A13"/>
    <w:p w14:paraId="2078FF6E" w14:textId="48F3CBB8" w:rsidR="001C0A22" w:rsidRDefault="00482D11" w:rsidP="000F0192">
      <w:pPr>
        <w:pStyle w:val="Heading1"/>
      </w:pPr>
      <w:bookmarkStart w:id="23" w:name="_Toc133939301"/>
      <w:r>
        <w:t>SCHEDULE 2</w:t>
      </w:r>
      <w:bookmarkEnd w:id="23"/>
    </w:p>
    <w:p w14:paraId="24E65453" w14:textId="18D39377" w:rsidR="000F0192" w:rsidRPr="004B57F5" w:rsidRDefault="004B57F5" w:rsidP="000F0192">
      <w:pPr>
        <w:rPr>
          <w:rStyle w:val="Strong"/>
        </w:rPr>
      </w:pPr>
      <w:r w:rsidRPr="004B57F5">
        <w:rPr>
          <w:rStyle w:val="Strong"/>
        </w:rPr>
        <w:t>Victorian default offer fixed flat tariffs for general usage</w:t>
      </w:r>
      <w:r w:rsidR="0022721B">
        <w:rPr>
          <w:rStyle w:val="Strong"/>
        </w:rPr>
        <w:t xml:space="preserve"> </w:t>
      </w:r>
      <w:r w:rsidR="0022721B" w:rsidRPr="001C0A22">
        <w:rPr>
          <w:rStyle w:val="Strong"/>
        </w:rPr>
        <w:t xml:space="preserve">for </w:t>
      </w:r>
      <w:r w:rsidR="0022721B">
        <w:rPr>
          <w:rStyle w:val="Strong"/>
        </w:rPr>
        <w:t xml:space="preserve">the </w:t>
      </w:r>
      <w:r w:rsidR="0022721B" w:rsidRPr="001C0A22">
        <w:rPr>
          <w:rStyle w:val="Strong"/>
        </w:rPr>
        <w:t>period 1 July 202</w:t>
      </w:r>
      <w:r w:rsidR="00F56308">
        <w:rPr>
          <w:rStyle w:val="Strong"/>
        </w:rPr>
        <w:t>4</w:t>
      </w:r>
      <w:r w:rsidR="0022721B" w:rsidRPr="001C0A22">
        <w:rPr>
          <w:rStyle w:val="Strong"/>
        </w:rPr>
        <w:t xml:space="preserve"> to 30 June 202</w:t>
      </w:r>
      <w:r w:rsidR="00F56308">
        <w:rPr>
          <w:rStyle w:val="Strong"/>
        </w:rPr>
        <w:t>5</w:t>
      </w:r>
      <w:r w:rsidR="0022721B">
        <w:rPr>
          <w:rStyle w:val="Strong"/>
        </w:rPr>
        <w:t xml:space="preserve"> </w:t>
      </w:r>
      <w:r w:rsidRPr="004B57F5">
        <w:rPr>
          <w:rStyle w:val="Strong"/>
        </w:rPr>
        <w:t>— small business customers</w:t>
      </w:r>
      <w:r w:rsidR="0022721B">
        <w:rPr>
          <w:rStyle w:val="Strong"/>
        </w:rPr>
        <w:t xml:space="preserve"> </w:t>
      </w:r>
    </w:p>
    <w:p w14:paraId="0F5A5600" w14:textId="70900D60" w:rsidR="004B57F5" w:rsidRDefault="004B57F5" w:rsidP="000F0192">
      <w:r>
        <w:t>Charges inclusive of GST</w:t>
      </w:r>
    </w:p>
    <w:tbl>
      <w:tblPr>
        <w:tblStyle w:val="TableGrid"/>
        <w:tblW w:w="0" w:type="auto"/>
        <w:tblLook w:val="04A0" w:firstRow="1" w:lastRow="0" w:firstColumn="1" w:lastColumn="0" w:noHBand="0" w:noVBand="1"/>
      </w:tblPr>
      <w:tblGrid>
        <w:gridCol w:w="2409"/>
        <w:gridCol w:w="2409"/>
        <w:gridCol w:w="2410"/>
        <w:gridCol w:w="2410"/>
      </w:tblGrid>
      <w:tr w:rsidR="004B57F5" w14:paraId="632F7D95" w14:textId="77777777" w:rsidTr="004B57F5">
        <w:trPr>
          <w:cnfStyle w:val="100000000000" w:firstRow="1" w:lastRow="0" w:firstColumn="0" w:lastColumn="0" w:oddVBand="0" w:evenVBand="0" w:oddHBand="0" w:evenHBand="0" w:firstRowFirstColumn="0" w:firstRowLastColumn="0" w:lastRowFirstColumn="0" w:lastRowLastColumn="0"/>
        </w:trPr>
        <w:tc>
          <w:tcPr>
            <w:tcW w:w="2409" w:type="dxa"/>
          </w:tcPr>
          <w:p w14:paraId="3D5A7CD6" w14:textId="7C3E2A4E" w:rsidR="004B57F5" w:rsidRDefault="004B57F5" w:rsidP="004B57F5">
            <w:r>
              <w:t>Distribution zone</w:t>
            </w:r>
          </w:p>
        </w:tc>
        <w:tc>
          <w:tcPr>
            <w:tcW w:w="2409" w:type="dxa"/>
          </w:tcPr>
          <w:p w14:paraId="5373FF00" w14:textId="7D301530" w:rsidR="004B57F5" w:rsidRDefault="004B57F5" w:rsidP="004B57F5">
            <w:r>
              <w:t xml:space="preserve">Supply charge </w:t>
            </w:r>
            <w:r w:rsidR="00175F1D">
              <w:br/>
            </w:r>
            <w:r>
              <w:t>($ per day)</w:t>
            </w:r>
          </w:p>
        </w:tc>
        <w:tc>
          <w:tcPr>
            <w:tcW w:w="2410" w:type="dxa"/>
          </w:tcPr>
          <w:p w14:paraId="240A7400" w14:textId="65078A15" w:rsidR="004B57F5" w:rsidRDefault="004B57F5" w:rsidP="004B57F5">
            <w:r>
              <w:t>Usage charge structure</w:t>
            </w:r>
          </w:p>
        </w:tc>
        <w:tc>
          <w:tcPr>
            <w:tcW w:w="2410" w:type="dxa"/>
          </w:tcPr>
          <w:p w14:paraId="4010E50A" w14:textId="38A9DE1B" w:rsidR="004B57F5" w:rsidRDefault="004B57F5" w:rsidP="004B57F5">
            <w:r>
              <w:t xml:space="preserve">Usage charge </w:t>
            </w:r>
            <w:r w:rsidR="00175F1D">
              <w:br/>
            </w:r>
            <w:r>
              <w:t>($ per kWh)</w:t>
            </w:r>
          </w:p>
        </w:tc>
      </w:tr>
      <w:tr w:rsidR="007A5455" w14:paraId="4C990F1E" w14:textId="77777777" w:rsidTr="004B57F5">
        <w:trPr>
          <w:cnfStyle w:val="000000100000" w:firstRow="0" w:lastRow="0" w:firstColumn="0" w:lastColumn="0" w:oddVBand="0" w:evenVBand="0" w:oddHBand="1" w:evenHBand="0" w:firstRowFirstColumn="0" w:firstRowLastColumn="0" w:lastRowFirstColumn="0" w:lastRowLastColumn="0"/>
        </w:trPr>
        <w:tc>
          <w:tcPr>
            <w:tcW w:w="2409" w:type="dxa"/>
          </w:tcPr>
          <w:p w14:paraId="2FF1ABE0" w14:textId="5DC311CF" w:rsidR="007A5455" w:rsidRDefault="007A5455" w:rsidP="007A5455">
            <w:r w:rsidRPr="00AD5785">
              <w:t>AusNet Services</w:t>
            </w:r>
          </w:p>
        </w:tc>
        <w:tc>
          <w:tcPr>
            <w:tcW w:w="2409" w:type="dxa"/>
          </w:tcPr>
          <w:p w14:paraId="655B75AF" w14:textId="088C48CE" w:rsidR="007A5455" w:rsidRDefault="007A5455" w:rsidP="007A5455">
            <w:r>
              <w:rPr>
                <w:rFonts w:ascii="Arial" w:hAnsi="Arial" w:cs="Arial"/>
                <w:color w:val="000000"/>
              </w:rPr>
              <w:t>$1.</w:t>
            </w:r>
            <w:r w:rsidR="004A386B">
              <w:rPr>
                <w:rFonts w:ascii="Arial" w:hAnsi="Arial" w:cs="Arial"/>
                <w:color w:val="000000"/>
              </w:rPr>
              <w:t>3354</w:t>
            </w:r>
          </w:p>
        </w:tc>
        <w:tc>
          <w:tcPr>
            <w:tcW w:w="2410" w:type="dxa"/>
          </w:tcPr>
          <w:p w14:paraId="00BE9517" w14:textId="715782EB" w:rsidR="007A5455" w:rsidRPr="007A5455" w:rsidRDefault="007A5455" w:rsidP="007A5455">
            <w:r w:rsidRPr="007A5455">
              <w:t>●   Block 1 (up to 1020 kWh during a quarter)</w:t>
            </w:r>
            <w:r w:rsidRPr="007A5455">
              <w:br/>
              <w:t>●   Block 2 (&gt; 1020 kWh during a quarter)</w:t>
            </w:r>
          </w:p>
        </w:tc>
        <w:tc>
          <w:tcPr>
            <w:tcW w:w="2410" w:type="dxa"/>
          </w:tcPr>
          <w:p w14:paraId="2A6A5704" w14:textId="1AA0A19C" w:rsidR="007A5455" w:rsidRDefault="007A5455" w:rsidP="007A5455">
            <w:r>
              <w:rPr>
                <w:rFonts w:ascii="Arial" w:hAnsi="Arial" w:cs="Arial"/>
                <w:color w:val="000000"/>
              </w:rPr>
              <w:t>$0.</w:t>
            </w:r>
            <w:r w:rsidR="0092369B">
              <w:rPr>
                <w:rFonts w:ascii="Arial" w:hAnsi="Arial" w:cs="Arial"/>
                <w:color w:val="000000"/>
              </w:rPr>
              <w:t>38</w:t>
            </w:r>
            <w:r w:rsidR="00533851">
              <w:rPr>
                <w:rFonts w:ascii="Arial" w:hAnsi="Arial" w:cs="Arial"/>
                <w:color w:val="000000"/>
              </w:rPr>
              <w:t>37</w:t>
            </w:r>
            <w:r>
              <w:rPr>
                <w:rFonts w:ascii="Arial" w:hAnsi="Arial" w:cs="Arial"/>
                <w:color w:val="000000"/>
              </w:rPr>
              <w:br/>
            </w:r>
            <w:r>
              <w:rPr>
                <w:rFonts w:ascii="Arial" w:hAnsi="Arial" w:cs="Arial"/>
                <w:color w:val="000000"/>
              </w:rPr>
              <w:br/>
              <w:t>$0.</w:t>
            </w:r>
            <w:r w:rsidR="0092369B">
              <w:rPr>
                <w:rFonts w:ascii="Arial" w:hAnsi="Arial" w:cs="Arial"/>
                <w:color w:val="000000"/>
              </w:rPr>
              <w:t>39</w:t>
            </w:r>
            <w:r w:rsidR="00533851">
              <w:rPr>
                <w:rFonts w:ascii="Arial" w:hAnsi="Arial" w:cs="Arial"/>
                <w:color w:val="000000"/>
              </w:rPr>
              <w:t>45</w:t>
            </w:r>
          </w:p>
        </w:tc>
      </w:tr>
      <w:tr w:rsidR="007A5455" w14:paraId="47036FCD" w14:textId="77777777" w:rsidTr="00701698">
        <w:trPr>
          <w:cnfStyle w:val="000000010000" w:firstRow="0" w:lastRow="0" w:firstColumn="0" w:lastColumn="0" w:oddVBand="0" w:evenVBand="0" w:oddHBand="0" w:evenHBand="1" w:firstRowFirstColumn="0" w:firstRowLastColumn="0" w:lastRowFirstColumn="0" w:lastRowLastColumn="0"/>
        </w:trPr>
        <w:tc>
          <w:tcPr>
            <w:tcW w:w="2409" w:type="dxa"/>
          </w:tcPr>
          <w:p w14:paraId="26E5CF00" w14:textId="1F8F1076" w:rsidR="007A5455" w:rsidRDefault="007A5455" w:rsidP="007A5455">
            <w:r w:rsidRPr="00AD5785">
              <w:t>CitiPower</w:t>
            </w:r>
          </w:p>
        </w:tc>
        <w:tc>
          <w:tcPr>
            <w:tcW w:w="2409" w:type="dxa"/>
          </w:tcPr>
          <w:p w14:paraId="5942EDBE" w14:textId="0306FC12" w:rsidR="007A5455" w:rsidRDefault="007A5455" w:rsidP="007A5455">
            <w:r>
              <w:rPr>
                <w:rFonts w:ascii="Arial" w:hAnsi="Arial" w:cs="Arial"/>
                <w:color w:val="000000"/>
              </w:rPr>
              <w:t>$1.3</w:t>
            </w:r>
            <w:r w:rsidR="004A386B">
              <w:rPr>
                <w:rFonts w:ascii="Arial" w:hAnsi="Arial" w:cs="Arial"/>
                <w:color w:val="000000"/>
              </w:rPr>
              <w:t>583</w:t>
            </w:r>
          </w:p>
        </w:tc>
        <w:tc>
          <w:tcPr>
            <w:tcW w:w="2410" w:type="dxa"/>
            <w:vAlign w:val="center"/>
          </w:tcPr>
          <w:p w14:paraId="77A77B72" w14:textId="402496E8" w:rsidR="007A5455" w:rsidRDefault="007A5455" w:rsidP="007A5455">
            <w:r>
              <w:rPr>
                <w:rFonts w:ascii="Arial" w:hAnsi="Arial" w:cs="Arial"/>
                <w:color w:val="000000"/>
              </w:rPr>
              <w:t>Anytime</w:t>
            </w:r>
          </w:p>
        </w:tc>
        <w:tc>
          <w:tcPr>
            <w:tcW w:w="2410" w:type="dxa"/>
          </w:tcPr>
          <w:p w14:paraId="6F37B40E" w14:textId="73A20820" w:rsidR="007A5455" w:rsidRDefault="007A5455" w:rsidP="007A5455">
            <w:r>
              <w:rPr>
                <w:rFonts w:ascii="Arial" w:hAnsi="Arial" w:cs="Arial"/>
                <w:color w:val="000000"/>
              </w:rPr>
              <w:t>$0.2</w:t>
            </w:r>
            <w:r w:rsidR="0092369B">
              <w:rPr>
                <w:rFonts w:ascii="Arial" w:hAnsi="Arial" w:cs="Arial"/>
                <w:color w:val="000000"/>
              </w:rPr>
              <w:t>52</w:t>
            </w:r>
            <w:r w:rsidR="00533851">
              <w:rPr>
                <w:rFonts w:ascii="Arial" w:hAnsi="Arial" w:cs="Arial"/>
                <w:color w:val="000000"/>
              </w:rPr>
              <w:t>9</w:t>
            </w:r>
          </w:p>
        </w:tc>
      </w:tr>
      <w:tr w:rsidR="007A5455" w14:paraId="3C9F16B9" w14:textId="77777777" w:rsidTr="00701698">
        <w:trPr>
          <w:cnfStyle w:val="000000100000" w:firstRow="0" w:lastRow="0" w:firstColumn="0" w:lastColumn="0" w:oddVBand="0" w:evenVBand="0" w:oddHBand="1" w:evenHBand="0" w:firstRowFirstColumn="0" w:firstRowLastColumn="0" w:lastRowFirstColumn="0" w:lastRowLastColumn="0"/>
        </w:trPr>
        <w:tc>
          <w:tcPr>
            <w:tcW w:w="2409" w:type="dxa"/>
          </w:tcPr>
          <w:p w14:paraId="69E4E8E8" w14:textId="4E7745AD" w:rsidR="007A5455" w:rsidRDefault="007A5455" w:rsidP="007A5455">
            <w:r w:rsidRPr="00AD5785">
              <w:t>Jemena</w:t>
            </w:r>
          </w:p>
        </w:tc>
        <w:tc>
          <w:tcPr>
            <w:tcW w:w="2409" w:type="dxa"/>
          </w:tcPr>
          <w:p w14:paraId="0DC7F988" w14:textId="19F2A62C" w:rsidR="007A5455" w:rsidRDefault="007A5455" w:rsidP="007A5455">
            <w:r>
              <w:rPr>
                <w:rFonts w:ascii="Arial" w:hAnsi="Arial" w:cs="Arial"/>
                <w:color w:val="000000"/>
              </w:rPr>
              <w:t>$1.</w:t>
            </w:r>
            <w:r w:rsidR="003330D9">
              <w:rPr>
                <w:rFonts w:ascii="Arial" w:hAnsi="Arial" w:cs="Arial"/>
                <w:color w:val="000000"/>
              </w:rPr>
              <w:t>4</w:t>
            </w:r>
            <w:r w:rsidR="004A386B">
              <w:rPr>
                <w:rFonts w:ascii="Arial" w:hAnsi="Arial" w:cs="Arial"/>
                <w:color w:val="000000"/>
              </w:rPr>
              <w:t>055</w:t>
            </w:r>
          </w:p>
        </w:tc>
        <w:tc>
          <w:tcPr>
            <w:tcW w:w="2410" w:type="dxa"/>
            <w:vAlign w:val="center"/>
          </w:tcPr>
          <w:p w14:paraId="4BBC8370" w14:textId="7FB2A79A" w:rsidR="007A5455" w:rsidRDefault="007A5455" w:rsidP="007A5455">
            <w:r>
              <w:rPr>
                <w:rFonts w:ascii="Arial" w:hAnsi="Arial" w:cs="Arial"/>
                <w:color w:val="000000"/>
              </w:rPr>
              <w:t>Anytime</w:t>
            </w:r>
          </w:p>
        </w:tc>
        <w:tc>
          <w:tcPr>
            <w:tcW w:w="2410" w:type="dxa"/>
          </w:tcPr>
          <w:p w14:paraId="1A0B3FE6" w14:textId="40CA31E3" w:rsidR="007A5455" w:rsidRDefault="007A5455" w:rsidP="007A5455">
            <w:r>
              <w:rPr>
                <w:rFonts w:ascii="Arial" w:hAnsi="Arial" w:cs="Arial"/>
                <w:color w:val="000000"/>
              </w:rPr>
              <w:t>$0.3</w:t>
            </w:r>
            <w:r w:rsidR="0092369B">
              <w:rPr>
                <w:rFonts w:ascii="Arial" w:hAnsi="Arial" w:cs="Arial"/>
                <w:color w:val="000000"/>
              </w:rPr>
              <w:t>1</w:t>
            </w:r>
            <w:r w:rsidR="00533851">
              <w:rPr>
                <w:rFonts w:ascii="Arial" w:hAnsi="Arial" w:cs="Arial"/>
                <w:color w:val="000000"/>
              </w:rPr>
              <w:t>82</w:t>
            </w:r>
          </w:p>
        </w:tc>
      </w:tr>
      <w:tr w:rsidR="007A5455" w14:paraId="2AB0238F" w14:textId="77777777" w:rsidTr="00701698">
        <w:trPr>
          <w:cnfStyle w:val="000000010000" w:firstRow="0" w:lastRow="0" w:firstColumn="0" w:lastColumn="0" w:oddVBand="0" w:evenVBand="0" w:oddHBand="0" w:evenHBand="1" w:firstRowFirstColumn="0" w:firstRowLastColumn="0" w:lastRowFirstColumn="0" w:lastRowLastColumn="0"/>
        </w:trPr>
        <w:tc>
          <w:tcPr>
            <w:tcW w:w="2409" w:type="dxa"/>
          </w:tcPr>
          <w:p w14:paraId="3E378B94" w14:textId="50B8CA46" w:rsidR="007A5455" w:rsidRDefault="007A5455" w:rsidP="007A5455">
            <w:r w:rsidRPr="00AD5785">
              <w:t>Powercor</w:t>
            </w:r>
          </w:p>
        </w:tc>
        <w:tc>
          <w:tcPr>
            <w:tcW w:w="2409" w:type="dxa"/>
          </w:tcPr>
          <w:p w14:paraId="73F27478" w14:textId="1607D9B9" w:rsidR="007A5455" w:rsidRDefault="007A5455" w:rsidP="007A5455">
            <w:r>
              <w:rPr>
                <w:rFonts w:ascii="Arial" w:hAnsi="Arial" w:cs="Arial"/>
                <w:color w:val="000000"/>
              </w:rPr>
              <w:t>$1.</w:t>
            </w:r>
            <w:r w:rsidR="0092369B">
              <w:rPr>
                <w:rFonts w:ascii="Arial" w:hAnsi="Arial" w:cs="Arial"/>
                <w:color w:val="000000"/>
              </w:rPr>
              <w:t>4</w:t>
            </w:r>
            <w:r w:rsidR="004A386B">
              <w:rPr>
                <w:rFonts w:ascii="Arial" w:hAnsi="Arial" w:cs="Arial"/>
                <w:color w:val="000000"/>
              </w:rPr>
              <w:t>594</w:t>
            </w:r>
          </w:p>
        </w:tc>
        <w:tc>
          <w:tcPr>
            <w:tcW w:w="2410" w:type="dxa"/>
            <w:vAlign w:val="center"/>
          </w:tcPr>
          <w:p w14:paraId="376B1947" w14:textId="7947369A" w:rsidR="007A5455" w:rsidRDefault="007A5455" w:rsidP="007A5455">
            <w:r>
              <w:rPr>
                <w:rFonts w:ascii="Arial" w:hAnsi="Arial" w:cs="Arial"/>
                <w:color w:val="000000"/>
              </w:rPr>
              <w:t>Anytime</w:t>
            </w:r>
          </w:p>
        </w:tc>
        <w:tc>
          <w:tcPr>
            <w:tcW w:w="2410" w:type="dxa"/>
          </w:tcPr>
          <w:p w14:paraId="22B59209" w14:textId="767FB8B6" w:rsidR="007A5455" w:rsidRDefault="007A5455" w:rsidP="007A5455">
            <w:r>
              <w:rPr>
                <w:rFonts w:ascii="Arial" w:hAnsi="Arial" w:cs="Arial"/>
                <w:color w:val="000000"/>
              </w:rPr>
              <w:t>$0.</w:t>
            </w:r>
            <w:r w:rsidR="0092369B">
              <w:rPr>
                <w:rFonts w:ascii="Arial" w:hAnsi="Arial" w:cs="Arial"/>
                <w:color w:val="000000"/>
              </w:rPr>
              <w:t>27</w:t>
            </w:r>
            <w:r w:rsidR="00533851">
              <w:rPr>
                <w:rFonts w:ascii="Arial" w:hAnsi="Arial" w:cs="Arial"/>
                <w:color w:val="000000"/>
              </w:rPr>
              <w:t>97</w:t>
            </w:r>
          </w:p>
        </w:tc>
      </w:tr>
      <w:tr w:rsidR="007A5455" w14:paraId="0435F8D6" w14:textId="77777777" w:rsidTr="00701698">
        <w:trPr>
          <w:cnfStyle w:val="000000100000" w:firstRow="0" w:lastRow="0" w:firstColumn="0" w:lastColumn="0" w:oddVBand="0" w:evenVBand="0" w:oddHBand="1" w:evenHBand="0" w:firstRowFirstColumn="0" w:firstRowLastColumn="0" w:lastRowFirstColumn="0" w:lastRowLastColumn="0"/>
        </w:trPr>
        <w:tc>
          <w:tcPr>
            <w:tcW w:w="2409" w:type="dxa"/>
          </w:tcPr>
          <w:p w14:paraId="4250F8F2" w14:textId="5C34C3C2" w:rsidR="007A5455" w:rsidRDefault="007A5455" w:rsidP="007A5455">
            <w:r w:rsidRPr="00AD5785">
              <w:t>United Energy</w:t>
            </w:r>
          </w:p>
        </w:tc>
        <w:tc>
          <w:tcPr>
            <w:tcW w:w="2409" w:type="dxa"/>
          </w:tcPr>
          <w:p w14:paraId="376B2725" w14:textId="5AB2C901" w:rsidR="007A5455" w:rsidRDefault="007A5455" w:rsidP="007A5455">
            <w:r>
              <w:rPr>
                <w:rFonts w:ascii="Arial" w:hAnsi="Arial" w:cs="Arial"/>
                <w:color w:val="000000"/>
              </w:rPr>
              <w:t>$1.</w:t>
            </w:r>
            <w:r w:rsidR="004A386B">
              <w:rPr>
                <w:rFonts w:ascii="Arial" w:hAnsi="Arial" w:cs="Arial"/>
                <w:color w:val="000000"/>
              </w:rPr>
              <w:t>2865</w:t>
            </w:r>
          </w:p>
        </w:tc>
        <w:tc>
          <w:tcPr>
            <w:tcW w:w="2410" w:type="dxa"/>
            <w:vAlign w:val="center"/>
          </w:tcPr>
          <w:p w14:paraId="24C97801" w14:textId="69B90D66" w:rsidR="007A5455" w:rsidRDefault="007A5455" w:rsidP="007A5455">
            <w:r>
              <w:rPr>
                <w:rFonts w:ascii="Arial" w:hAnsi="Arial" w:cs="Arial"/>
                <w:color w:val="000000"/>
              </w:rPr>
              <w:t>Anytime</w:t>
            </w:r>
          </w:p>
        </w:tc>
        <w:tc>
          <w:tcPr>
            <w:tcW w:w="2410" w:type="dxa"/>
          </w:tcPr>
          <w:p w14:paraId="600D95BA" w14:textId="057F361F" w:rsidR="007A5455" w:rsidRDefault="007A5455" w:rsidP="007A5455">
            <w:r>
              <w:rPr>
                <w:rFonts w:ascii="Arial" w:hAnsi="Arial" w:cs="Arial"/>
                <w:color w:val="000000"/>
              </w:rPr>
              <w:t>$0.</w:t>
            </w:r>
            <w:r w:rsidR="0092369B">
              <w:rPr>
                <w:rFonts w:ascii="Arial" w:hAnsi="Arial" w:cs="Arial"/>
                <w:color w:val="000000"/>
              </w:rPr>
              <w:t>27</w:t>
            </w:r>
            <w:r w:rsidR="00533851">
              <w:rPr>
                <w:rFonts w:ascii="Arial" w:hAnsi="Arial" w:cs="Arial"/>
                <w:color w:val="000000"/>
              </w:rPr>
              <w:t>42</w:t>
            </w:r>
          </w:p>
        </w:tc>
      </w:tr>
    </w:tbl>
    <w:p w14:paraId="6A15D90F" w14:textId="77777777" w:rsidR="004B57F5" w:rsidRDefault="004B57F5" w:rsidP="000F0192"/>
    <w:p w14:paraId="5FD31778" w14:textId="7E3B9D8D" w:rsidR="000F0192" w:rsidRDefault="00482D11" w:rsidP="000F0192">
      <w:pPr>
        <w:pStyle w:val="Heading1"/>
      </w:pPr>
      <w:bookmarkStart w:id="24" w:name="_Toc133939302"/>
      <w:r>
        <w:t>SCHEDULE 3</w:t>
      </w:r>
      <w:bookmarkEnd w:id="24"/>
    </w:p>
    <w:p w14:paraId="501817D8" w14:textId="68FD87E1" w:rsidR="004B57F5" w:rsidRPr="004B57F5" w:rsidRDefault="004B57F5" w:rsidP="004B57F5">
      <w:pPr>
        <w:rPr>
          <w:rStyle w:val="Strong"/>
        </w:rPr>
      </w:pPr>
      <w:r w:rsidRPr="004B57F5">
        <w:rPr>
          <w:rStyle w:val="Strong"/>
        </w:rPr>
        <w:t>Victorian default offer two</w:t>
      </w:r>
      <w:r w:rsidR="00211BD4">
        <w:rPr>
          <w:rStyle w:val="Strong"/>
        </w:rPr>
        <w:t>-</w:t>
      </w:r>
      <w:r w:rsidRPr="004B57F5">
        <w:rPr>
          <w:rStyle w:val="Strong"/>
        </w:rPr>
        <w:t xml:space="preserve">period time of use tariffs </w:t>
      </w:r>
      <w:r w:rsidR="0022721B" w:rsidRPr="001C0A22">
        <w:rPr>
          <w:rStyle w:val="Strong"/>
        </w:rPr>
        <w:t xml:space="preserve">for </w:t>
      </w:r>
      <w:r w:rsidR="0022721B">
        <w:rPr>
          <w:rStyle w:val="Strong"/>
        </w:rPr>
        <w:t xml:space="preserve">the </w:t>
      </w:r>
      <w:r w:rsidR="0022721B" w:rsidRPr="001C0A22">
        <w:rPr>
          <w:rStyle w:val="Strong"/>
        </w:rPr>
        <w:t>period 1 July 202</w:t>
      </w:r>
      <w:r w:rsidR="0092369B">
        <w:rPr>
          <w:rStyle w:val="Strong"/>
        </w:rPr>
        <w:t>4</w:t>
      </w:r>
      <w:r w:rsidR="0022721B" w:rsidRPr="001C0A22">
        <w:rPr>
          <w:rStyle w:val="Strong"/>
        </w:rPr>
        <w:t xml:space="preserve"> to 30 June 202</w:t>
      </w:r>
      <w:r w:rsidR="0092369B">
        <w:rPr>
          <w:rStyle w:val="Strong"/>
        </w:rPr>
        <w:t>5</w:t>
      </w:r>
      <w:r w:rsidR="0022721B">
        <w:rPr>
          <w:rStyle w:val="Strong"/>
        </w:rPr>
        <w:t xml:space="preserve"> </w:t>
      </w:r>
      <w:r w:rsidRPr="004B57F5">
        <w:rPr>
          <w:rStyle w:val="Strong"/>
        </w:rPr>
        <w:t>— domestic customers</w:t>
      </w:r>
      <w:r w:rsidR="0022721B">
        <w:rPr>
          <w:rStyle w:val="Strong"/>
        </w:rPr>
        <w:t xml:space="preserve"> </w:t>
      </w:r>
    </w:p>
    <w:p w14:paraId="62966ED6" w14:textId="7F92B56F" w:rsidR="004B57F5" w:rsidRDefault="004B57F5" w:rsidP="004B57F5">
      <w:r>
        <w:t>Charges inclusive of GST</w:t>
      </w:r>
    </w:p>
    <w:tbl>
      <w:tblPr>
        <w:tblStyle w:val="TableGrid"/>
        <w:tblW w:w="0" w:type="auto"/>
        <w:tblLook w:val="04A0" w:firstRow="1" w:lastRow="0" w:firstColumn="1" w:lastColumn="0" w:noHBand="0" w:noVBand="1"/>
      </w:tblPr>
      <w:tblGrid>
        <w:gridCol w:w="1927"/>
        <w:gridCol w:w="1927"/>
        <w:gridCol w:w="1928"/>
        <w:gridCol w:w="1928"/>
        <w:gridCol w:w="1928"/>
      </w:tblGrid>
      <w:tr w:rsidR="004B57F5" w14:paraId="2E658699" w14:textId="77777777" w:rsidTr="004B57F5">
        <w:trPr>
          <w:cnfStyle w:val="100000000000" w:firstRow="1" w:lastRow="0" w:firstColumn="0" w:lastColumn="0" w:oddVBand="0" w:evenVBand="0" w:oddHBand="0" w:evenHBand="0" w:firstRowFirstColumn="0" w:firstRowLastColumn="0" w:lastRowFirstColumn="0" w:lastRowLastColumn="0"/>
        </w:trPr>
        <w:tc>
          <w:tcPr>
            <w:tcW w:w="1927" w:type="dxa"/>
          </w:tcPr>
          <w:p w14:paraId="0AE3ACBD" w14:textId="011B264E" w:rsidR="004B57F5" w:rsidRDefault="004B57F5" w:rsidP="004B57F5">
            <w:bookmarkStart w:id="25" w:name="_Hlk133917716"/>
            <w:r>
              <w:t>Distribution zone</w:t>
            </w:r>
          </w:p>
        </w:tc>
        <w:tc>
          <w:tcPr>
            <w:tcW w:w="1927" w:type="dxa"/>
          </w:tcPr>
          <w:p w14:paraId="5B6690D2" w14:textId="67BA7B76" w:rsidR="004B57F5" w:rsidRDefault="004B57F5" w:rsidP="004B57F5">
            <w:r>
              <w:t xml:space="preserve">Supply charge </w:t>
            </w:r>
            <w:r w:rsidR="00175F1D">
              <w:br/>
            </w:r>
            <w:r>
              <w:t>($ per day)</w:t>
            </w:r>
          </w:p>
        </w:tc>
        <w:tc>
          <w:tcPr>
            <w:tcW w:w="1928" w:type="dxa"/>
          </w:tcPr>
          <w:p w14:paraId="08CEB10B" w14:textId="781F4CE8" w:rsidR="004B57F5" w:rsidRDefault="004B57F5" w:rsidP="004B57F5">
            <w:r>
              <w:t xml:space="preserve">Peak charge </w:t>
            </w:r>
            <w:r w:rsidR="00175F1D">
              <w:br/>
            </w:r>
            <w:r>
              <w:t>($ per kWh)</w:t>
            </w:r>
          </w:p>
        </w:tc>
        <w:tc>
          <w:tcPr>
            <w:tcW w:w="1928" w:type="dxa"/>
          </w:tcPr>
          <w:p w14:paraId="7C6AA3EC" w14:textId="35BCDE35" w:rsidR="004B57F5" w:rsidRDefault="004B57F5" w:rsidP="004B57F5">
            <w:r>
              <w:t>Off</w:t>
            </w:r>
            <w:r w:rsidR="002D661B">
              <w:t>-</w:t>
            </w:r>
            <w:r>
              <w:t>peak charge ($ per kWh)</w:t>
            </w:r>
          </w:p>
        </w:tc>
        <w:tc>
          <w:tcPr>
            <w:tcW w:w="1928" w:type="dxa"/>
          </w:tcPr>
          <w:p w14:paraId="221F8607" w14:textId="1AE6F051" w:rsidR="004B57F5" w:rsidRDefault="004B57F5" w:rsidP="004B57F5">
            <w:r>
              <w:t>Usage charge: controlled load ($ per kWh)</w:t>
            </w:r>
          </w:p>
        </w:tc>
      </w:tr>
      <w:bookmarkEnd w:id="25"/>
      <w:tr w:rsidR="00FE3203" w14:paraId="744E0965" w14:textId="77777777" w:rsidTr="004B57F5">
        <w:trPr>
          <w:cnfStyle w:val="000000100000" w:firstRow="0" w:lastRow="0" w:firstColumn="0" w:lastColumn="0" w:oddVBand="0" w:evenVBand="0" w:oddHBand="1" w:evenHBand="0" w:firstRowFirstColumn="0" w:firstRowLastColumn="0" w:lastRowFirstColumn="0" w:lastRowLastColumn="0"/>
        </w:trPr>
        <w:tc>
          <w:tcPr>
            <w:tcW w:w="1927" w:type="dxa"/>
          </w:tcPr>
          <w:p w14:paraId="07E95D13" w14:textId="2A0A2AEC" w:rsidR="00FE3203" w:rsidRDefault="00FE3203" w:rsidP="00FE3203">
            <w:r w:rsidRPr="00AD5785">
              <w:t>AusNet Services</w:t>
            </w:r>
          </w:p>
        </w:tc>
        <w:tc>
          <w:tcPr>
            <w:tcW w:w="1927" w:type="dxa"/>
          </w:tcPr>
          <w:p w14:paraId="1EA44BF1" w14:textId="773B9859" w:rsidR="00FE3203" w:rsidRDefault="00FE3203" w:rsidP="00FE3203">
            <w:r w:rsidRPr="00354E1E">
              <w:t>$1.3354</w:t>
            </w:r>
          </w:p>
        </w:tc>
        <w:tc>
          <w:tcPr>
            <w:tcW w:w="1928" w:type="dxa"/>
          </w:tcPr>
          <w:p w14:paraId="20020C35" w14:textId="5FC4032C" w:rsidR="00FE3203" w:rsidRDefault="00FE3203" w:rsidP="00FE3203">
            <w:r w:rsidRPr="00354E1E">
              <w:t>$0.4716</w:t>
            </w:r>
          </w:p>
        </w:tc>
        <w:tc>
          <w:tcPr>
            <w:tcW w:w="1928" w:type="dxa"/>
          </w:tcPr>
          <w:p w14:paraId="099B14D0" w14:textId="7AFCD758" w:rsidR="00FE3203" w:rsidRDefault="00FE3203" w:rsidP="00FE3203">
            <w:r w:rsidRPr="00354E1E">
              <w:t>$0.2512</w:t>
            </w:r>
          </w:p>
        </w:tc>
        <w:tc>
          <w:tcPr>
            <w:tcW w:w="1928" w:type="dxa"/>
          </w:tcPr>
          <w:p w14:paraId="1D7A34F3" w14:textId="78A6835E" w:rsidR="00FE3203" w:rsidRDefault="00FE3203" w:rsidP="00FE3203">
            <w:r w:rsidRPr="00354E1E">
              <w:t>$0.2512</w:t>
            </w:r>
          </w:p>
        </w:tc>
      </w:tr>
      <w:tr w:rsidR="00FE3203" w14:paraId="2BB3E40D" w14:textId="77777777" w:rsidTr="004B57F5">
        <w:trPr>
          <w:cnfStyle w:val="000000010000" w:firstRow="0" w:lastRow="0" w:firstColumn="0" w:lastColumn="0" w:oddVBand="0" w:evenVBand="0" w:oddHBand="0" w:evenHBand="1" w:firstRowFirstColumn="0" w:firstRowLastColumn="0" w:lastRowFirstColumn="0" w:lastRowLastColumn="0"/>
        </w:trPr>
        <w:tc>
          <w:tcPr>
            <w:tcW w:w="1927" w:type="dxa"/>
          </w:tcPr>
          <w:p w14:paraId="70CB4D97" w14:textId="631D6351" w:rsidR="00FE3203" w:rsidRDefault="00FE3203" w:rsidP="00FE3203">
            <w:r w:rsidRPr="00AD5785">
              <w:t>CitiPower</w:t>
            </w:r>
          </w:p>
        </w:tc>
        <w:tc>
          <w:tcPr>
            <w:tcW w:w="1927" w:type="dxa"/>
          </w:tcPr>
          <w:p w14:paraId="426C9B42" w14:textId="6160F394" w:rsidR="00FE3203" w:rsidRDefault="00FE3203" w:rsidP="00FE3203">
            <w:r w:rsidRPr="00354E1E">
              <w:t>$1.1673</w:t>
            </w:r>
          </w:p>
        </w:tc>
        <w:tc>
          <w:tcPr>
            <w:tcW w:w="1928" w:type="dxa"/>
          </w:tcPr>
          <w:p w14:paraId="5B8D0120" w14:textId="029ADD63" w:rsidR="00FE3203" w:rsidRDefault="00FE3203" w:rsidP="00FE3203">
            <w:r w:rsidRPr="00354E1E">
              <w:t>$0.3446</w:t>
            </w:r>
          </w:p>
        </w:tc>
        <w:tc>
          <w:tcPr>
            <w:tcW w:w="1928" w:type="dxa"/>
          </w:tcPr>
          <w:p w14:paraId="4B7113C6" w14:textId="4BD68603" w:rsidR="00FE3203" w:rsidRDefault="00FE3203" w:rsidP="00FE3203">
            <w:r w:rsidRPr="00354E1E">
              <w:t>$0.2087</w:t>
            </w:r>
          </w:p>
        </w:tc>
        <w:tc>
          <w:tcPr>
            <w:tcW w:w="1928" w:type="dxa"/>
          </w:tcPr>
          <w:p w14:paraId="4C106307" w14:textId="501FA14F" w:rsidR="00FE3203" w:rsidRDefault="00FE3203" w:rsidP="00FE3203">
            <w:r w:rsidRPr="00354E1E">
              <w:t>$0.1901</w:t>
            </w:r>
          </w:p>
        </w:tc>
      </w:tr>
      <w:tr w:rsidR="00FE3203" w14:paraId="7A64148F" w14:textId="77777777" w:rsidTr="004B57F5">
        <w:trPr>
          <w:cnfStyle w:val="000000100000" w:firstRow="0" w:lastRow="0" w:firstColumn="0" w:lastColumn="0" w:oddVBand="0" w:evenVBand="0" w:oddHBand="1" w:evenHBand="0" w:firstRowFirstColumn="0" w:firstRowLastColumn="0" w:lastRowFirstColumn="0" w:lastRowLastColumn="0"/>
        </w:trPr>
        <w:tc>
          <w:tcPr>
            <w:tcW w:w="1927" w:type="dxa"/>
          </w:tcPr>
          <w:p w14:paraId="2F409EC4" w14:textId="7978147B" w:rsidR="00FE3203" w:rsidRDefault="00FE3203" w:rsidP="00FE3203">
            <w:r w:rsidRPr="00AD5785">
              <w:t>Jemena</w:t>
            </w:r>
          </w:p>
        </w:tc>
        <w:tc>
          <w:tcPr>
            <w:tcW w:w="1927" w:type="dxa"/>
          </w:tcPr>
          <w:p w14:paraId="5D178916" w14:textId="7EBDDADF" w:rsidR="00FE3203" w:rsidRDefault="00FE3203" w:rsidP="00FE3203">
            <w:r w:rsidRPr="00354E1E">
              <w:t>$1.2105</w:t>
            </w:r>
          </w:p>
        </w:tc>
        <w:tc>
          <w:tcPr>
            <w:tcW w:w="1928" w:type="dxa"/>
          </w:tcPr>
          <w:p w14:paraId="6AF3008F" w14:textId="3026EC21" w:rsidR="00FE3203" w:rsidRDefault="00FE3203" w:rsidP="00FE3203">
            <w:r w:rsidRPr="00354E1E">
              <w:t>$0.3870</w:t>
            </w:r>
          </w:p>
        </w:tc>
        <w:tc>
          <w:tcPr>
            <w:tcW w:w="1928" w:type="dxa"/>
          </w:tcPr>
          <w:p w14:paraId="0769598D" w14:textId="2F71B127" w:rsidR="00FE3203" w:rsidRDefault="00FE3203" w:rsidP="00FE3203">
            <w:r w:rsidRPr="00354E1E">
              <w:t>$0.2420</w:t>
            </w:r>
          </w:p>
        </w:tc>
        <w:tc>
          <w:tcPr>
            <w:tcW w:w="1928" w:type="dxa"/>
          </w:tcPr>
          <w:p w14:paraId="6F9D2367" w14:textId="72D38853" w:rsidR="00FE3203" w:rsidRDefault="00FE3203" w:rsidP="00FE3203">
            <w:r w:rsidRPr="00354E1E">
              <w:t>$0.2362</w:t>
            </w:r>
          </w:p>
        </w:tc>
      </w:tr>
      <w:tr w:rsidR="00FE3203" w14:paraId="6E0E46D3" w14:textId="77777777" w:rsidTr="004B57F5">
        <w:trPr>
          <w:cnfStyle w:val="000000010000" w:firstRow="0" w:lastRow="0" w:firstColumn="0" w:lastColumn="0" w:oddVBand="0" w:evenVBand="0" w:oddHBand="0" w:evenHBand="1" w:firstRowFirstColumn="0" w:firstRowLastColumn="0" w:lastRowFirstColumn="0" w:lastRowLastColumn="0"/>
        </w:trPr>
        <w:tc>
          <w:tcPr>
            <w:tcW w:w="1927" w:type="dxa"/>
          </w:tcPr>
          <w:p w14:paraId="6C75B2C0" w14:textId="0EB6AEC5" w:rsidR="00FE3203" w:rsidRDefault="00FE3203" w:rsidP="00FE3203">
            <w:r w:rsidRPr="00AD5785">
              <w:t>Powercor</w:t>
            </w:r>
          </w:p>
        </w:tc>
        <w:tc>
          <w:tcPr>
            <w:tcW w:w="1927" w:type="dxa"/>
          </w:tcPr>
          <w:p w14:paraId="7A5752E0" w14:textId="0190799C" w:rsidR="00FE3203" w:rsidRDefault="00FE3203" w:rsidP="00FE3203">
            <w:r w:rsidRPr="00354E1E">
              <w:t>$1.3163</w:t>
            </w:r>
          </w:p>
        </w:tc>
        <w:tc>
          <w:tcPr>
            <w:tcW w:w="1928" w:type="dxa"/>
          </w:tcPr>
          <w:p w14:paraId="03136792" w14:textId="7E6DD704" w:rsidR="00FE3203" w:rsidRDefault="00FE3203" w:rsidP="00FE3203">
            <w:r w:rsidRPr="00354E1E">
              <w:t>$0.4052</w:t>
            </w:r>
          </w:p>
        </w:tc>
        <w:tc>
          <w:tcPr>
            <w:tcW w:w="1928" w:type="dxa"/>
          </w:tcPr>
          <w:p w14:paraId="1A78F9D3" w14:textId="378AA0E7" w:rsidR="00FE3203" w:rsidRDefault="00FE3203" w:rsidP="00FE3203">
            <w:r w:rsidRPr="00354E1E">
              <w:t>$0.2457</w:t>
            </w:r>
          </w:p>
        </w:tc>
        <w:tc>
          <w:tcPr>
            <w:tcW w:w="1928" w:type="dxa"/>
          </w:tcPr>
          <w:p w14:paraId="2E14C675" w14:textId="5A20E99F" w:rsidR="00FE3203" w:rsidRDefault="00FE3203" w:rsidP="00FE3203">
            <w:r w:rsidRPr="00354E1E">
              <w:t>$0.2226</w:t>
            </w:r>
          </w:p>
        </w:tc>
      </w:tr>
      <w:tr w:rsidR="00FE3203" w14:paraId="618DE497" w14:textId="77777777" w:rsidTr="004B57F5">
        <w:trPr>
          <w:cnfStyle w:val="000000100000" w:firstRow="0" w:lastRow="0" w:firstColumn="0" w:lastColumn="0" w:oddVBand="0" w:evenVBand="0" w:oddHBand="1" w:evenHBand="0" w:firstRowFirstColumn="0" w:firstRowLastColumn="0" w:lastRowFirstColumn="0" w:lastRowLastColumn="0"/>
        </w:trPr>
        <w:tc>
          <w:tcPr>
            <w:tcW w:w="1927" w:type="dxa"/>
          </w:tcPr>
          <w:p w14:paraId="34C00211" w14:textId="115B6741" w:rsidR="00FE3203" w:rsidRDefault="00FE3203" w:rsidP="00FE3203">
            <w:r w:rsidRPr="00AD5785">
              <w:t>United Energy</w:t>
            </w:r>
          </w:p>
        </w:tc>
        <w:tc>
          <w:tcPr>
            <w:tcW w:w="1927" w:type="dxa"/>
          </w:tcPr>
          <w:p w14:paraId="451C11EE" w14:textId="53F761F7" w:rsidR="00FE3203" w:rsidRDefault="00FE3203" w:rsidP="00FE3203">
            <w:r w:rsidRPr="00354E1E">
              <w:t>$1.0955</w:t>
            </w:r>
          </w:p>
        </w:tc>
        <w:tc>
          <w:tcPr>
            <w:tcW w:w="1928" w:type="dxa"/>
          </w:tcPr>
          <w:p w14:paraId="60E8A370" w14:textId="524AC02F" w:rsidR="00FE3203" w:rsidRDefault="00FE3203" w:rsidP="00FE3203">
            <w:r w:rsidRPr="00354E1E">
              <w:t>$0.3830</w:t>
            </w:r>
          </w:p>
        </w:tc>
        <w:tc>
          <w:tcPr>
            <w:tcW w:w="1928" w:type="dxa"/>
          </w:tcPr>
          <w:p w14:paraId="57D2E092" w14:textId="7302C78C" w:rsidR="00FE3203" w:rsidRDefault="00FE3203" w:rsidP="00FE3203">
            <w:r w:rsidRPr="00354E1E">
              <w:t>$0.2313</w:t>
            </w:r>
          </w:p>
        </w:tc>
        <w:tc>
          <w:tcPr>
            <w:tcW w:w="1928" w:type="dxa"/>
          </w:tcPr>
          <w:p w14:paraId="4FFE158F" w14:textId="516CEC0B" w:rsidR="00FE3203" w:rsidRDefault="00FE3203" w:rsidP="00FE3203">
            <w:r w:rsidRPr="00354E1E">
              <w:t>$0.2105</w:t>
            </w:r>
          </w:p>
        </w:tc>
      </w:tr>
    </w:tbl>
    <w:p w14:paraId="3A47500C" w14:textId="308799BE" w:rsidR="004B57F5" w:rsidRDefault="004B57F5" w:rsidP="004B57F5"/>
    <w:p w14:paraId="239B2433" w14:textId="23000108" w:rsidR="004B57F5" w:rsidRPr="004B57F5" w:rsidRDefault="004B57F5" w:rsidP="004B57F5">
      <w:pPr>
        <w:rPr>
          <w:rStyle w:val="Strong"/>
          <w:u w:val="single"/>
        </w:rPr>
      </w:pPr>
      <w:r w:rsidRPr="004B57F5">
        <w:rPr>
          <w:rStyle w:val="Strong"/>
          <w:u w:val="single"/>
        </w:rPr>
        <w:t>Note to Schedule 3:</w:t>
      </w:r>
    </w:p>
    <w:p w14:paraId="183304C5" w14:textId="5A9F4DC2" w:rsidR="004B57F5" w:rsidRPr="004B57F5" w:rsidRDefault="004B57F5" w:rsidP="004B57F5">
      <w:pPr>
        <w:ind w:left="720" w:hanging="720"/>
      </w:pPr>
      <w:r>
        <w:t>1.</w:t>
      </w:r>
      <w:r>
        <w:tab/>
        <w:t>The peak usage charge applies from 3pm to 9pm (local time) every day. The off</w:t>
      </w:r>
      <w:r w:rsidR="006E3E6D">
        <w:t>-</w:t>
      </w:r>
      <w:r>
        <w:t>peak usage charge applies at all other times.</w:t>
      </w:r>
    </w:p>
    <w:p w14:paraId="13F855CB" w14:textId="18771CD5" w:rsidR="000F0192" w:rsidRDefault="00482D11" w:rsidP="000F0192">
      <w:pPr>
        <w:pStyle w:val="Heading1"/>
      </w:pPr>
      <w:bookmarkStart w:id="26" w:name="_Toc133939303"/>
      <w:r>
        <w:t>SCHEDULE 4</w:t>
      </w:r>
      <w:bookmarkEnd w:id="26"/>
    </w:p>
    <w:p w14:paraId="2C99D280" w14:textId="6152A4BE" w:rsidR="00432574" w:rsidRDefault="00432574" w:rsidP="00432574">
      <w:r w:rsidRPr="0022721B">
        <w:rPr>
          <w:b/>
          <w:bCs/>
        </w:rPr>
        <w:t>Victorian default offer two</w:t>
      </w:r>
      <w:r w:rsidR="00211BD4">
        <w:rPr>
          <w:b/>
          <w:bCs/>
        </w:rPr>
        <w:t>-</w:t>
      </w:r>
      <w:r w:rsidRPr="0022721B">
        <w:rPr>
          <w:b/>
          <w:bCs/>
        </w:rPr>
        <w:t xml:space="preserve">period time of use tariffs </w:t>
      </w:r>
      <w:r w:rsidR="0022721B" w:rsidRPr="0022721B">
        <w:rPr>
          <w:rStyle w:val="Strong"/>
        </w:rPr>
        <w:t xml:space="preserve">for the period </w:t>
      </w:r>
      <w:r w:rsidR="0022721B" w:rsidRPr="001C0A22">
        <w:rPr>
          <w:rStyle w:val="Strong"/>
        </w:rPr>
        <w:t>1 July 202</w:t>
      </w:r>
      <w:r w:rsidR="00800CF6">
        <w:rPr>
          <w:rStyle w:val="Strong"/>
        </w:rPr>
        <w:t>4</w:t>
      </w:r>
      <w:r w:rsidR="0022721B" w:rsidRPr="001C0A22">
        <w:rPr>
          <w:rStyle w:val="Strong"/>
        </w:rPr>
        <w:t xml:space="preserve"> to 30 June 202</w:t>
      </w:r>
      <w:r w:rsidR="00800CF6">
        <w:rPr>
          <w:rStyle w:val="Strong"/>
        </w:rPr>
        <w:t>5</w:t>
      </w:r>
      <w:r w:rsidR="0022721B">
        <w:rPr>
          <w:rStyle w:val="Strong"/>
        </w:rPr>
        <w:t xml:space="preserve"> </w:t>
      </w:r>
      <w:r w:rsidRPr="0022721B">
        <w:rPr>
          <w:b/>
          <w:bCs/>
        </w:rPr>
        <w:t>— small business customers</w:t>
      </w:r>
      <w:r w:rsidR="0022721B" w:rsidRPr="0022721B">
        <w:rPr>
          <w:b/>
          <w:bCs/>
        </w:rPr>
        <w:t xml:space="preserve"> </w:t>
      </w:r>
    </w:p>
    <w:p w14:paraId="4645B260" w14:textId="176923D8" w:rsidR="00432574" w:rsidRDefault="00432574" w:rsidP="00432574">
      <w:r>
        <w:t>Charges inclusive of GST</w:t>
      </w:r>
    </w:p>
    <w:tbl>
      <w:tblPr>
        <w:tblStyle w:val="TableGrid"/>
        <w:tblW w:w="0" w:type="auto"/>
        <w:tblLook w:val="04A0" w:firstRow="1" w:lastRow="0" w:firstColumn="1" w:lastColumn="0" w:noHBand="0" w:noVBand="1"/>
      </w:tblPr>
      <w:tblGrid>
        <w:gridCol w:w="2409"/>
        <w:gridCol w:w="2409"/>
        <w:gridCol w:w="2410"/>
        <w:gridCol w:w="2410"/>
      </w:tblGrid>
      <w:tr w:rsidR="00432574" w14:paraId="4D28BBCF" w14:textId="77777777" w:rsidTr="00432574">
        <w:trPr>
          <w:cnfStyle w:val="100000000000" w:firstRow="1" w:lastRow="0" w:firstColumn="0" w:lastColumn="0" w:oddVBand="0" w:evenVBand="0" w:oddHBand="0" w:evenHBand="0" w:firstRowFirstColumn="0" w:firstRowLastColumn="0" w:lastRowFirstColumn="0" w:lastRowLastColumn="0"/>
        </w:trPr>
        <w:tc>
          <w:tcPr>
            <w:tcW w:w="2409" w:type="dxa"/>
          </w:tcPr>
          <w:p w14:paraId="7827721F" w14:textId="31F7310B" w:rsidR="00432574" w:rsidRDefault="00432574" w:rsidP="00432574">
            <w:r>
              <w:t>Distribution zone</w:t>
            </w:r>
          </w:p>
        </w:tc>
        <w:tc>
          <w:tcPr>
            <w:tcW w:w="2409" w:type="dxa"/>
          </w:tcPr>
          <w:p w14:paraId="1C5209EC" w14:textId="73213D19" w:rsidR="00432574" w:rsidRDefault="00432574" w:rsidP="00432574">
            <w:r>
              <w:t>Supply charge ($ per day)</w:t>
            </w:r>
          </w:p>
        </w:tc>
        <w:tc>
          <w:tcPr>
            <w:tcW w:w="2410" w:type="dxa"/>
          </w:tcPr>
          <w:p w14:paraId="1253638D" w14:textId="5D31DA92" w:rsidR="00432574" w:rsidRDefault="00432574" w:rsidP="00432574">
            <w:r>
              <w:t>Peak charge ($ per kWh)</w:t>
            </w:r>
          </w:p>
        </w:tc>
        <w:tc>
          <w:tcPr>
            <w:tcW w:w="2410" w:type="dxa"/>
          </w:tcPr>
          <w:p w14:paraId="241ED045" w14:textId="6A590E4D" w:rsidR="00432574" w:rsidRDefault="00432574" w:rsidP="00432574">
            <w:r>
              <w:t>Off</w:t>
            </w:r>
            <w:r w:rsidR="006E3E6D">
              <w:t>-</w:t>
            </w:r>
            <w:r>
              <w:t>peak charge ($ per kWh)</w:t>
            </w:r>
          </w:p>
        </w:tc>
      </w:tr>
      <w:tr w:rsidR="00452AE1" w14:paraId="04472627" w14:textId="77777777" w:rsidTr="00432574">
        <w:trPr>
          <w:cnfStyle w:val="000000100000" w:firstRow="0" w:lastRow="0" w:firstColumn="0" w:lastColumn="0" w:oddVBand="0" w:evenVBand="0" w:oddHBand="1" w:evenHBand="0" w:firstRowFirstColumn="0" w:firstRowLastColumn="0" w:lastRowFirstColumn="0" w:lastRowLastColumn="0"/>
        </w:trPr>
        <w:tc>
          <w:tcPr>
            <w:tcW w:w="2409" w:type="dxa"/>
          </w:tcPr>
          <w:p w14:paraId="2EB9DEC0" w14:textId="7A562586" w:rsidR="00452AE1" w:rsidRDefault="00452AE1" w:rsidP="00452AE1">
            <w:r w:rsidRPr="00AD5785">
              <w:t>AusNet Services</w:t>
            </w:r>
          </w:p>
        </w:tc>
        <w:tc>
          <w:tcPr>
            <w:tcW w:w="2409" w:type="dxa"/>
          </w:tcPr>
          <w:p w14:paraId="2BA32A77" w14:textId="1D16FC9E" w:rsidR="00452AE1" w:rsidRDefault="00452AE1" w:rsidP="00452AE1">
            <w:r w:rsidRPr="00425F7B">
              <w:t>$1.3354</w:t>
            </w:r>
          </w:p>
        </w:tc>
        <w:tc>
          <w:tcPr>
            <w:tcW w:w="2410" w:type="dxa"/>
          </w:tcPr>
          <w:p w14:paraId="2DA0F258" w14:textId="30C2DECA" w:rsidR="00452AE1" w:rsidRDefault="00452AE1" w:rsidP="00452AE1">
            <w:r w:rsidRPr="00425F7B">
              <w:t>$0.3953</w:t>
            </w:r>
          </w:p>
        </w:tc>
        <w:tc>
          <w:tcPr>
            <w:tcW w:w="2410" w:type="dxa"/>
          </w:tcPr>
          <w:p w14:paraId="127DEF04" w14:textId="27F27C62" w:rsidR="00452AE1" w:rsidRDefault="00452AE1" w:rsidP="00452AE1">
            <w:r w:rsidRPr="00425F7B">
              <w:t>$0.2153</w:t>
            </w:r>
          </w:p>
        </w:tc>
      </w:tr>
      <w:tr w:rsidR="00452AE1" w14:paraId="2995DD73" w14:textId="77777777" w:rsidTr="00432574">
        <w:trPr>
          <w:cnfStyle w:val="000000010000" w:firstRow="0" w:lastRow="0" w:firstColumn="0" w:lastColumn="0" w:oddVBand="0" w:evenVBand="0" w:oddHBand="0" w:evenHBand="1" w:firstRowFirstColumn="0" w:firstRowLastColumn="0" w:lastRowFirstColumn="0" w:lastRowLastColumn="0"/>
        </w:trPr>
        <w:tc>
          <w:tcPr>
            <w:tcW w:w="2409" w:type="dxa"/>
          </w:tcPr>
          <w:p w14:paraId="388F5466" w14:textId="55EA7BD7" w:rsidR="00452AE1" w:rsidRDefault="00452AE1" w:rsidP="00452AE1">
            <w:r w:rsidRPr="00AD5785">
              <w:t>CitiPower</w:t>
            </w:r>
          </w:p>
        </w:tc>
        <w:tc>
          <w:tcPr>
            <w:tcW w:w="2409" w:type="dxa"/>
          </w:tcPr>
          <w:p w14:paraId="6DA5A9AA" w14:textId="6E394631" w:rsidR="00452AE1" w:rsidRDefault="00452AE1" w:rsidP="00452AE1">
            <w:r w:rsidRPr="00425F7B">
              <w:t>$1.3583</w:t>
            </w:r>
          </w:p>
        </w:tc>
        <w:tc>
          <w:tcPr>
            <w:tcW w:w="2410" w:type="dxa"/>
          </w:tcPr>
          <w:p w14:paraId="076ACC15" w14:textId="000515B5" w:rsidR="00452AE1" w:rsidRDefault="00452AE1" w:rsidP="00452AE1">
            <w:r w:rsidRPr="00425F7B">
              <w:t>$0.3145</w:t>
            </w:r>
          </w:p>
        </w:tc>
        <w:tc>
          <w:tcPr>
            <w:tcW w:w="2410" w:type="dxa"/>
          </w:tcPr>
          <w:p w14:paraId="2723F5B5" w14:textId="4FA600E5" w:rsidR="00452AE1" w:rsidRDefault="00452AE1" w:rsidP="00452AE1">
            <w:r w:rsidRPr="00425F7B">
              <w:t>$0.1857</w:t>
            </w:r>
          </w:p>
        </w:tc>
      </w:tr>
      <w:tr w:rsidR="00452AE1" w14:paraId="6928E944" w14:textId="77777777" w:rsidTr="00432574">
        <w:trPr>
          <w:cnfStyle w:val="000000100000" w:firstRow="0" w:lastRow="0" w:firstColumn="0" w:lastColumn="0" w:oddVBand="0" w:evenVBand="0" w:oddHBand="1" w:evenHBand="0" w:firstRowFirstColumn="0" w:firstRowLastColumn="0" w:lastRowFirstColumn="0" w:lastRowLastColumn="0"/>
        </w:trPr>
        <w:tc>
          <w:tcPr>
            <w:tcW w:w="2409" w:type="dxa"/>
          </w:tcPr>
          <w:p w14:paraId="755D3D32" w14:textId="1F9DD22E" w:rsidR="00452AE1" w:rsidRDefault="00452AE1" w:rsidP="00452AE1">
            <w:r w:rsidRPr="00AD5785">
              <w:t>Jemena</w:t>
            </w:r>
          </w:p>
        </w:tc>
        <w:tc>
          <w:tcPr>
            <w:tcW w:w="2409" w:type="dxa"/>
          </w:tcPr>
          <w:p w14:paraId="15019EC1" w14:textId="11AC71CF" w:rsidR="00452AE1" w:rsidRDefault="00452AE1" w:rsidP="00452AE1">
            <w:r w:rsidRPr="00425F7B">
              <w:t>$1.7271</w:t>
            </w:r>
          </w:p>
        </w:tc>
        <w:tc>
          <w:tcPr>
            <w:tcW w:w="2410" w:type="dxa"/>
          </w:tcPr>
          <w:p w14:paraId="7A3401B1" w14:textId="750ADC73" w:rsidR="00452AE1" w:rsidRDefault="00452AE1" w:rsidP="00452AE1">
            <w:r w:rsidRPr="00425F7B">
              <w:t>$0.3650</w:t>
            </w:r>
          </w:p>
        </w:tc>
        <w:tc>
          <w:tcPr>
            <w:tcW w:w="2410" w:type="dxa"/>
          </w:tcPr>
          <w:p w14:paraId="3831CA41" w14:textId="7E55EBC6" w:rsidR="00452AE1" w:rsidRDefault="00452AE1" w:rsidP="00452AE1">
            <w:r w:rsidRPr="00425F7B">
              <w:t>$0.2009</w:t>
            </w:r>
          </w:p>
        </w:tc>
      </w:tr>
      <w:tr w:rsidR="00452AE1" w14:paraId="3A0BA19B" w14:textId="77777777" w:rsidTr="00432574">
        <w:trPr>
          <w:cnfStyle w:val="000000010000" w:firstRow="0" w:lastRow="0" w:firstColumn="0" w:lastColumn="0" w:oddVBand="0" w:evenVBand="0" w:oddHBand="0" w:evenHBand="1" w:firstRowFirstColumn="0" w:firstRowLastColumn="0" w:lastRowFirstColumn="0" w:lastRowLastColumn="0"/>
        </w:trPr>
        <w:tc>
          <w:tcPr>
            <w:tcW w:w="2409" w:type="dxa"/>
          </w:tcPr>
          <w:p w14:paraId="6189C4BF" w14:textId="0494F7D8" w:rsidR="00452AE1" w:rsidRDefault="00452AE1" w:rsidP="00452AE1">
            <w:r w:rsidRPr="00AD5785">
              <w:t>Powercor</w:t>
            </w:r>
          </w:p>
        </w:tc>
        <w:tc>
          <w:tcPr>
            <w:tcW w:w="2409" w:type="dxa"/>
          </w:tcPr>
          <w:p w14:paraId="7D4DB491" w14:textId="44064969" w:rsidR="00452AE1" w:rsidRDefault="00452AE1" w:rsidP="00452AE1">
            <w:r w:rsidRPr="00425F7B">
              <w:t>$1.4594</w:t>
            </w:r>
          </w:p>
        </w:tc>
        <w:tc>
          <w:tcPr>
            <w:tcW w:w="2410" w:type="dxa"/>
          </w:tcPr>
          <w:p w14:paraId="29150F12" w14:textId="385012A8" w:rsidR="00452AE1" w:rsidRDefault="00452AE1" w:rsidP="00452AE1">
            <w:r w:rsidRPr="00425F7B">
              <w:t>$0.3739</w:t>
            </w:r>
          </w:p>
        </w:tc>
        <w:tc>
          <w:tcPr>
            <w:tcW w:w="2410" w:type="dxa"/>
          </w:tcPr>
          <w:p w14:paraId="27EFEAB3" w14:textId="5E8372C3" w:rsidR="00452AE1" w:rsidRDefault="00452AE1" w:rsidP="00452AE1">
            <w:r w:rsidRPr="00425F7B">
              <w:t>$0.2047</w:t>
            </w:r>
          </w:p>
        </w:tc>
      </w:tr>
      <w:tr w:rsidR="00452AE1" w14:paraId="58C79E16" w14:textId="77777777" w:rsidTr="00432574">
        <w:trPr>
          <w:cnfStyle w:val="000000100000" w:firstRow="0" w:lastRow="0" w:firstColumn="0" w:lastColumn="0" w:oddVBand="0" w:evenVBand="0" w:oddHBand="1" w:evenHBand="0" w:firstRowFirstColumn="0" w:firstRowLastColumn="0" w:lastRowFirstColumn="0" w:lastRowLastColumn="0"/>
        </w:trPr>
        <w:tc>
          <w:tcPr>
            <w:tcW w:w="2409" w:type="dxa"/>
          </w:tcPr>
          <w:p w14:paraId="6B438335" w14:textId="61F4D7BB" w:rsidR="00452AE1" w:rsidRDefault="00452AE1" w:rsidP="00452AE1">
            <w:r w:rsidRPr="00AD5785">
              <w:t>United Energy</w:t>
            </w:r>
          </w:p>
        </w:tc>
        <w:tc>
          <w:tcPr>
            <w:tcW w:w="2409" w:type="dxa"/>
          </w:tcPr>
          <w:p w14:paraId="180D8889" w14:textId="06B36E4D" w:rsidR="00452AE1" w:rsidRDefault="00452AE1" w:rsidP="00452AE1">
            <w:r w:rsidRPr="00425F7B">
              <w:t>$1.2865</w:t>
            </w:r>
          </w:p>
        </w:tc>
        <w:tc>
          <w:tcPr>
            <w:tcW w:w="2410" w:type="dxa"/>
          </w:tcPr>
          <w:p w14:paraId="5A3BA20C" w14:textId="582B9ECB" w:rsidR="00452AE1" w:rsidRDefault="00452AE1" w:rsidP="00452AE1">
            <w:r w:rsidRPr="00425F7B">
              <w:t>$0.3453</w:t>
            </w:r>
          </w:p>
        </w:tc>
        <w:tc>
          <w:tcPr>
            <w:tcW w:w="2410" w:type="dxa"/>
          </w:tcPr>
          <w:p w14:paraId="3CC47BA1" w14:textId="395704A0" w:rsidR="00452AE1" w:rsidRDefault="00452AE1" w:rsidP="00452AE1">
            <w:r w:rsidRPr="00425F7B">
              <w:t>$0.1969</w:t>
            </w:r>
          </w:p>
        </w:tc>
      </w:tr>
    </w:tbl>
    <w:p w14:paraId="513F47D2" w14:textId="03B31D22" w:rsidR="00432574" w:rsidRDefault="00432574" w:rsidP="00432574"/>
    <w:p w14:paraId="09714CAA" w14:textId="2C0A2A54" w:rsidR="00432574" w:rsidRPr="006C51BE" w:rsidRDefault="00432574" w:rsidP="00432574">
      <w:pPr>
        <w:rPr>
          <w:rStyle w:val="Strong"/>
          <w:u w:val="single"/>
        </w:rPr>
      </w:pPr>
      <w:r w:rsidRPr="006C51BE">
        <w:rPr>
          <w:rStyle w:val="Strong"/>
          <w:u w:val="single"/>
        </w:rPr>
        <w:t>Note to Schedule 4:</w:t>
      </w:r>
    </w:p>
    <w:p w14:paraId="1D06AE16" w14:textId="4443A37E" w:rsidR="00432574" w:rsidRPr="00432574" w:rsidRDefault="00432574" w:rsidP="00432574">
      <w:pPr>
        <w:ind w:left="720" w:hanging="720"/>
      </w:pPr>
      <w:r>
        <w:t>1.</w:t>
      </w:r>
      <w:r>
        <w:tab/>
        <w:t>The peak usage charge applies</w:t>
      </w:r>
      <w:r w:rsidR="00800CF6">
        <w:t xml:space="preserve"> </w:t>
      </w:r>
      <w:r>
        <w:t>9am to 9pm (local time) weekdays. The off</w:t>
      </w:r>
      <w:r w:rsidR="006E3E6D">
        <w:t>-</w:t>
      </w:r>
      <w:r>
        <w:t>peak usage charge applies at all other times.</w:t>
      </w:r>
    </w:p>
    <w:p w14:paraId="1E0C6D00" w14:textId="394C5081" w:rsidR="000F0192" w:rsidRDefault="00482D11" w:rsidP="000F0192">
      <w:pPr>
        <w:pStyle w:val="Heading1"/>
      </w:pPr>
      <w:bookmarkStart w:id="27" w:name="_Toc133939304"/>
      <w:r>
        <w:t>SCHEDULE 5</w:t>
      </w:r>
      <w:bookmarkEnd w:id="27"/>
    </w:p>
    <w:p w14:paraId="56160E25" w14:textId="57C79730" w:rsidR="00CC5954" w:rsidRPr="00AD5785" w:rsidRDefault="00CC5954" w:rsidP="00CC5954">
      <w:pPr>
        <w:rPr>
          <w:b/>
          <w:bCs/>
        </w:rPr>
      </w:pPr>
      <w:r w:rsidRPr="00AD5785">
        <w:rPr>
          <w:b/>
          <w:bCs/>
        </w:rPr>
        <w:t>Indicative Victorian default offer compliant maximum annual bill amount, by distribution zone, for non-standard standing offers referred to in clause 5</w:t>
      </w:r>
      <w:r w:rsidR="0022721B">
        <w:rPr>
          <w:b/>
          <w:bCs/>
        </w:rPr>
        <w:t xml:space="preserve"> </w:t>
      </w:r>
      <w:r w:rsidR="0022721B" w:rsidRPr="001C0A22">
        <w:rPr>
          <w:rStyle w:val="Strong"/>
        </w:rPr>
        <w:t xml:space="preserve">for </w:t>
      </w:r>
      <w:r w:rsidR="0022721B">
        <w:rPr>
          <w:rStyle w:val="Strong"/>
        </w:rPr>
        <w:t xml:space="preserve">the </w:t>
      </w:r>
      <w:r w:rsidR="0022721B" w:rsidRPr="001C0A22">
        <w:rPr>
          <w:rStyle w:val="Strong"/>
        </w:rPr>
        <w:t>period 1 July 202</w:t>
      </w:r>
      <w:r w:rsidR="001E3820">
        <w:rPr>
          <w:rStyle w:val="Strong"/>
        </w:rPr>
        <w:t>4</w:t>
      </w:r>
      <w:r w:rsidR="0022721B" w:rsidRPr="001C0A22">
        <w:rPr>
          <w:rStyle w:val="Strong"/>
        </w:rPr>
        <w:t xml:space="preserve"> to 30 June 202</w:t>
      </w:r>
      <w:r w:rsidR="001E3820">
        <w:rPr>
          <w:rStyle w:val="Strong"/>
        </w:rPr>
        <w:t>5</w:t>
      </w:r>
      <w:r w:rsidRPr="00AD5785">
        <w:rPr>
          <w:b/>
          <w:bCs/>
        </w:rPr>
        <w:t xml:space="preserve">.     </w:t>
      </w:r>
    </w:p>
    <w:p w14:paraId="27299176" w14:textId="77777777" w:rsidR="00CC5954" w:rsidRPr="00AD5785" w:rsidRDefault="00CC5954" w:rsidP="00CC5954">
      <w:pPr>
        <w:rPr>
          <w:bCs/>
        </w:rPr>
      </w:pPr>
      <w:r w:rsidRPr="00AD5785">
        <w:rPr>
          <w:bCs/>
        </w:rPr>
        <w:t xml:space="preserve">Compliant maximum annual bill amounts inclusive of GST. </w:t>
      </w:r>
    </w:p>
    <w:tbl>
      <w:tblPr>
        <w:tblStyle w:val="TableGrid"/>
        <w:tblW w:w="8789" w:type="dxa"/>
        <w:tblLook w:val="04A0" w:firstRow="1" w:lastRow="0" w:firstColumn="1" w:lastColumn="0" w:noHBand="0" w:noVBand="1"/>
      </w:tblPr>
      <w:tblGrid>
        <w:gridCol w:w="2339"/>
        <w:gridCol w:w="3048"/>
        <w:gridCol w:w="3402"/>
      </w:tblGrid>
      <w:tr w:rsidR="00CC5954" w:rsidRPr="00AD5785" w14:paraId="40C4FD34" w14:textId="77777777" w:rsidTr="00701698">
        <w:trPr>
          <w:cnfStyle w:val="100000000000" w:firstRow="1" w:lastRow="0" w:firstColumn="0" w:lastColumn="0" w:oddVBand="0" w:evenVBand="0" w:oddHBand="0" w:evenHBand="0" w:firstRowFirstColumn="0" w:firstRowLastColumn="0" w:lastRowFirstColumn="0" w:lastRowLastColumn="0"/>
        </w:trPr>
        <w:tc>
          <w:tcPr>
            <w:tcW w:w="2339" w:type="dxa"/>
          </w:tcPr>
          <w:p w14:paraId="00BE248D" w14:textId="77777777" w:rsidR="00CC5954" w:rsidRPr="00AD5785" w:rsidRDefault="00CC5954" w:rsidP="00701698">
            <w:pPr>
              <w:spacing w:before="0" w:line="240" w:lineRule="auto"/>
              <w:rPr>
                <w:rFonts w:eastAsia="Calibri" w:cstheme="minorHAnsi"/>
                <w:b w:val="0"/>
                <w:bCs/>
                <w:sz w:val="21"/>
                <w:szCs w:val="21"/>
              </w:rPr>
            </w:pPr>
            <w:r w:rsidRPr="00AD5785">
              <w:rPr>
                <w:rFonts w:eastAsia="Calibri" w:cstheme="minorHAnsi"/>
                <w:bCs/>
                <w:sz w:val="21"/>
                <w:szCs w:val="21"/>
              </w:rPr>
              <w:t>Distribution zones</w:t>
            </w:r>
          </w:p>
        </w:tc>
        <w:tc>
          <w:tcPr>
            <w:tcW w:w="3048" w:type="dxa"/>
          </w:tcPr>
          <w:p w14:paraId="198CF00B" w14:textId="5DA2A75B" w:rsidR="00CC5954" w:rsidRPr="00AD5785" w:rsidRDefault="00CC5954" w:rsidP="00701698">
            <w:pPr>
              <w:spacing w:before="0" w:line="240" w:lineRule="auto"/>
              <w:rPr>
                <w:rFonts w:eastAsia="Calibri" w:cstheme="minorHAnsi"/>
                <w:b w:val="0"/>
                <w:bCs/>
                <w:sz w:val="21"/>
                <w:szCs w:val="21"/>
              </w:rPr>
            </w:pPr>
            <w:r w:rsidRPr="00AD5785">
              <w:rPr>
                <w:rFonts w:eastAsia="Calibri" w:cstheme="minorHAnsi"/>
                <w:bCs/>
                <w:sz w:val="21"/>
                <w:szCs w:val="21"/>
              </w:rPr>
              <w:t>VDO compliant maximum annual bill amount – domestic customers (4,000 kWh usage; annual bill calculated using VDO Two</w:t>
            </w:r>
            <w:r w:rsidR="00A12E67">
              <w:rPr>
                <w:rFonts w:eastAsia="Calibri" w:cstheme="minorHAnsi"/>
                <w:bCs/>
                <w:sz w:val="21"/>
                <w:szCs w:val="21"/>
              </w:rPr>
              <w:t xml:space="preserve"> -</w:t>
            </w:r>
            <w:r w:rsidRPr="00AD5785">
              <w:rPr>
                <w:rFonts w:eastAsia="Calibri" w:cstheme="minorHAnsi"/>
                <w:bCs/>
                <w:sz w:val="21"/>
                <w:szCs w:val="21"/>
              </w:rPr>
              <w:t xml:space="preserve"> Period Time of Use Tariffs – domestic customers)                       </w:t>
            </w:r>
          </w:p>
        </w:tc>
        <w:tc>
          <w:tcPr>
            <w:tcW w:w="3402" w:type="dxa"/>
          </w:tcPr>
          <w:p w14:paraId="4EE1A007" w14:textId="3A86FD57" w:rsidR="00CC5954" w:rsidRPr="00AD5785" w:rsidRDefault="00CC5954" w:rsidP="00701698">
            <w:pPr>
              <w:spacing w:before="0" w:line="240" w:lineRule="auto"/>
              <w:rPr>
                <w:rFonts w:eastAsia="Calibri" w:cstheme="minorHAnsi"/>
                <w:b w:val="0"/>
                <w:bCs/>
                <w:sz w:val="21"/>
                <w:szCs w:val="21"/>
              </w:rPr>
            </w:pPr>
            <w:r w:rsidRPr="00AD5785">
              <w:rPr>
                <w:rFonts w:eastAsia="Calibri" w:cstheme="minorHAnsi"/>
                <w:bCs/>
                <w:sz w:val="21"/>
                <w:szCs w:val="21"/>
              </w:rPr>
              <w:t>VDO compliant maximum annual bill amount – small business customers (20,000 kWh usage; annual bill calculated using VDO Two</w:t>
            </w:r>
            <w:r w:rsidR="00A12E67">
              <w:rPr>
                <w:rFonts w:eastAsia="Calibri" w:cstheme="minorHAnsi"/>
                <w:bCs/>
                <w:sz w:val="21"/>
                <w:szCs w:val="21"/>
              </w:rPr>
              <w:t xml:space="preserve"> -</w:t>
            </w:r>
            <w:r w:rsidRPr="00AD5785">
              <w:rPr>
                <w:rFonts w:eastAsia="Calibri" w:cstheme="minorHAnsi"/>
                <w:bCs/>
                <w:sz w:val="21"/>
                <w:szCs w:val="21"/>
              </w:rPr>
              <w:t xml:space="preserve"> </w:t>
            </w:r>
            <w:r w:rsidR="00A12E67">
              <w:rPr>
                <w:rFonts w:eastAsia="Calibri" w:cstheme="minorHAnsi"/>
                <w:bCs/>
                <w:sz w:val="21"/>
                <w:szCs w:val="21"/>
              </w:rPr>
              <w:t>P</w:t>
            </w:r>
            <w:r w:rsidRPr="00AD5785">
              <w:rPr>
                <w:rFonts w:eastAsia="Calibri" w:cstheme="minorHAnsi"/>
                <w:bCs/>
                <w:sz w:val="21"/>
                <w:szCs w:val="21"/>
              </w:rPr>
              <w:t xml:space="preserve">eriod Time of Use Tariffs – small business customers)  </w:t>
            </w:r>
          </w:p>
        </w:tc>
      </w:tr>
      <w:tr w:rsidR="00883934" w:rsidRPr="00AD5785" w14:paraId="1B703D61" w14:textId="77777777" w:rsidTr="00701698">
        <w:trPr>
          <w:cnfStyle w:val="000000100000" w:firstRow="0" w:lastRow="0" w:firstColumn="0" w:lastColumn="0" w:oddVBand="0" w:evenVBand="0" w:oddHBand="1" w:evenHBand="0" w:firstRowFirstColumn="0" w:firstRowLastColumn="0" w:lastRowFirstColumn="0" w:lastRowLastColumn="0"/>
          <w:trHeight w:val="588"/>
        </w:trPr>
        <w:tc>
          <w:tcPr>
            <w:tcW w:w="2339" w:type="dxa"/>
          </w:tcPr>
          <w:p w14:paraId="60328F27" w14:textId="77777777" w:rsidR="00883934" w:rsidRPr="00AD5785" w:rsidRDefault="00883934" w:rsidP="00883934">
            <w:pPr>
              <w:spacing w:before="0" w:line="240" w:lineRule="auto"/>
              <w:rPr>
                <w:rFonts w:eastAsia="Calibri" w:cstheme="minorHAnsi"/>
                <w:sz w:val="21"/>
                <w:szCs w:val="21"/>
              </w:rPr>
            </w:pPr>
            <w:r w:rsidRPr="00AD5785">
              <w:rPr>
                <w:rFonts w:eastAsia="Calibri" w:cstheme="minorHAnsi"/>
                <w:sz w:val="21"/>
                <w:szCs w:val="21"/>
              </w:rPr>
              <w:t>AusNet Services</w:t>
            </w:r>
          </w:p>
          <w:p w14:paraId="0EAAAE27" w14:textId="77777777" w:rsidR="00883934" w:rsidRPr="00AD5785" w:rsidRDefault="00883934" w:rsidP="00883934">
            <w:pPr>
              <w:spacing w:before="0" w:line="240" w:lineRule="auto"/>
              <w:rPr>
                <w:rFonts w:eastAsia="Calibri" w:cstheme="minorHAnsi"/>
                <w:sz w:val="21"/>
                <w:szCs w:val="21"/>
              </w:rPr>
            </w:pPr>
          </w:p>
        </w:tc>
        <w:tc>
          <w:tcPr>
            <w:tcW w:w="3048" w:type="dxa"/>
          </w:tcPr>
          <w:p w14:paraId="44E7BF9F" w14:textId="090F6DCA" w:rsidR="00883934" w:rsidRPr="00CC5954" w:rsidRDefault="00883934" w:rsidP="00883934">
            <w:pPr>
              <w:spacing w:before="0" w:line="240" w:lineRule="auto"/>
              <w:rPr>
                <w:rFonts w:eastAsia="Calibri" w:cstheme="minorHAnsi"/>
                <w:sz w:val="21"/>
                <w:szCs w:val="21"/>
                <w:highlight w:val="yellow"/>
              </w:rPr>
            </w:pPr>
            <w:r w:rsidRPr="00F75DA3">
              <w:t xml:space="preserve">$1,784 </w:t>
            </w:r>
          </w:p>
        </w:tc>
        <w:tc>
          <w:tcPr>
            <w:tcW w:w="3402" w:type="dxa"/>
          </w:tcPr>
          <w:p w14:paraId="09AF0C1C" w14:textId="2CC546E4" w:rsidR="00883934" w:rsidRPr="00CC5954" w:rsidRDefault="00883934" w:rsidP="00883934">
            <w:pPr>
              <w:spacing w:before="0" w:line="240" w:lineRule="auto"/>
              <w:rPr>
                <w:rFonts w:eastAsia="Calibri" w:cstheme="minorHAnsi"/>
                <w:sz w:val="21"/>
                <w:szCs w:val="21"/>
                <w:highlight w:val="yellow"/>
              </w:rPr>
            </w:pPr>
            <w:r w:rsidRPr="00F75DA3">
              <w:t xml:space="preserve">$6,558 </w:t>
            </w:r>
          </w:p>
        </w:tc>
      </w:tr>
      <w:tr w:rsidR="00883934" w:rsidRPr="00AD5785" w14:paraId="5A909DE3" w14:textId="77777777" w:rsidTr="00701698">
        <w:trPr>
          <w:cnfStyle w:val="000000010000" w:firstRow="0" w:lastRow="0" w:firstColumn="0" w:lastColumn="0" w:oddVBand="0" w:evenVBand="0" w:oddHBand="0" w:evenHBand="1" w:firstRowFirstColumn="0" w:firstRowLastColumn="0" w:lastRowFirstColumn="0" w:lastRowLastColumn="0"/>
        </w:trPr>
        <w:tc>
          <w:tcPr>
            <w:tcW w:w="2339" w:type="dxa"/>
          </w:tcPr>
          <w:p w14:paraId="3BEF7659" w14:textId="77777777" w:rsidR="00883934" w:rsidRPr="00AD5785" w:rsidRDefault="00883934" w:rsidP="00883934">
            <w:pPr>
              <w:spacing w:before="0" w:line="240" w:lineRule="auto"/>
              <w:rPr>
                <w:rFonts w:eastAsia="Calibri" w:cstheme="minorHAnsi"/>
                <w:sz w:val="21"/>
                <w:szCs w:val="21"/>
              </w:rPr>
            </w:pPr>
            <w:r w:rsidRPr="00AD5785">
              <w:rPr>
                <w:rFonts w:eastAsia="Calibri" w:cstheme="minorHAnsi"/>
                <w:sz w:val="21"/>
                <w:szCs w:val="21"/>
              </w:rPr>
              <w:t>CitiPower</w:t>
            </w:r>
          </w:p>
          <w:p w14:paraId="6C9C1271" w14:textId="77777777" w:rsidR="00883934" w:rsidRPr="00AD5785" w:rsidRDefault="00883934" w:rsidP="00883934">
            <w:pPr>
              <w:spacing w:before="0" w:line="240" w:lineRule="auto"/>
              <w:rPr>
                <w:rFonts w:eastAsia="Calibri" w:cstheme="minorHAnsi"/>
                <w:sz w:val="21"/>
                <w:szCs w:val="21"/>
              </w:rPr>
            </w:pPr>
          </w:p>
        </w:tc>
        <w:tc>
          <w:tcPr>
            <w:tcW w:w="3048" w:type="dxa"/>
          </w:tcPr>
          <w:p w14:paraId="3A7C5849" w14:textId="78A77B58" w:rsidR="00883934" w:rsidRPr="00CC5954" w:rsidRDefault="00883934" w:rsidP="00883934">
            <w:pPr>
              <w:spacing w:before="0" w:line="240" w:lineRule="auto"/>
              <w:rPr>
                <w:rFonts w:eastAsia="Calibri" w:cstheme="minorHAnsi"/>
                <w:sz w:val="21"/>
                <w:szCs w:val="21"/>
                <w:highlight w:val="yellow"/>
              </w:rPr>
            </w:pPr>
            <w:r w:rsidRPr="00F75DA3">
              <w:t xml:space="preserve">$1,441 </w:t>
            </w:r>
          </w:p>
        </w:tc>
        <w:tc>
          <w:tcPr>
            <w:tcW w:w="3402" w:type="dxa"/>
          </w:tcPr>
          <w:p w14:paraId="4F53BD43" w14:textId="7E2A9F89" w:rsidR="00883934" w:rsidRPr="00CC5954" w:rsidRDefault="00883934" w:rsidP="00883934">
            <w:pPr>
              <w:spacing w:before="0" w:line="240" w:lineRule="auto"/>
              <w:rPr>
                <w:rFonts w:eastAsia="Calibri" w:cstheme="minorHAnsi"/>
                <w:sz w:val="21"/>
                <w:szCs w:val="21"/>
                <w:highlight w:val="yellow"/>
              </w:rPr>
            </w:pPr>
            <w:r w:rsidRPr="00F75DA3">
              <w:t xml:space="preserve">$5,473 </w:t>
            </w:r>
          </w:p>
        </w:tc>
      </w:tr>
      <w:tr w:rsidR="00883934" w:rsidRPr="00AD5785" w14:paraId="113798AD" w14:textId="77777777" w:rsidTr="00701698">
        <w:trPr>
          <w:cnfStyle w:val="000000100000" w:firstRow="0" w:lastRow="0" w:firstColumn="0" w:lastColumn="0" w:oddVBand="0" w:evenVBand="0" w:oddHBand="1" w:evenHBand="0" w:firstRowFirstColumn="0" w:firstRowLastColumn="0" w:lastRowFirstColumn="0" w:lastRowLastColumn="0"/>
        </w:trPr>
        <w:tc>
          <w:tcPr>
            <w:tcW w:w="2339" w:type="dxa"/>
          </w:tcPr>
          <w:p w14:paraId="7905F28A" w14:textId="77777777" w:rsidR="00883934" w:rsidRPr="00AD5785" w:rsidRDefault="00883934" w:rsidP="00883934">
            <w:pPr>
              <w:spacing w:before="0" w:line="240" w:lineRule="auto"/>
              <w:rPr>
                <w:rFonts w:eastAsia="Calibri" w:cstheme="minorHAnsi"/>
                <w:sz w:val="21"/>
                <w:szCs w:val="21"/>
              </w:rPr>
            </w:pPr>
            <w:r w:rsidRPr="00AD5785">
              <w:rPr>
                <w:rFonts w:eastAsia="Calibri" w:cstheme="minorHAnsi"/>
                <w:sz w:val="21"/>
                <w:szCs w:val="21"/>
              </w:rPr>
              <w:t>Jemena</w:t>
            </w:r>
          </w:p>
          <w:p w14:paraId="7436999B" w14:textId="77777777" w:rsidR="00883934" w:rsidRPr="00AD5785" w:rsidRDefault="00883934" w:rsidP="00883934">
            <w:pPr>
              <w:spacing w:before="0" w:line="240" w:lineRule="auto"/>
              <w:rPr>
                <w:rFonts w:eastAsia="Calibri" w:cstheme="minorHAnsi"/>
                <w:sz w:val="21"/>
                <w:szCs w:val="21"/>
              </w:rPr>
            </w:pPr>
          </w:p>
        </w:tc>
        <w:tc>
          <w:tcPr>
            <w:tcW w:w="3048" w:type="dxa"/>
          </w:tcPr>
          <w:p w14:paraId="6DAFCAB7" w14:textId="197D5609" w:rsidR="00883934" w:rsidRPr="00CC5954" w:rsidRDefault="00883934" w:rsidP="00883934">
            <w:pPr>
              <w:spacing w:before="0" w:line="240" w:lineRule="auto"/>
              <w:rPr>
                <w:rFonts w:eastAsia="Calibri" w:cstheme="minorHAnsi"/>
                <w:sz w:val="21"/>
                <w:szCs w:val="21"/>
                <w:highlight w:val="yellow"/>
              </w:rPr>
            </w:pPr>
            <w:r w:rsidRPr="00F75DA3">
              <w:t xml:space="preserve">$1,602 </w:t>
            </w:r>
          </w:p>
        </w:tc>
        <w:tc>
          <w:tcPr>
            <w:tcW w:w="3402" w:type="dxa"/>
          </w:tcPr>
          <w:p w14:paraId="0C00AE9E" w14:textId="3C8D6091" w:rsidR="00883934" w:rsidRPr="00CC5954" w:rsidRDefault="00883934" w:rsidP="00883934">
            <w:pPr>
              <w:spacing w:before="0" w:line="240" w:lineRule="auto"/>
              <w:rPr>
                <w:rFonts w:eastAsia="Calibri" w:cstheme="minorHAnsi"/>
                <w:sz w:val="21"/>
                <w:szCs w:val="21"/>
                <w:highlight w:val="yellow"/>
              </w:rPr>
            </w:pPr>
            <w:r w:rsidRPr="00F75DA3">
              <w:t xml:space="preserve">$6,257 </w:t>
            </w:r>
          </w:p>
        </w:tc>
      </w:tr>
      <w:tr w:rsidR="00883934" w:rsidRPr="00AD5785" w14:paraId="56756822" w14:textId="77777777" w:rsidTr="00701698">
        <w:trPr>
          <w:cnfStyle w:val="000000010000" w:firstRow="0" w:lastRow="0" w:firstColumn="0" w:lastColumn="0" w:oddVBand="0" w:evenVBand="0" w:oddHBand="0" w:evenHBand="1" w:firstRowFirstColumn="0" w:firstRowLastColumn="0" w:lastRowFirstColumn="0" w:lastRowLastColumn="0"/>
        </w:trPr>
        <w:tc>
          <w:tcPr>
            <w:tcW w:w="2339" w:type="dxa"/>
          </w:tcPr>
          <w:p w14:paraId="1CE8DDF2" w14:textId="77777777" w:rsidR="00883934" w:rsidRPr="00AD5785" w:rsidRDefault="00883934" w:rsidP="00883934">
            <w:pPr>
              <w:spacing w:before="0" w:line="240" w:lineRule="auto"/>
              <w:rPr>
                <w:rFonts w:eastAsia="Calibri" w:cstheme="minorHAnsi"/>
                <w:sz w:val="21"/>
                <w:szCs w:val="21"/>
              </w:rPr>
            </w:pPr>
            <w:r w:rsidRPr="00AD5785">
              <w:rPr>
                <w:rFonts w:eastAsia="Calibri" w:cstheme="minorHAnsi"/>
                <w:sz w:val="21"/>
                <w:szCs w:val="21"/>
              </w:rPr>
              <w:t>Powercor</w:t>
            </w:r>
          </w:p>
          <w:p w14:paraId="2C975020" w14:textId="77777777" w:rsidR="00883934" w:rsidRPr="00AD5785" w:rsidRDefault="00883934" w:rsidP="00883934">
            <w:pPr>
              <w:spacing w:before="0" w:line="240" w:lineRule="auto"/>
              <w:rPr>
                <w:rFonts w:eastAsia="Calibri" w:cstheme="minorHAnsi"/>
                <w:sz w:val="21"/>
                <w:szCs w:val="21"/>
              </w:rPr>
            </w:pPr>
          </w:p>
        </w:tc>
        <w:tc>
          <w:tcPr>
            <w:tcW w:w="3048" w:type="dxa"/>
          </w:tcPr>
          <w:p w14:paraId="43E9B2D7" w14:textId="21669633" w:rsidR="00883934" w:rsidRPr="00CC5954" w:rsidRDefault="00883934" w:rsidP="00883934">
            <w:pPr>
              <w:spacing w:before="0" w:line="240" w:lineRule="auto"/>
              <w:rPr>
                <w:rFonts w:eastAsia="Calibri" w:cstheme="minorHAnsi"/>
                <w:sz w:val="21"/>
                <w:szCs w:val="21"/>
                <w:highlight w:val="yellow"/>
              </w:rPr>
            </w:pPr>
            <w:r w:rsidRPr="00F75DA3">
              <w:t xml:space="preserve">$1,674 </w:t>
            </w:r>
          </w:p>
        </w:tc>
        <w:tc>
          <w:tcPr>
            <w:tcW w:w="3402" w:type="dxa"/>
          </w:tcPr>
          <w:p w14:paraId="777ECC6D" w14:textId="59151BA7" w:rsidR="00883934" w:rsidRPr="00CC5954" w:rsidRDefault="00883934" w:rsidP="00883934">
            <w:pPr>
              <w:spacing w:before="0" w:line="240" w:lineRule="auto"/>
              <w:rPr>
                <w:rFonts w:eastAsia="Calibri" w:cstheme="minorHAnsi"/>
                <w:sz w:val="21"/>
                <w:szCs w:val="21"/>
                <w:highlight w:val="yellow"/>
              </w:rPr>
            </w:pPr>
            <w:r w:rsidRPr="00F75DA3">
              <w:t xml:space="preserve">$6,285 </w:t>
            </w:r>
          </w:p>
        </w:tc>
      </w:tr>
      <w:tr w:rsidR="00883934" w:rsidRPr="002F1EEA" w14:paraId="7C45A760" w14:textId="77777777" w:rsidTr="00701698">
        <w:trPr>
          <w:cnfStyle w:val="000000100000" w:firstRow="0" w:lastRow="0" w:firstColumn="0" w:lastColumn="0" w:oddVBand="0" w:evenVBand="0" w:oddHBand="1" w:evenHBand="0" w:firstRowFirstColumn="0" w:firstRowLastColumn="0" w:lastRowFirstColumn="0" w:lastRowLastColumn="0"/>
        </w:trPr>
        <w:tc>
          <w:tcPr>
            <w:tcW w:w="2339" w:type="dxa"/>
          </w:tcPr>
          <w:p w14:paraId="7128C7FA" w14:textId="77777777" w:rsidR="00883934" w:rsidRPr="00AD5785" w:rsidRDefault="00883934" w:rsidP="00883934">
            <w:pPr>
              <w:spacing w:before="0" w:line="240" w:lineRule="auto"/>
              <w:rPr>
                <w:rFonts w:eastAsia="Calibri" w:cstheme="minorHAnsi"/>
                <w:sz w:val="21"/>
                <w:szCs w:val="21"/>
              </w:rPr>
            </w:pPr>
            <w:r w:rsidRPr="00AD5785">
              <w:rPr>
                <w:rFonts w:eastAsia="Calibri" w:cstheme="minorHAnsi"/>
                <w:sz w:val="21"/>
                <w:szCs w:val="21"/>
              </w:rPr>
              <w:t>United Energy</w:t>
            </w:r>
          </w:p>
          <w:p w14:paraId="448CA3AD" w14:textId="77777777" w:rsidR="00883934" w:rsidRPr="00AD5785" w:rsidRDefault="00883934" w:rsidP="00883934">
            <w:pPr>
              <w:spacing w:before="0" w:line="240" w:lineRule="auto"/>
              <w:rPr>
                <w:rFonts w:eastAsia="Calibri" w:cstheme="minorHAnsi"/>
                <w:sz w:val="21"/>
                <w:szCs w:val="21"/>
              </w:rPr>
            </w:pPr>
          </w:p>
        </w:tc>
        <w:tc>
          <w:tcPr>
            <w:tcW w:w="3048" w:type="dxa"/>
          </w:tcPr>
          <w:p w14:paraId="62700660" w14:textId="4316DABA" w:rsidR="00883934" w:rsidRPr="00CC5954" w:rsidRDefault="00883934" w:rsidP="00883934">
            <w:pPr>
              <w:spacing w:before="0" w:line="240" w:lineRule="auto"/>
              <w:rPr>
                <w:rFonts w:eastAsia="Calibri" w:cstheme="minorHAnsi"/>
                <w:sz w:val="21"/>
                <w:szCs w:val="21"/>
                <w:highlight w:val="yellow"/>
              </w:rPr>
            </w:pPr>
            <w:r w:rsidRPr="00F75DA3">
              <w:t xml:space="preserve">$1,526 </w:t>
            </w:r>
          </w:p>
        </w:tc>
        <w:tc>
          <w:tcPr>
            <w:tcW w:w="3402" w:type="dxa"/>
          </w:tcPr>
          <w:p w14:paraId="7EB18B9B" w14:textId="347AC140" w:rsidR="00883934" w:rsidRPr="00CC5954" w:rsidRDefault="00883934" w:rsidP="00883934">
            <w:pPr>
              <w:spacing w:before="0" w:line="240" w:lineRule="auto"/>
              <w:rPr>
                <w:rFonts w:eastAsia="Calibri" w:cstheme="minorHAnsi"/>
                <w:sz w:val="21"/>
                <w:szCs w:val="21"/>
                <w:highlight w:val="yellow"/>
              </w:rPr>
            </w:pPr>
            <w:r w:rsidRPr="00F75DA3">
              <w:t xml:space="preserve">$5,862 </w:t>
            </w:r>
          </w:p>
        </w:tc>
      </w:tr>
    </w:tbl>
    <w:p w14:paraId="707F74C1" w14:textId="77777777" w:rsidR="006C51BE" w:rsidRDefault="006C51BE" w:rsidP="0022721B">
      <w:pPr>
        <w:rPr>
          <w:b/>
          <w:bCs/>
          <w:u w:val="single"/>
        </w:rPr>
      </w:pPr>
    </w:p>
    <w:p w14:paraId="173307A3" w14:textId="660532EC" w:rsidR="00CC5954" w:rsidRPr="006C51BE" w:rsidRDefault="00CC5954" w:rsidP="0022721B">
      <w:pPr>
        <w:rPr>
          <w:b/>
          <w:bCs/>
          <w:u w:val="single"/>
        </w:rPr>
      </w:pPr>
      <w:r w:rsidRPr="006C51BE">
        <w:rPr>
          <w:b/>
          <w:bCs/>
          <w:u w:val="single"/>
        </w:rPr>
        <w:t xml:space="preserve">Notes to Schedule 5:  </w:t>
      </w:r>
    </w:p>
    <w:p w14:paraId="1796ABDA" w14:textId="77777777" w:rsidR="00CC5954" w:rsidRPr="00FC2AC4" w:rsidRDefault="00CC5954" w:rsidP="00CC5954">
      <w:pPr>
        <w:pStyle w:val="ListNumber3"/>
        <w:numPr>
          <w:ilvl w:val="6"/>
          <w:numId w:val="35"/>
        </w:numPr>
        <w:ind w:left="426" w:hanging="426"/>
        <w:rPr>
          <w:b/>
        </w:rPr>
      </w:pPr>
      <w:r w:rsidRPr="00FC2AC4">
        <w:rPr>
          <w:b/>
        </w:rPr>
        <w:t>For domestic customers</w:t>
      </w:r>
    </w:p>
    <w:p w14:paraId="0A4B9A72" w14:textId="7B5A7EEA" w:rsidR="00CC5954" w:rsidRDefault="00CC5954" w:rsidP="0022721B">
      <w:r w:rsidRPr="00271E7A">
        <w:rPr>
          <w:lang w:val="en-US"/>
        </w:rPr>
        <w:t xml:space="preserve">The peak </w:t>
      </w:r>
      <w:r>
        <w:rPr>
          <w:lang w:val="en-US"/>
        </w:rPr>
        <w:t>and</w:t>
      </w:r>
      <w:r w:rsidRPr="00271E7A">
        <w:rPr>
          <w:lang w:val="en-US"/>
        </w:rPr>
        <w:t xml:space="preserve"> off</w:t>
      </w:r>
      <w:r w:rsidR="006E3E6D">
        <w:rPr>
          <w:lang w:val="en-US"/>
        </w:rPr>
        <w:t>-</w:t>
      </w:r>
      <w:r w:rsidRPr="00271E7A">
        <w:rPr>
          <w:lang w:val="en-US"/>
        </w:rPr>
        <w:t>peak</w:t>
      </w:r>
      <w:r>
        <w:rPr>
          <w:lang w:val="en-US"/>
        </w:rPr>
        <w:t xml:space="preserve"> electricity supply periods and the</w:t>
      </w:r>
      <w:r w:rsidRPr="00271E7A">
        <w:rPr>
          <w:lang w:val="en-US"/>
        </w:rPr>
        <w:t xml:space="preserve"> </w:t>
      </w:r>
      <w:r>
        <w:t>representative profile of customer usage of electricity within these periods that have been used by the commission to determine the above V</w:t>
      </w:r>
      <w:r w:rsidR="004E4ADD">
        <w:t>D</w:t>
      </w:r>
      <w:r>
        <w:t xml:space="preserve">O compliant maximum annual bill amounts for domestic customers is the following (all times are in local time): </w:t>
      </w:r>
    </w:p>
    <w:tbl>
      <w:tblPr>
        <w:tblStyle w:val="TableGrid"/>
        <w:tblW w:w="9072" w:type="dxa"/>
        <w:tblLayout w:type="fixed"/>
        <w:tblLook w:val="04A0" w:firstRow="1" w:lastRow="0" w:firstColumn="1" w:lastColumn="0" w:noHBand="0" w:noVBand="1"/>
      </w:tblPr>
      <w:tblGrid>
        <w:gridCol w:w="3855"/>
        <w:gridCol w:w="1164"/>
        <w:gridCol w:w="1785"/>
        <w:gridCol w:w="284"/>
        <w:gridCol w:w="1984"/>
      </w:tblGrid>
      <w:tr w:rsidR="00CC5954" w:rsidRPr="005C42B3" w14:paraId="044929D1" w14:textId="77777777" w:rsidTr="00701698">
        <w:trPr>
          <w:cnfStyle w:val="100000000000" w:firstRow="1" w:lastRow="0" w:firstColumn="0" w:lastColumn="0" w:oddVBand="0" w:evenVBand="0" w:oddHBand="0" w:evenHBand="0" w:firstRowFirstColumn="0" w:firstRowLastColumn="0" w:lastRowFirstColumn="0" w:lastRowLastColumn="0"/>
          <w:trHeight w:val="289"/>
        </w:trPr>
        <w:tc>
          <w:tcPr>
            <w:tcW w:w="3855" w:type="dxa"/>
          </w:tcPr>
          <w:p w14:paraId="1170CF80" w14:textId="77777777" w:rsidR="00CC5954" w:rsidRPr="00032075" w:rsidRDefault="00CC5954" w:rsidP="00701698">
            <w:pPr>
              <w:spacing w:before="0" w:line="240" w:lineRule="auto"/>
              <w:rPr>
                <w:rFonts w:eastAsiaTheme="minorEastAsia" w:cstheme="minorHAnsi"/>
              </w:rPr>
            </w:pPr>
            <w:r>
              <w:t>Compliant maximum annual bill (for all distribution zones) – domestic customers</w:t>
            </w:r>
          </w:p>
        </w:tc>
        <w:tc>
          <w:tcPr>
            <w:tcW w:w="1164" w:type="dxa"/>
          </w:tcPr>
          <w:p w14:paraId="2FD50AF0" w14:textId="77777777" w:rsidR="00CC5954" w:rsidRPr="00032075" w:rsidRDefault="00CC5954" w:rsidP="00701698">
            <w:pPr>
              <w:spacing w:before="0" w:line="240" w:lineRule="auto"/>
              <w:jc w:val="center"/>
              <w:rPr>
                <w:rFonts w:eastAsiaTheme="minorEastAsia" w:cstheme="minorHAnsi"/>
                <w:b w:val="0"/>
              </w:rPr>
            </w:pPr>
          </w:p>
        </w:tc>
        <w:tc>
          <w:tcPr>
            <w:tcW w:w="4053" w:type="dxa"/>
            <w:gridSpan w:val="3"/>
          </w:tcPr>
          <w:p w14:paraId="1B115DD3" w14:textId="77777777" w:rsidR="00CC5954" w:rsidRPr="00032075" w:rsidRDefault="00CC5954" w:rsidP="00701698">
            <w:pPr>
              <w:spacing w:before="0" w:line="240" w:lineRule="auto"/>
              <w:ind w:left="-75"/>
              <w:jc w:val="center"/>
              <w:rPr>
                <w:rFonts w:eastAsiaTheme="minorEastAsia" w:cstheme="minorHAnsi"/>
              </w:rPr>
            </w:pPr>
            <w:r w:rsidRPr="00FC5C00">
              <w:rPr>
                <w:bCs/>
              </w:rPr>
              <w:t xml:space="preserve">Representative profile of customer usage </w:t>
            </w:r>
          </w:p>
        </w:tc>
      </w:tr>
      <w:tr w:rsidR="00CC5954" w:rsidRPr="005C42B3" w14:paraId="05009058" w14:textId="77777777" w:rsidTr="00701698">
        <w:trPr>
          <w:cnfStyle w:val="000000100000" w:firstRow="0" w:lastRow="0" w:firstColumn="0" w:lastColumn="0" w:oddVBand="0" w:evenVBand="0" w:oddHBand="1" w:evenHBand="0" w:firstRowFirstColumn="0" w:firstRowLastColumn="0" w:lastRowFirstColumn="0" w:lastRowLastColumn="0"/>
          <w:trHeight w:val="289"/>
        </w:trPr>
        <w:tc>
          <w:tcPr>
            <w:tcW w:w="3855" w:type="dxa"/>
          </w:tcPr>
          <w:p w14:paraId="05D5F951" w14:textId="77777777" w:rsidR="00CC5954" w:rsidRPr="00032075" w:rsidRDefault="00CC5954" w:rsidP="00701698">
            <w:pPr>
              <w:spacing w:before="0" w:line="240" w:lineRule="auto"/>
              <w:rPr>
                <w:rFonts w:eastAsiaTheme="minorEastAsia" w:cstheme="minorHAnsi"/>
                <w:b/>
              </w:rPr>
            </w:pPr>
          </w:p>
        </w:tc>
        <w:tc>
          <w:tcPr>
            <w:tcW w:w="1164" w:type="dxa"/>
          </w:tcPr>
          <w:p w14:paraId="7CCA495A" w14:textId="77777777" w:rsidR="00CC5954" w:rsidRPr="00032075" w:rsidRDefault="00CC5954" w:rsidP="00701698">
            <w:pPr>
              <w:spacing w:before="0" w:line="240" w:lineRule="auto"/>
              <w:jc w:val="center"/>
              <w:rPr>
                <w:rFonts w:eastAsiaTheme="minorEastAsia" w:cstheme="minorHAnsi"/>
                <w:b/>
              </w:rPr>
            </w:pPr>
          </w:p>
        </w:tc>
        <w:tc>
          <w:tcPr>
            <w:tcW w:w="1785" w:type="dxa"/>
          </w:tcPr>
          <w:p w14:paraId="776CF2FC" w14:textId="77777777" w:rsidR="00CC5954" w:rsidRPr="00BD38A8" w:rsidRDefault="00CC5954" w:rsidP="00701698">
            <w:pPr>
              <w:spacing w:before="0" w:line="240" w:lineRule="auto"/>
              <w:jc w:val="center"/>
              <w:rPr>
                <w:rFonts w:eastAsiaTheme="minorEastAsia" w:cstheme="minorHAnsi"/>
                <w:b/>
              </w:rPr>
            </w:pPr>
            <w:r w:rsidRPr="00BD38A8">
              <w:rPr>
                <w:rFonts w:eastAsiaTheme="minorEastAsia" w:cstheme="minorHAnsi"/>
                <w:b/>
              </w:rPr>
              <w:t>Peak period</w:t>
            </w:r>
          </w:p>
          <w:p w14:paraId="29B29FF7" w14:textId="77777777" w:rsidR="00CC5954" w:rsidRPr="00BD38A8" w:rsidRDefault="00CC5954" w:rsidP="00701698">
            <w:pPr>
              <w:spacing w:before="0" w:line="240" w:lineRule="auto"/>
              <w:jc w:val="center"/>
              <w:rPr>
                <w:rFonts w:eastAsiaTheme="minorEastAsia" w:cstheme="minorHAnsi"/>
                <w:b/>
              </w:rPr>
            </w:pPr>
            <w:r w:rsidRPr="00BD38A8">
              <w:rPr>
                <w:rFonts w:eastAsiaTheme="minorEastAsia" w:cstheme="minorHAnsi"/>
              </w:rPr>
              <w:t>(3pm - 9pm everyday)</w:t>
            </w:r>
          </w:p>
        </w:tc>
        <w:tc>
          <w:tcPr>
            <w:tcW w:w="284" w:type="dxa"/>
          </w:tcPr>
          <w:p w14:paraId="44AF884B" w14:textId="77777777" w:rsidR="00CC5954" w:rsidRPr="00BD38A8" w:rsidRDefault="00CC5954" w:rsidP="00701698">
            <w:pPr>
              <w:spacing w:before="0" w:line="240" w:lineRule="auto"/>
              <w:jc w:val="center"/>
              <w:rPr>
                <w:rFonts w:eastAsiaTheme="minorEastAsia" w:cstheme="minorHAnsi"/>
                <w:bCs/>
              </w:rPr>
            </w:pPr>
          </w:p>
        </w:tc>
        <w:tc>
          <w:tcPr>
            <w:tcW w:w="1984" w:type="dxa"/>
          </w:tcPr>
          <w:p w14:paraId="1D0C7C9D" w14:textId="453F05A5" w:rsidR="00CC5954" w:rsidRPr="00BD38A8" w:rsidRDefault="00CC5954" w:rsidP="00701698">
            <w:pPr>
              <w:spacing w:before="0" w:line="240" w:lineRule="auto"/>
              <w:ind w:left="-75"/>
              <w:jc w:val="center"/>
              <w:rPr>
                <w:rFonts w:eastAsiaTheme="minorEastAsia" w:cstheme="minorHAnsi"/>
                <w:b/>
              </w:rPr>
            </w:pPr>
            <w:r w:rsidRPr="00BD38A8">
              <w:rPr>
                <w:rFonts w:eastAsiaTheme="minorEastAsia" w:cstheme="minorHAnsi"/>
                <w:b/>
              </w:rPr>
              <w:t>Off</w:t>
            </w:r>
            <w:r w:rsidR="006E3E6D">
              <w:rPr>
                <w:rFonts w:eastAsiaTheme="minorEastAsia" w:cstheme="minorHAnsi"/>
                <w:b/>
              </w:rPr>
              <w:t>-</w:t>
            </w:r>
            <w:r w:rsidRPr="00BD38A8">
              <w:rPr>
                <w:rFonts w:eastAsiaTheme="minorEastAsia" w:cstheme="minorHAnsi"/>
                <w:b/>
              </w:rPr>
              <w:t>peak</w:t>
            </w:r>
          </w:p>
          <w:p w14:paraId="031564F0" w14:textId="77777777" w:rsidR="00CC5954" w:rsidRPr="00BD38A8" w:rsidRDefault="00CC5954" w:rsidP="00701698">
            <w:pPr>
              <w:spacing w:before="0" w:line="240" w:lineRule="auto"/>
              <w:ind w:left="-75"/>
              <w:jc w:val="center"/>
              <w:rPr>
                <w:rFonts w:eastAsiaTheme="minorEastAsia" w:cstheme="minorHAnsi"/>
                <w:bCs/>
              </w:rPr>
            </w:pPr>
            <w:r w:rsidRPr="00BD38A8">
              <w:rPr>
                <w:rFonts w:eastAsiaTheme="minorEastAsia" w:cstheme="minorHAnsi"/>
                <w:bCs/>
              </w:rPr>
              <w:t>(All other times)</w:t>
            </w:r>
          </w:p>
          <w:p w14:paraId="66CDECC1" w14:textId="77777777" w:rsidR="00CC5954" w:rsidRPr="00BD38A8" w:rsidRDefault="00CC5954" w:rsidP="00701698">
            <w:pPr>
              <w:spacing w:before="0" w:line="240" w:lineRule="auto"/>
              <w:ind w:left="-75"/>
              <w:jc w:val="center"/>
              <w:rPr>
                <w:rFonts w:eastAsiaTheme="minorEastAsia" w:cstheme="minorHAnsi"/>
                <w:bCs/>
              </w:rPr>
            </w:pPr>
          </w:p>
        </w:tc>
      </w:tr>
      <w:tr w:rsidR="00CC5954" w:rsidRPr="005C42B3" w14:paraId="66DD4F70" w14:textId="77777777" w:rsidTr="00701698">
        <w:trPr>
          <w:cnfStyle w:val="000000010000" w:firstRow="0" w:lastRow="0" w:firstColumn="0" w:lastColumn="0" w:oddVBand="0" w:evenVBand="0" w:oddHBand="0" w:evenHBand="1" w:firstRowFirstColumn="0" w:firstRowLastColumn="0" w:lastRowFirstColumn="0" w:lastRowLastColumn="0"/>
        </w:trPr>
        <w:tc>
          <w:tcPr>
            <w:tcW w:w="3855" w:type="dxa"/>
          </w:tcPr>
          <w:p w14:paraId="01AE3D7D" w14:textId="77777777" w:rsidR="00CC5954" w:rsidRDefault="00CC5954" w:rsidP="00701698">
            <w:pPr>
              <w:spacing w:before="0" w:line="240" w:lineRule="auto"/>
              <w:rPr>
                <w:rFonts w:eastAsiaTheme="minorEastAsia" w:cstheme="minorHAnsi"/>
              </w:rPr>
            </w:pPr>
          </w:p>
        </w:tc>
        <w:tc>
          <w:tcPr>
            <w:tcW w:w="1164" w:type="dxa"/>
            <w:vAlign w:val="center"/>
          </w:tcPr>
          <w:p w14:paraId="14799CC2" w14:textId="77777777" w:rsidR="00CC5954" w:rsidRPr="00032075" w:rsidRDefault="00CC5954" w:rsidP="00701698">
            <w:pPr>
              <w:spacing w:before="0" w:line="240" w:lineRule="auto"/>
              <w:jc w:val="center"/>
              <w:rPr>
                <w:rFonts w:eastAsiaTheme="minorEastAsia" w:cstheme="minorHAnsi"/>
              </w:rPr>
            </w:pPr>
          </w:p>
        </w:tc>
        <w:tc>
          <w:tcPr>
            <w:tcW w:w="1785" w:type="dxa"/>
            <w:vAlign w:val="center"/>
          </w:tcPr>
          <w:p w14:paraId="187F88BC" w14:textId="77777777" w:rsidR="00CC5954" w:rsidRPr="00BD38A8" w:rsidRDefault="00CC5954" w:rsidP="00701698">
            <w:pPr>
              <w:spacing w:before="0" w:line="240" w:lineRule="auto"/>
              <w:jc w:val="center"/>
              <w:rPr>
                <w:rFonts w:eastAsiaTheme="minorEastAsia" w:cstheme="minorHAnsi"/>
              </w:rPr>
            </w:pPr>
            <w:r w:rsidRPr="00BD38A8">
              <w:rPr>
                <w:rFonts w:eastAsiaTheme="minorEastAsia" w:cstheme="minorHAnsi"/>
              </w:rPr>
              <w:t>0.33</w:t>
            </w:r>
          </w:p>
        </w:tc>
        <w:tc>
          <w:tcPr>
            <w:tcW w:w="284" w:type="dxa"/>
            <w:vAlign w:val="center"/>
          </w:tcPr>
          <w:p w14:paraId="6FAD5EFF" w14:textId="77777777" w:rsidR="00CC5954" w:rsidRPr="00BD38A8" w:rsidRDefault="00CC5954" w:rsidP="00701698">
            <w:pPr>
              <w:spacing w:before="0" w:line="240" w:lineRule="auto"/>
              <w:jc w:val="center"/>
              <w:rPr>
                <w:rFonts w:eastAsiaTheme="minorEastAsia" w:cstheme="minorHAnsi"/>
              </w:rPr>
            </w:pPr>
          </w:p>
        </w:tc>
        <w:tc>
          <w:tcPr>
            <w:tcW w:w="1984" w:type="dxa"/>
            <w:vAlign w:val="center"/>
          </w:tcPr>
          <w:p w14:paraId="69226082" w14:textId="4AF5DBD5" w:rsidR="00CC5954" w:rsidRPr="00BD38A8" w:rsidRDefault="00CC5954" w:rsidP="00701698">
            <w:pPr>
              <w:spacing w:before="0" w:line="240" w:lineRule="auto"/>
              <w:jc w:val="center"/>
              <w:rPr>
                <w:rFonts w:eastAsiaTheme="minorEastAsia" w:cstheme="minorHAnsi"/>
              </w:rPr>
            </w:pPr>
            <w:r w:rsidRPr="00BD38A8">
              <w:rPr>
                <w:rFonts w:eastAsiaTheme="minorEastAsia" w:cstheme="minorHAnsi"/>
              </w:rPr>
              <w:t>0.67</w:t>
            </w:r>
          </w:p>
        </w:tc>
      </w:tr>
    </w:tbl>
    <w:p w14:paraId="533D7153" w14:textId="77777777" w:rsidR="00CC5954" w:rsidRDefault="00CC5954" w:rsidP="00CC5954">
      <w:bookmarkStart w:id="28" w:name="_Toc480988885"/>
      <w:bookmarkStart w:id="29" w:name="_Toc481138196"/>
      <w:bookmarkStart w:id="30" w:name="_Toc481138404"/>
    </w:p>
    <w:p w14:paraId="77315DBB" w14:textId="77777777" w:rsidR="00CC5954" w:rsidRPr="00A24279" w:rsidRDefault="00CC5954" w:rsidP="00CC5954">
      <w:pPr>
        <w:pStyle w:val="ListNumber3"/>
        <w:numPr>
          <w:ilvl w:val="6"/>
          <w:numId w:val="35"/>
        </w:numPr>
        <w:ind w:left="426" w:hanging="426"/>
        <w:rPr>
          <w:b/>
        </w:rPr>
      </w:pPr>
      <w:r>
        <w:rPr>
          <w:b/>
        </w:rPr>
        <w:t>For s</w:t>
      </w:r>
      <w:r w:rsidRPr="00A24279">
        <w:rPr>
          <w:b/>
        </w:rPr>
        <w:t>mall business customers</w:t>
      </w:r>
    </w:p>
    <w:p w14:paraId="3BE5D44E" w14:textId="2922FD1C" w:rsidR="00CC5954" w:rsidRPr="001B2B47" w:rsidRDefault="00CC5954" w:rsidP="0022721B">
      <w:pPr>
        <w:rPr>
          <w:lang w:val="en-US"/>
        </w:rPr>
      </w:pPr>
      <w:r w:rsidRPr="001B2B47">
        <w:rPr>
          <w:lang w:val="en-US"/>
        </w:rPr>
        <w:t xml:space="preserve">The </w:t>
      </w:r>
      <w:r>
        <w:rPr>
          <w:lang w:val="en-US"/>
        </w:rPr>
        <w:t>peak and off</w:t>
      </w:r>
      <w:r w:rsidR="006E3E6D">
        <w:rPr>
          <w:lang w:val="en-US"/>
        </w:rPr>
        <w:t>-</w:t>
      </w:r>
      <w:r>
        <w:rPr>
          <w:lang w:val="en-US"/>
        </w:rPr>
        <w:t xml:space="preserve">peak electricity supply periods and the </w:t>
      </w:r>
      <w:r w:rsidRPr="001B2B47">
        <w:rPr>
          <w:lang w:val="en-US"/>
        </w:rPr>
        <w:t xml:space="preserve">representative profile of customer usage </w:t>
      </w:r>
      <w:r>
        <w:rPr>
          <w:lang w:val="en-US"/>
        </w:rPr>
        <w:t xml:space="preserve">of electricity within these periods </w:t>
      </w:r>
      <w:r w:rsidRPr="001B2B47">
        <w:rPr>
          <w:lang w:val="en-US"/>
        </w:rPr>
        <w:t>that ha</w:t>
      </w:r>
      <w:r>
        <w:rPr>
          <w:lang w:val="en-US"/>
        </w:rPr>
        <w:t>ve</w:t>
      </w:r>
      <w:r w:rsidRPr="001B2B47">
        <w:rPr>
          <w:lang w:val="en-US"/>
        </w:rPr>
        <w:t xml:space="preserve"> been used by the commission to determine the above </w:t>
      </w:r>
      <w:r w:rsidRPr="00147105">
        <w:rPr>
          <w:lang w:val="en-US"/>
        </w:rPr>
        <w:t>VDO compliant maximum annual bill amount</w:t>
      </w:r>
      <w:r>
        <w:rPr>
          <w:lang w:val="en-US"/>
        </w:rPr>
        <w:t>s</w:t>
      </w:r>
      <w:r w:rsidRPr="00147105">
        <w:rPr>
          <w:lang w:val="en-US"/>
        </w:rPr>
        <w:t xml:space="preserve"> for </w:t>
      </w:r>
      <w:r>
        <w:rPr>
          <w:lang w:val="en-US"/>
        </w:rPr>
        <w:t xml:space="preserve">small business </w:t>
      </w:r>
      <w:r w:rsidRPr="00147105">
        <w:rPr>
          <w:lang w:val="en-US"/>
        </w:rPr>
        <w:t xml:space="preserve">customers </w:t>
      </w:r>
      <w:r>
        <w:rPr>
          <w:lang w:val="en-US"/>
        </w:rPr>
        <w:t xml:space="preserve">is the following </w:t>
      </w:r>
      <w:r>
        <w:t>(all times are in local time)</w:t>
      </w:r>
      <w:r>
        <w:rPr>
          <w:lang w:val="en-US"/>
        </w:rPr>
        <w:t xml:space="preserve">: </w:t>
      </w:r>
      <w:r w:rsidRPr="001B2B47">
        <w:rPr>
          <w:lang w:val="en-US"/>
        </w:rPr>
        <w:t xml:space="preserve"> </w:t>
      </w:r>
    </w:p>
    <w:tbl>
      <w:tblPr>
        <w:tblW w:w="9072" w:type="dxa"/>
        <w:tblInd w:w="90" w:type="dxa"/>
        <w:tblCellMar>
          <w:left w:w="0" w:type="dxa"/>
          <w:right w:w="0" w:type="dxa"/>
        </w:tblCellMar>
        <w:tblLook w:val="04A0" w:firstRow="1" w:lastRow="0" w:firstColumn="1" w:lastColumn="0" w:noHBand="0" w:noVBand="1"/>
      </w:tblPr>
      <w:tblGrid>
        <w:gridCol w:w="3841"/>
        <w:gridCol w:w="1165"/>
        <w:gridCol w:w="1790"/>
        <w:gridCol w:w="293"/>
        <w:gridCol w:w="1983"/>
      </w:tblGrid>
      <w:tr w:rsidR="00CC5954" w:rsidRPr="001B2B47" w14:paraId="04894B8E" w14:textId="77777777" w:rsidTr="00701698">
        <w:trPr>
          <w:trHeight w:val="289"/>
        </w:trPr>
        <w:tc>
          <w:tcPr>
            <w:tcW w:w="3841" w:type="dxa"/>
            <w:tcBorders>
              <w:bottom w:val="single" w:sz="8" w:space="0" w:color="FFFFFF"/>
            </w:tcBorders>
            <w:shd w:val="clear" w:color="auto" w:fill="4986A0"/>
            <w:tcMar>
              <w:top w:w="90" w:type="dxa"/>
              <w:left w:w="90" w:type="dxa"/>
              <w:bottom w:w="85" w:type="dxa"/>
              <w:right w:w="62" w:type="dxa"/>
            </w:tcMar>
            <w:hideMark/>
          </w:tcPr>
          <w:p w14:paraId="7B0E9A76" w14:textId="77777777" w:rsidR="00CC5954" w:rsidRPr="001B2B47" w:rsidRDefault="00CC5954" w:rsidP="00701698">
            <w:pPr>
              <w:spacing w:before="0" w:after="0" w:line="240" w:lineRule="auto"/>
              <w:rPr>
                <w:rFonts w:ascii="Arial" w:eastAsia="Arial" w:hAnsi="Arial" w:cs="Arial"/>
                <w:color w:val="000000"/>
                <w:lang w:val="en-US"/>
              </w:rPr>
            </w:pPr>
            <w:r>
              <w:rPr>
                <w:rFonts w:ascii="Arial" w:eastAsia="Arial" w:hAnsi="Arial" w:cs="Arial"/>
                <w:b/>
                <w:bCs/>
                <w:color w:val="FFFFFF"/>
                <w:lang w:val="en-US"/>
              </w:rPr>
              <w:t xml:space="preserve">Compliant maximum annual bill </w:t>
            </w:r>
            <w:r w:rsidRPr="001B2B47">
              <w:rPr>
                <w:rFonts w:ascii="Arial" w:eastAsia="Arial" w:hAnsi="Arial" w:cs="Arial"/>
                <w:b/>
                <w:bCs/>
                <w:color w:val="FFFFFF"/>
                <w:lang w:val="en-US"/>
              </w:rPr>
              <w:t>(for all distribution zones) – small business customers</w:t>
            </w:r>
          </w:p>
        </w:tc>
        <w:tc>
          <w:tcPr>
            <w:tcW w:w="1165" w:type="dxa"/>
            <w:tcBorders>
              <w:bottom w:val="single" w:sz="8" w:space="0" w:color="FFFFFF"/>
            </w:tcBorders>
            <w:shd w:val="clear" w:color="auto" w:fill="4986A0"/>
            <w:tcMar>
              <w:top w:w="90" w:type="dxa"/>
              <w:left w:w="90" w:type="dxa"/>
              <w:bottom w:w="85" w:type="dxa"/>
              <w:right w:w="62" w:type="dxa"/>
            </w:tcMar>
          </w:tcPr>
          <w:p w14:paraId="7A4890CF" w14:textId="77777777" w:rsidR="00CC5954" w:rsidRPr="001B2B47" w:rsidRDefault="00CC5954" w:rsidP="00701698">
            <w:pPr>
              <w:spacing w:before="0" w:after="0" w:line="240" w:lineRule="auto"/>
              <w:jc w:val="center"/>
              <w:rPr>
                <w:rFonts w:ascii="Arial" w:eastAsia="Arial" w:hAnsi="Arial" w:cs="Arial"/>
                <w:color w:val="000000"/>
                <w:lang w:val="en-US"/>
              </w:rPr>
            </w:pPr>
          </w:p>
        </w:tc>
        <w:tc>
          <w:tcPr>
            <w:tcW w:w="4066" w:type="dxa"/>
            <w:gridSpan w:val="3"/>
            <w:tcBorders>
              <w:bottom w:val="single" w:sz="8" w:space="0" w:color="FFFFFF"/>
            </w:tcBorders>
            <w:shd w:val="clear" w:color="auto" w:fill="4986A0"/>
            <w:tcMar>
              <w:top w:w="90" w:type="dxa"/>
              <w:left w:w="90" w:type="dxa"/>
              <w:bottom w:w="85" w:type="dxa"/>
              <w:right w:w="62" w:type="dxa"/>
            </w:tcMar>
            <w:hideMark/>
          </w:tcPr>
          <w:p w14:paraId="4CE83D6D" w14:textId="77777777" w:rsidR="00CC5954" w:rsidRPr="001B2B47" w:rsidRDefault="00CC5954" w:rsidP="00701698">
            <w:pPr>
              <w:spacing w:before="0" w:after="0" w:line="240" w:lineRule="auto"/>
              <w:jc w:val="center"/>
              <w:rPr>
                <w:rFonts w:ascii="Arial" w:eastAsia="Arial" w:hAnsi="Arial" w:cs="Arial"/>
                <w:color w:val="000000"/>
                <w:lang w:val="en-US"/>
              </w:rPr>
            </w:pPr>
            <w:r w:rsidRPr="001B2B47">
              <w:rPr>
                <w:rFonts w:ascii="Arial" w:eastAsia="Arial" w:hAnsi="Arial" w:cs="Arial"/>
                <w:b/>
                <w:bCs/>
                <w:color w:val="FFFFFF"/>
                <w:lang w:val="en-US"/>
              </w:rPr>
              <w:t xml:space="preserve">Representative profile of customer usage </w:t>
            </w:r>
          </w:p>
        </w:tc>
      </w:tr>
      <w:tr w:rsidR="00CC5954" w:rsidRPr="001B2B47" w14:paraId="6AD3A197" w14:textId="77777777" w:rsidTr="00701698">
        <w:trPr>
          <w:trHeight w:val="289"/>
        </w:trPr>
        <w:tc>
          <w:tcPr>
            <w:tcW w:w="3841" w:type="dxa"/>
            <w:tcBorders>
              <w:top w:val="single" w:sz="8" w:space="0" w:color="FFFFFF"/>
              <w:bottom w:val="single" w:sz="8" w:space="0" w:color="FFFFFF"/>
            </w:tcBorders>
            <w:shd w:val="clear" w:color="auto" w:fill="F2F2F2"/>
            <w:tcMar>
              <w:top w:w="85" w:type="dxa"/>
              <w:left w:w="90" w:type="dxa"/>
              <w:bottom w:w="85" w:type="dxa"/>
              <w:right w:w="62" w:type="dxa"/>
            </w:tcMar>
          </w:tcPr>
          <w:p w14:paraId="2224289B" w14:textId="77777777" w:rsidR="00CC5954" w:rsidRPr="001B2B47" w:rsidRDefault="00CC5954" w:rsidP="00701698">
            <w:pPr>
              <w:spacing w:before="0" w:after="0" w:line="240" w:lineRule="auto"/>
              <w:rPr>
                <w:rFonts w:ascii="Arial" w:eastAsia="Arial" w:hAnsi="Arial" w:cs="Arial"/>
                <w:color w:val="000000"/>
                <w:lang w:val="en-US"/>
              </w:rPr>
            </w:pPr>
          </w:p>
        </w:tc>
        <w:tc>
          <w:tcPr>
            <w:tcW w:w="1165" w:type="dxa"/>
            <w:tcBorders>
              <w:top w:val="single" w:sz="8" w:space="0" w:color="FFFFFF"/>
              <w:bottom w:val="single" w:sz="8" w:space="0" w:color="FFFFFF"/>
            </w:tcBorders>
            <w:shd w:val="clear" w:color="auto" w:fill="F2F2F2"/>
            <w:tcMar>
              <w:top w:w="85" w:type="dxa"/>
              <w:left w:w="90" w:type="dxa"/>
              <w:bottom w:w="85" w:type="dxa"/>
              <w:right w:w="62" w:type="dxa"/>
            </w:tcMar>
          </w:tcPr>
          <w:p w14:paraId="6036879E" w14:textId="77777777" w:rsidR="00CC5954" w:rsidRPr="001B2B47" w:rsidRDefault="00CC5954" w:rsidP="00701698">
            <w:pPr>
              <w:spacing w:before="0" w:after="0" w:line="240" w:lineRule="auto"/>
              <w:jc w:val="center"/>
              <w:rPr>
                <w:rFonts w:ascii="Arial" w:eastAsia="Arial" w:hAnsi="Arial" w:cs="Arial"/>
                <w:color w:val="000000"/>
                <w:lang w:val="en-US"/>
              </w:rPr>
            </w:pPr>
          </w:p>
        </w:tc>
        <w:tc>
          <w:tcPr>
            <w:tcW w:w="1790"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26FD92EA" w14:textId="77777777" w:rsidR="00CC5954" w:rsidRPr="00BD38A8" w:rsidRDefault="00CC5954" w:rsidP="00701698">
            <w:pPr>
              <w:spacing w:before="0" w:after="0" w:line="240" w:lineRule="auto"/>
              <w:jc w:val="center"/>
              <w:rPr>
                <w:rFonts w:ascii="Arial" w:eastAsia="Arial" w:hAnsi="Arial" w:cs="Arial"/>
                <w:color w:val="000000"/>
                <w:lang w:val="en-US"/>
              </w:rPr>
            </w:pPr>
            <w:r w:rsidRPr="00BD38A8">
              <w:rPr>
                <w:rFonts w:ascii="Arial" w:eastAsia="Arial" w:hAnsi="Arial" w:cs="Arial"/>
                <w:b/>
                <w:bCs/>
                <w:color w:val="000000"/>
                <w:lang w:val="en-US"/>
              </w:rPr>
              <w:t>Peak period</w:t>
            </w:r>
          </w:p>
          <w:p w14:paraId="68F9DEAA" w14:textId="77777777" w:rsidR="00CC5954" w:rsidRPr="00BD38A8" w:rsidRDefault="00CC5954" w:rsidP="00701698">
            <w:pPr>
              <w:spacing w:before="0" w:after="0" w:line="240" w:lineRule="auto"/>
              <w:jc w:val="center"/>
              <w:rPr>
                <w:rFonts w:ascii="Arial" w:eastAsia="Arial" w:hAnsi="Arial" w:cs="Arial"/>
                <w:color w:val="000000"/>
                <w:lang w:val="en-US"/>
              </w:rPr>
            </w:pPr>
            <w:r w:rsidRPr="00BD38A8">
              <w:rPr>
                <w:rFonts w:ascii="Arial" w:eastAsia="Arial" w:hAnsi="Arial" w:cs="Arial"/>
                <w:color w:val="000000"/>
                <w:lang w:val="en-US"/>
              </w:rPr>
              <w:t>(9am - 9pm weekdays)</w:t>
            </w:r>
          </w:p>
        </w:tc>
        <w:tc>
          <w:tcPr>
            <w:tcW w:w="293" w:type="dxa"/>
            <w:tcBorders>
              <w:top w:val="single" w:sz="8" w:space="0" w:color="FFFFFF"/>
              <w:bottom w:val="single" w:sz="8" w:space="0" w:color="FFFFFF"/>
            </w:tcBorders>
            <w:shd w:val="clear" w:color="auto" w:fill="F2F2F2"/>
            <w:tcMar>
              <w:top w:w="85" w:type="dxa"/>
              <w:left w:w="90" w:type="dxa"/>
              <w:bottom w:w="85" w:type="dxa"/>
              <w:right w:w="62" w:type="dxa"/>
            </w:tcMar>
          </w:tcPr>
          <w:p w14:paraId="54E020C9" w14:textId="77777777" w:rsidR="00CC5954" w:rsidRPr="00BD38A8" w:rsidRDefault="00CC5954" w:rsidP="00701698">
            <w:pPr>
              <w:spacing w:before="0" w:after="0" w:line="240" w:lineRule="auto"/>
              <w:jc w:val="center"/>
              <w:rPr>
                <w:rFonts w:ascii="Arial" w:eastAsia="Arial" w:hAnsi="Arial" w:cs="Arial"/>
                <w:color w:val="000000"/>
                <w:lang w:val="en-US"/>
              </w:rPr>
            </w:pPr>
          </w:p>
        </w:tc>
        <w:tc>
          <w:tcPr>
            <w:tcW w:w="1983"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3556909E" w14:textId="59B8E33F" w:rsidR="00CC5954" w:rsidRPr="00BD38A8" w:rsidRDefault="00CC5954" w:rsidP="00701698">
            <w:pPr>
              <w:spacing w:before="0" w:after="0" w:line="240" w:lineRule="auto"/>
              <w:jc w:val="center"/>
              <w:rPr>
                <w:rFonts w:ascii="Arial" w:eastAsia="Arial" w:hAnsi="Arial" w:cs="Arial"/>
                <w:color w:val="000000"/>
                <w:lang w:val="en-US"/>
              </w:rPr>
            </w:pPr>
            <w:r w:rsidRPr="00BD38A8">
              <w:rPr>
                <w:rFonts w:ascii="Arial" w:eastAsia="Arial" w:hAnsi="Arial" w:cs="Arial"/>
                <w:b/>
                <w:bCs/>
                <w:color w:val="000000"/>
                <w:lang w:val="en-US"/>
              </w:rPr>
              <w:t>Off</w:t>
            </w:r>
            <w:r w:rsidR="006E3E6D">
              <w:rPr>
                <w:rFonts w:ascii="Arial" w:eastAsia="Arial" w:hAnsi="Arial" w:cs="Arial"/>
                <w:b/>
                <w:bCs/>
                <w:color w:val="000000"/>
                <w:lang w:val="en-US"/>
              </w:rPr>
              <w:t>-</w:t>
            </w:r>
            <w:r w:rsidRPr="00BD38A8">
              <w:rPr>
                <w:rFonts w:ascii="Arial" w:eastAsia="Arial" w:hAnsi="Arial" w:cs="Arial"/>
                <w:b/>
                <w:bCs/>
                <w:color w:val="000000"/>
                <w:lang w:val="en-US"/>
              </w:rPr>
              <w:t>peak</w:t>
            </w:r>
          </w:p>
          <w:p w14:paraId="54F6CFD2" w14:textId="77777777" w:rsidR="00CC5954" w:rsidRPr="00BD38A8" w:rsidRDefault="00CC5954" w:rsidP="00701698">
            <w:pPr>
              <w:spacing w:before="0" w:after="0" w:line="240" w:lineRule="auto"/>
              <w:jc w:val="center"/>
              <w:rPr>
                <w:rFonts w:ascii="Arial" w:eastAsia="Arial" w:hAnsi="Arial" w:cs="Arial"/>
                <w:color w:val="000000"/>
                <w:lang w:val="en-US"/>
              </w:rPr>
            </w:pPr>
            <w:r w:rsidRPr="00BD38A8">
              <w:rPr>
                <w:rFonts w:ascii="Arial" w:eastAsia="Arial" w:hAnsi="Arial" w:cs="Arial"/>
                <w:color w:val="000000"/>
                <w:lang w:val="en-US"/>
              </w:rPr>
              <w:t>(All other times)</w:t>
            </w:r>
          </w:p>
          <w:p w14:paraId="1B8F7DA3" w14:textId="77777777" w:rsidR="00CC5954" w:rsidRPr="00BD38A8" w:rsidRDefault="00CC5954" w:rsidP="00701698">
            <w:pPr>
              <w:spacing w:before="0" w:after="0" w:line="240" w:lineRule="auto"/>
              <w:jc w:val="center"/>
              <w:rPr>
                <w:rFonts w:ascii="Arial" w:eastAsia="Arial" w:hAnsi="Arial" w:cs="Arial"/>
                <w:color w:val="000000"/>
                <w:lang w:val="en-US"/>
              </w:rPr>
            </w:pPr>
          </w:p>
        </w:tc>
      </w:tr>
      <w:tr w:rsidR="00CC5954" w:rsidRPr="001B2B47" w14:paraId="74CC932B" w14:textId="77777777" w:rsidTr="00701698">
        <w:tc>
          <w:tcPr>
            <w:tcW w:w="3841" w:type="dxa"/>
            <w:tcBorders>
              <w:top w:val="single" w:sz="8" w:space="0" w:color="FFFFFF"/>
            </w:tcBorders>
            <w:shd w:val="clear" w:color="auto" w:fill="E3E4E4"/>
            <w:tcMar>
              <w:top w:w="85" w:type="dxa"/>
              <w:left w:w="90" w:type="dxa"/>
              <w:bottom w:w="90" w:type="dxa"/>
              <w:right w:w="62" w:type="dxa"/>
            </w:tcMar>
          </w:tcPr>
          <w:p w14:paraId="53EB13B7" w14:textId="77777777" w:rsidR="00CC5954" w:rsidRPr="001B2B47" w:rsidRDefault="00CC5954" w:rsidP="00701698">
            <w:pPr>
              <w:spacing w:before="0" w:after="0" w:line="240" w:lineRule="auto"/>
              <w:rPr>
                <w:rFonts w:ascii="Arial" w:eastAsia="Arial" w:hAnsi="Arial" w:cs="Arial"/>
                <w:color w:val="000000"/>
                <w:lang w:val="en-US"/>
              </w:rPr>
            </w:pPr>
          </w:p>
        </w:tc>
        <w:tc>
          <w:tcPr>
            <w:tcW w:w="1165" w:type="dxa"/>
            <w:tcBorders>
              <w:top w:val="single" w:sz="8" w:space="0" w:color="FFFFFF"/>
            </w:tcBorders>
            <w:shd w:val="clear" w:color="auto" w:fill="E3E4E4"/>
            <w:tcMar>
              <w:top w:w="85" w:type="dxa"/>
              <w:left w:w="90" w:type="dxa"/>
              <w:bottom w:w="90" w:type="dxa"/>
              <w:right w:w="62" w:type="dxa"/>
            </w:tcMar>
            <w:vAlign w:val="center"/>
          </w:tcPr>
          <w:p w14:paraId="7C60490A" w14:textId="77777777" w:rsidR="00CC5954" w:rsidRPr="001B2B47" w:rsidRDefault="00CC5954" w:rsidP="00701698">
            <w:pPr>
              <w:spacing w:before="0" w:after="0" w:line="240" w:lineRule="auto"/>
              <w:jc w:val="center"/>
              <w:rPr>
                <w:rFonts w:ascii="Arial" w:eastAsia="Arial" w:hAnsi="Arial" w:cs="Arial"/>
                <w:color w:val="000000"/>
                <w:lang w:val="en-US"/>
              </w:rPr>
            </w:pPr>
          </w:p>
        </w:tc>
        <w:tc>
          <w:tcPr>
            <w:tcW w:w="1790" w:type="dxa"/>
            <w:tcBorders>
              <w:top w:val="single" w:sz="8" w:space="0" w:color="FFFFFF"/>
            </w:tcBorders>
            <w:shd w:val="clear" w:color="auto" w:fill="E3E4E4"/>
            <w:tcMar>
              <w:top w:w="85" w:type="dxa"/>
              <w:left w:w="90" w:type="dxa"/>
              <w:bottom w:w="90" w:type="dxa"/>
              <w:right w:w="62" w:type="dxa"/>
            </w:tcMar>
            <w:vAlign w:val="center"/>
            <w:hideMark/>
          </w:tcPr>
          <w:p w14:paraId="14DF049D" w14:textId="3CDE7DF4" w:rsidR="00CC5954" w:rsidRPr="00BD38A8" w:rsidRDefault="00CC5954" w:rsidP="00701698">
            <w:pPr>
              <w:spacing w:before="0" w:after="0" w:line="240" w:lineRule="auto"/>
              <w:jc w:val="center"/>
              <w:rPr>
                <w:rFonts w:ascii="Arial" w:eastAsia="Arial" w:hAnsi="Arial" w:cs="Arial"/>
                <w:color w:val="000000"/>
                <w:lang w:val="en-US"/>
              </w:rPr>
            </w:pPr>
            <w:r w:rsidRPr="00BD38A8">
              <w:rPr>
                <w:rFonts w:ascii="Arial" w:eastAsia="Arial" w:hAnsi="Arial" w:cs="Arial"/>
                <w:color w:val="000000"/>
                <w:lang w:val="en-US"/>
              </w:rPr>
              <w:t>0.4</w:t>
            </w:r>
            <w:r w:rsidR="0022721B">
              <w:rPr>
                <w:rFonts w:ascii="Arial" w:eastAsia="Arial" w:hAnsi="Arial" w:cs="Arial"/>
                <w:color w:val="000000"/>
                <w:lang w:val="en-US"/>
              </w:rPr>
              <w:t>9</w:t>
            </w:r>
          </w:p>
        </w:tc>
        <w:tc>
          <w:tcPr>
            <w:tcW w:w="293" w:type="dxa"/>
            <w:tcBorders>
              <w:top w:val="single" w:sz="8" w:space="0" w:color="FFFFFF"/>
            </w:tcBorders>
            <w:shd w:val="clear" w:color="auto" w:fill="E3E4E4"/>
            <w:tcMar>
              <w:top w:w="85" w:type="dxa"/>
              <w:left w:w="90" w:type="dxa"/>
              <w:bottom w:w="90" w:type="dxa"/>
              <w:right w:w="62" w:type="dxa"/>
            </w:tcMar>
            <w:vAlign w:val="center"/>
          </w:tcPr>
          <w:p w14:paraId="4AC0B7CD" w14:textId="77777777" w:rsidR="00CC5954" w:rsidRPr="00BD38A8" w:rsidRDefault="00CC5954" w:rsidP="00701698">
            <w:pPr>
              <w:spacing w:before="0" w:after="0" w:line="240" w:lineRule="auto"/>
              <w:jc w:val="center"/>
              <w:rPr>
                <w:rFonts w:ascii="Arial" w:eastAsia="Arial" w:hAnsi="Arial" w:cs="Arial"/>
                <w:color w:val="000000"/>
                <w:lang w:val="en-US"/>
              </w:rPr>
            </w:pPr>
          </w:p>
        </w:tc>
        <w:tc>
          <w:tcPr>
            <w:tcW w:w="1983" w:type="dxa"/>
            <w:tcBorders>
              <w:top w:val="single" w:sz="8" w:space="0" w:color="FFFFFF"/>
            </w:tcBorders>
            <w:shd w:val="clear" w:color="auto" w:fill="E3E4E4"/>
            <w:tcMar>
              <w:top w:w="85" w:type="dxa"/>
              <w:left w:w="90" w:type="dxa"/>
              <w:bottom w:w="90" w:type="dxa"/>
              <w:right w:w="62" w:type="dxa"/>
            </w:tcMar>
            <w:vAlign w:val="center"/>
            <w:hideMark/>
          </w:tcPr>
          <w:p w14:paraId="5E581939" w14:textId="23B930FC" w:rsidR="00CC5954" w:rsidRPr="00BD38A8" w:rsidRDefault="00CC5954" w:rsidP="00701698">
            <w:pPr>
              <w:spacing w:before="0" w:after="0" w:line="240" w:lineRule="auto"/>
              <w:jc w:val="center"/>
              <w:rPr>
                <w:rFonts w:ascii="Arial" w:eastAsia="Arial" w:hAnsi="Arial" w:cs="Arial"/>
                <w:color w:val="000000"/>
                <w:lang w:val="en-US"/>
              </w:rPr>
            </w:pPr>
            <w:r w:rsidRPr="00BD38A8">
              <w:rPr>
                <w:rFonts w:ascii="Arial" w:eastAsia="Arial" w:hAnsi="Arial" w:cs="Arial"/>
                <w:color w:val="000000"/>
                <w:lang w:val="en-US"/>
              </w:rPr>
              <w:t>0.5</w:t>
            </w:r>
            <w:r w:rsidR="0022721B">
              <w:rPr>
                <w:rFonts w:ascii="Arial" w:eastAsia="Arial" w:hAnsi="Arial" w:cs="Arial"/>
                <w:color w:val="000000"/>
                <w:lang w:val="en-US"/>
              </w:rPr>
              <w:t>1</w:t>
            </w:r>
          </w:p>
        </w:tc>
      </w:tr>
      <w:bookmarkEnd w:id="28"/>
      <w:bookmarkEnd w:id="29"/>
      <w:bookmarkEnd w:id="30"/>
    </w:tbl>
    <w:p w14:paraId="72AD043F" w14:textId="7288CAB6" w:rsidR="000F0192" w:rsidRDefault="000F0192" w:rsidP="000F0192"/>
    <w:p w14:paraId="6C1FEA48" w14:textId="77777777" w:rsidR="00CC5954" w:rsidRDefault="00CC5954" w:rsidP="000F0192">
      <w:pPr>
        <w:sectPr w:rsidR="00CC5954" w:rsidSect="001853B8">
          <w:headerReference w:type="default" r:id="rId24"/>
          <w:pgSz w:w="11906" w:h="16838" w:code="9"/>
          <w:pgMar w:top="1134" w:right="1134" w:bottom="1134" w:left="1134" w:header="709" w:footer="692" w:gutter="0"/>
          <w:cols w:space="708"/>
          <w:docGrid w:linePitch="360"/>
        </w:sectPr>
      </w:pPr>
    </w:p>
    <w:p w14:paraId="04D5A2A1" w14:textId="610E2FAE" w:rsidR="000F0192" w:rsidRDefault="000F0192" w:rsidP="000F0192"/>
    <w:p w14:paraId="7BDF8763" w14:textId="77777777" w:rsidR="000F0192" w:rsidRDefault="000F0192" w:rsidP="000F0192">
      <w:pPr>
        <w:spacing w:before="0" w:after="0"/>
        <w:rPr>
          <w:rStyle w:val="Strong"/>
        </w:rPr>
      </w:pPr>
      <w:r w:rsidRPr="000F0192">
        <w:rPr>
          <w:rStyle w:val="Strong"/>
        </w:rPr>
        <w:t>THE COMMON SEAL</w:t>
      </w:r>
      <w:r>
        <w:t xml:space="preserve"> of </w:t>
      </w:r>
      <w:r w:rsidRPr="000F0192">
        <w:rPr>
          <w:rStyle w:val="Strong"/>
        </w:rPr>
        <w:t>the ESSENTIAL</w:t>
      </w:r>
    </w:p>
    <w:p w14:paraId="525E2C17" w14:textId="77777777" w:rsidR="000F0192" w:rsidRDefault="000F0192" w:rsidP="000F0192">
      <w:pPr>
        <w:spacing w:before="0" w:after="0"/>
      </w:pPr>
      <w:r w:rsidRPr="000F0192">
        <w:rPr>
          <w:rStyle w:val="Strong"/>
        </w:rPr>
        <w:t>SERVICES COMMISSION</w:t>
      </w:r>
      <w:r>
        <w:t xml:space="preserve"> was affixed to this price</w:t>
      </w:r>
    </w:p>
    <w:p w14:paraId="164EAD15" w14:textId="77777777" w:rsidR="000F0192" w:rsidRDefault="000F0192" w:rsidP="000F0192">
      <w:pPr>
        <w:spacing w:before="0" w:after="0"/>
      </w:pPr>
      <w:r>
        <w:t>determination with the authority of the commission</w:t>
      </w:r>
    </w:p>
    <w:p w14:paraId="784817CD" w14:textId="228854F1" w:rsidR="000F0192" w:rsidRDefault="000F0192" w:rsidP="000F0192">
      <w:pPr>
        <w:spacing w:before="0" w:after="0"/>
      </w:pPr>
      <w:r>
        <w:t xml:space="preserve">on </w:t>
      </w:r>
      <w:r w:rsidR="230779C6">
        <w:t>2</w:t>
      </w:r>
      <w:r w:rsidR="009D3745">
        <w:t>0</w:t>
      </w:r>
      <w:r w:rsidR="00DF3905">
        <w:t xml:space="preserve"> </w:t>
      </w:r>
      <w:r w:rsidR="00CC5954">
        <w:t>May</w:t>
      </w:r>
      <w:r>
        <w:t xml:space="preserve"> 202</w:t>
      </w:r>
      <w:r w:rsidR="00A12E67">
        <w:t>4</w:t>
      </w:r>
      <w:r w:rsidR="00DF3905">
        <w:t>.</w:t>
      </w:r>
    </w:p>
    <w:p w14:paraId="60E56082" w14:textId="5AB43BA8" w:rsidR="000F0192" w:rsidRDefault="000F0192" w:rsidP="000F0192"/>
    <w:p w14:paraId="4F619377" w14:textId="38B7810D" w:rsidR="000F0192" w:rsidRDefault="000F0192" w:rsidP="000F0192"/>
    <w:p w14:paraId="72DE9182" w14:textId="38C8FE40" w:rsidR="000F0192" w:rsidRDefault="000F0192" w:rsidP="000F0192"/>
    <w:p w14:paraId="11CEA1BD" w14:textId="77777777" w:rsidR="000F0192" w:rsidRDefault="000F0192" w:rsidP="000F0192"/>
    <w:p w14:paraId="16EE09B5" w14:textId="1EC00BA8" w:rsidR="000F0192" w:rsidRPr="000F0192" w:rsidRDefault="000F0192" w:rsidP="000F0192">
      <w:pPr>
        <w:spacing w:before="0" w:after="0"/>
        <w:rPr>
          <w:rStyle w:val="Strong"/>
        </w:rPr>
      </w:pPr>
      <w:r w:rsidRPr="000F0192">
        <w:rPr>
          <w:rStyle w:val="Strong"/>
        </w:rPr>
        <w:t>Kate Symons</w:t>
      </w:r>
    </w:p>
    <w:p w14:paraId="488BE799" w14:textId="3EF0D931" w:rsidR="000F0192" w:rsidRPr="000F0192" w:rsidRDefault="000F0192" w:rsidP="000F0192">
      <w:pPr>
        <w:spacing w:before="0" w:after="0"/>
        <w:rPr>
          <w:rStyle w:val="Strong"/>
        </w:rPr>
      </w:pPr>
      <w:r w:rsidRPr="000F0192">
        <w:rPr>
          <w:rStyle w:val="Strong"/>
        </w:rPr>
        <w:t>Chairperson</w:t>
      </w:r>
      <w:bookmarkEnd w:id="14"/>
      <w:bookmarkEnd w:id="15"/>
      <w:bookmarkEnd w:id="16"/>
    </w:p>
    <w:sectPr w:rsidR="000F0192" w:rsidRPr="000F0192" w:rsidSect="001853B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6AF2" w14:textId="77777777" w:rsidR="00126D2F" w:rsidRDefault="00126D2F" w:rsidP="00AE03FA">
      <w:pPr>
        <w:spacing w:after="0"/>
      </w:pPr>
      <w:r>
        <w:separator/>
      </w:r>
    </w:p>
    <w:p w14:paraId="403198C9" w14:textId="77777777" w:rsidR="00126D2F" w:rsidRDefault="00126D2F"/>
  </w:endnote>
  <w:endnote w:type="continuationSeparator" w:id="0">
    <w:p w14:paraId="47E03CC3" w14:textId="77777777" w:rsidR="00126D2F" w:rsidRDefault="00126D2F" w:rsidP="00AE03FA">
      <w:pPr>
        <w:spacing w:after="0"/>
      </w:pPr>
      <w:r>
        <w:continuationSeparator/>
      </w:r>
    </w:p>
    <w:p w14:paraId="0087EDAB" w14:textId="77777777" w:rsidR="00126D2F" w:rsidRDefault="00126D2F"/>
  </w:endnote>
  <w:endnote w:type="continuationNotice" w:id="1">
    <w:p w14:paraId="40BD93A0" w14:textId="77777777" w:rsidR="00126D2F" w:rsidRDefault="00126D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831D" w14:textId="77777777" w:rsidR="005849E3" w:rsidRDefault="00584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F23D" w14:textId="77777777" w:rsidR="005849E3" w:rsidRDefault="00584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844B" w14:textId="77777777" w:rsidR="005849E3" w:rsidRDefault="00584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856E" w14:textId="5C196672"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28E98C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2A08156"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43890B80" w14:textId="5064A4A7"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9A409B">
          <w:rPr>
            <w:b/>
          </w:rPr>
          <w:t>Victorian Default Offer Price Determination 2024–25</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F870"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7586437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BB0B7C0"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3AD85DFE" w14:textId="60F05D3D"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9A409B">
          <w:rPr>
            <w:b/>
          </w:rPr>
          <w:t>Victorian Default Offer Price Determination 2024–25</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1105" w14:textId="25B4A611"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3B3514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280D68A"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iv</w:t>
          </w:r>
          <w:r w:rsidRPr="009E15D6">
            <w:rPr>
              <w:rStyle w:val="PageNumber"/>
            </w:rPr>
            <w:fldChar w:fldCharType="end"/>
          </w:r>
        </w:p>
      </w:tc>
    </w:tr>
  </w:tbl>
  <w:p w14:paraId="11423F9B" w14:textId="2DEBB0F6"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6733ABC326D4E79B6B065D866AFA289"/>
        </w:placeholder>
        <w:dataBinding w:prefixMappings="xmlns:ns0='http://purl.org/dc/elements/1.1/' xmlns:ns1='http://schemas.openxmlformats.org/package/2006/metadata/core-properties' " w:xpath="/ns1:coreProperties[1]/ns0:title[1]" w:storeItemID="{6C3C8BC8-F283-45AE-878A-BAB7291924A1}"/>
        <w:text/>
      </w:sdtPr>
      <w:sdtEndPr/>
      <w:sdtContent>
        <w:r w:rsidR="009A409B">
          <w:rPr>
            <w:b/>
          </w:rPr>
          <w:t>Victorian Default Offer Price Determination 2024–25</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05700" w14:textId="77777777" w:rsidR="00126D2F" w:rsidRPr="00CF33F6" w:rsidRDefault="00126D2F" w:rsidP="00AE03FA">
      <w:pPr>
        <w:spacing w:after="0"/>
        <w:rPr>
          <w:color w:val="75787B" w:themeColor="background2"/>
        </w:rPr>
      </w:pPr>
      <w:bookmarkStart w:id="0" w:name="_Hlk480978878"/>
      <w:bookmarkEnd w:id="0"/>
      <w:r w:rsidRPr="00CF33F6">
        <w:rPr>
          <w:color w:val="75787B" w:themeColor="background2"/>
        </w:rPr>
        <w:separator/>
      </w:r>
    </w:p>
    <w:p w14:paraId="11D6901E" w14:textId="77777777" w:rsidR="00126D2F" w:rsidRDefault="00126D2F" w:rsidP="00CF33F6">
      <w:pPr>
        <w:pStyle w:val="NoSpacing"/>
      </w:pPr>
    </w:p>
  </w:footnote>
  <w:footnote w:type="continuationSeparator" w:id="0">
    <w:p w14:paraId="570374C1" w14:textId="77777777" w:rsidR="00126D2F" w:rsidRDefault="00126D2F" w:rsidP="00AE03FA">
      <w:pPr>
        <w:spacing w:after="0"/>
      </w:pPr>
      <w:r>
        <w:continuationSeparator/>
      </w:r>
    </w:p>
    <w:p w14:paraId="3AA2EFA6" w14:textId="77777777" w:rsidR="00126D2F" w:rsidRDefault="00126D2F"/>
  </w:footnote>
  <w:footnote w:type="continuationNotice" w:id="1">
    <w:p w14:paraId="346AD125" w14:textId="77777777" w:rsidR="00126D2F" w:rsidRDefault="00126D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4F1E" w14:textId="73AD87CF" w:rsidR="00072AAC" w:rsidRDefault="00E70E77">
    <w:pPr>
      <w:pStyle w:val="Header"/>
    </w:pPr>
    <w:r>
      <w:rPr>
        <w:noProof/>
      </w:rPr>
      <mc:AlternateContent>
        <mc:Choice Requires="wps">
          <w:drawing>
            <wp:anchor distT="0" distB="0" distL="114300" distR="114300" simplePos="1" relativeHeight="251658247" behindDoc="0" locked="0" layoutInCell="1" allowOverlap="1" wp14:anchorId="633FFD11" wp14:editId="4B09C8D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1729822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7809B30" w14:textId="77777777" w:rsidR="00E70E77" w:rsidRDefault="00E70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3FFD11" id="_x0000_t202" coordsize="21600,21600" o:spt="202" path="m,l,21600r21600,l21600,xe">
              <v:stroke joinstyle="miter"/>
              <v:path gradientshapeok="t" o:connecttype="rect"/>
            </v:shapetype>
            <v:shape id="janusSEAL SC H_EvenPage" o:spid="_x0000_s1026" type="#_x0000_t202" style="position:absolute;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47809B30" w14:textId="77777777" w:rsidR="00E70E77" w:rsidRDefault="00E70E77"/>
                </w:txbxContent>
              </v:textbox>
              <w10:wrap type="through"/>
            </v:shape>
          </w:pict>
        </mc:Fallback>
      </mc:AlternateContent>
    </w:r>
    <w:r w:rsidR="00072AAC">
      <w:rPr>
        <w:noProof/>
      </w:rPr>
      <mc:AlternateContent>
        <mc:Choice Requires="wps">
          <w:drawing>
            <wp:anchor distT="0" distB="0" distL="114300" distR="114300" simplePos="0" relativeHeight="251658245" behindDoc="0" locked="1" layoutInCell="0" allowOverlap="1" wp14:anchorId="1F2A9947" wp14:editId="7D0F9F53">
              <wp:simplePos x="0" y="0"/>
              <wp:positionH relativeFrom="margin">
                <wp:align>center</wp:align>
              </wp:positionH>
              <wp:positionV relativeFrom="topMargin">
                <wp:align>center</wp:align>
              </wp:positionV>
              <wp:extent cx="892175" cy="342900"/>
              <wp:effectExtent l="0" t="0" r="0" b="0"/>
              <wp:wrapNone/>
              <wp:docPr id="1175883818"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1095D" w14:textId="782B93CE"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r w:rsidR="000F1929">
                            <w:rPr>
                              <w:b/>
                              <w:color w:val="FF0000"/>
                              <w:sz w:val="24"/>
                            </w:rPr>
                            <w:t>OFFICIAL:Sensitive</w:t>
                          </w:r>
                          <w:r w:rsidRPr="00072AA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2A9947" id="_x0000_s1027" type="#_x0000_t202" style="position:absolute;margin-left:0;margin-top:0;width:70.25pt;height:27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O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rqaowNVAeczkFPvLd82WAPK+bD&#10;K3PINA6E6g0vuEgFWAuOFiU1uN+f3cd4JAC9lLSonJIalDYl6qdBYqbD8TgKLR3Gk7sRHty1Z3Pt&#10;MTv9CCjNIf4Sy5MZ44M6mdKBfkeJL2JNdDHDsXJJw8l8DL2a8YtwsVikIJSWZWFl1pbH1BHTiO9b&#10;986cPZIQkL1nOCmMFR+46GPjS28Xu4CMJKIiyj2mR/BRlom/4xeKur8+p6jLR5//AQ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N56FU4YAgAAMAQAAA4AAAAAAAAAAAAAAAAALgIAAGRycy9lMm9Eb2MueG1sUEsBAi0AFAAGAAgA&#10;AAAhAGQf0UfbAAAABAEAAA8AAAAAAAAAAAAAAAAAcgQAAGRycy9kb3ducmV2LnhtbFBLBQYAAAAA&#10;BAAEAPMAAAB6BQAAAAA=&#10;" o:allowincell="f" filled="f" stroked="f" strokeweight=".5pt">
              <v:textbox style="mso-fit-shape-to-text:t">
                <w:txbxContent>
                  <w:p w14:paraId="1F21095D" w14:textId="782B93CE"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r w:rsidR="000F1929">
                      <w:rPr>
                        <w:b/>
                        <w:color w:val="FF0000"/>
                        <w:sz w:val="24"/>
                      </w:rPr>
                      <w:t>OFFICIAL:Sensitive</w:t>
                    </w:r>
                    <w:r w:rsidRPr="00072AAC">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C65E" w14:textId="19A87252"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5C97B8BB" wp14:editId="300BBA9D">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32F7E63" id="Group 4" o:spid="_x0000_s1026" style="position:absolute;margin-left:14.15pt;margin-top:14.8pt;width:566.9pt;height:811.8pt;z-index:251664384;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0C5387B8" wp14:editId="7B8A6001">
          <wp:simplePos x="0" y="0"/>
          <wp:positionH relativeFrom="page">
            <wp:posOffset>720090</wp:posOffset>
          </wp:positionH>
          <wp:positionV relativeFrom="page">
            <wp:posOffset>720090</wp:posOffset>
          </wp:positionV>
          <wp:extent cx="2656800" cy="8280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0117" w14:textId="667C9AE1" w:rsidR="003A30F3" w:rsidRDefault="00E70E77" w:rsidP="007C7E2D">
    <w:pPr>
      <w:pStyle w:val="Header"/>
      <w:tabs>
        <w:tab w:val="clear" w:pos="4680"/>
        <w:tab w:val="clear" w:pos="9360"/>
        <w:tab w:val="left" w:pos="2236"/>
      </w:tabs>
    </w:pPr>
    <w:r>
      <w:rPr>
        <w:noProof/>
        <w:lang w:eastAsia="en-AU"/>
      </w:rPr>
      <mc:AlternateContent>
        <mc:Choice Requires="wps">
          <w:drawing>
            <wp:anchor distT="0" distB="0" distL="114300" distR="114300" simplePos="1" relativeHeight="251658246" behindDoc="0" locked="0" layoutInCell="1" allowOverlap="1" wp14:anchorId="554EA272" wp14:editId="5F35F0D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16271211"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4E8109" w14:textId="77777777" w:rsidR="00E70E77" w:rsidRDefault="00E70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EA272" id="_x0000_t202" coordsize="21600,21600" o:spt="202" path="m,l,21600r21600,l21600,xe">
              <v:stroke joinstyle="miter"/>
              <v:path gradientshapeok="t" o:connecttype="rect"/>
            </v:shapetype>
            <v:shape id="janusSEAL SC H_FirstPage" o:spid="_x0000_s1028" type="#_x0000_t202" style="position:absolute;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094E8109" w14:textId="77777777" w:rsidR="00E70E77" w:rsidRDefault="00E70E77"/>
                </w:txbxContent>
              </v:textbox>
              <w10:wrap type="through"/>
            </v:shape>
          </w:pict>
        </mc:Fallback>
      </mc:AlternateContent>
    </w:r>
    <w:r w:rsidR="00072AAC">
      <w:rPr>
        <w:noProof/>
        <w:lang w:eastAsia="en-AU"/>
      </w:rPr>
      <mc:AlternateContent>
        <mc:Choice Requires="wps">
          <w:drawing>
            <wp:anchor distT="0" distB="0" distL="114300" distR="114300" simplePos="0" relativeHeight="251658244" behindDoc="0" locked="1" layoutInCell="0" allowOverlap="1" wp14:anchorId="5ECFA0B8" wp14:editId="1C36B73A">
              <wp:simplePos x="0" y="0"/>
              <wp:positionH relativeFrom="margin">
                <wp:align>center</wp:align>
              </wp:positionH>
              <wp:positionV relativeFrom="topMargin">
                <wp:align>center</wp:align>
              </wp:positionV>
              <wp:extent cx="892175" cy="342900"/>
              <wp:effectExtent l="0" t="0" r="0" b="0"/>
              <wp:wrapNone/>
              <wp:docPr id="535542977" name="janusSEAL SC H_First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E69A2" w14:textId="6B942361"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r w:rsidR="000F1929">
                            <w:rPr>
                              <w:b/>
                              <w:color w:val="FF0000"/>
                              <w:sz w:val="24"/>
                            </w:rPr>
                            <w:t>OFFICIAL:Sensitive</w:t>
                          </w:r>
                          <w:r w:rsidRPr="00072AA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CFA0B8" id="_x0000_s1029" type="#_x0000_t202" style="position:absolute;margin-left:0;margin-top:0;width:70.25pt;height:27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us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" o:allowincell="f" filled="f" stroked="f" strokeweight=".5pt">
              <v:textbox style="mso-fit-shape-to-text:t">
                <w:txbxContent>
                  <w:p w14:paraId="678E69A2" w14:textId="6B942361"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r w:rsidR="000F1929">
                      <w:rPr>
                        <w:b/>
                        <w:color w:val="FF0000"/>
                        <w:sz w:val="24"/>
                      </w:rPr>
                      <w:t>OFFICIAL:Sensitive</w:t>
                    </w:r>
                    <w:r w:rsidRPr="00072AAC">
                      <w:rPr>
                        <w:b/>
                        <w:color w:val="FF0000"/>
                        <w:sz w:val="24"/>
                      </w:rPr>
                      <w:fldChar w:fldCharType="end"/>
                    </w:r>
                  </w:p>
                </w:txbxContent>
              </v:textbox>
              <w10:wrap anchorx="margin" anchory="margin"/>
              <w10:anchorlock/>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0691EF1E" wp14:editId="278F02F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243EC98" id="Group 29" o:spid="_x0000_s1026" style="position:absolute;margin-left:522.25pt;margin-top:0;width:573.45pt;height:488.15pt;z-index:251660288;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347209B0" wp14:editId="15EA68C0">
          <wp:simplePos x="0" y="0"/>
          <wp:positionH relativeFrom="page">
            <wp:posOffset>720090</wp:posOffset>
          </wp:positionH>
          <wp:positionV relativeFrom="page">
            <wp:posOffset>720090</wp:posOffset>
          </wp:positionV>
          <wp:extent cx="2656800" cy="8280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EC7" w14:textId="20521821"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092C" w14:textId="741ACFDB"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EE014F4"/>
    <w:multiLevelType w:val="hybridMultilevel"/>
    <w:tmpl w:val="03A08E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784164"/>
    <w:multiLevelType w:val="hybridMultilevel"/>
    <w:tmpl w:val="A5A41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8B0109"/>
    <w:multiLevelType w:val="multilevel"/>
    <w:tmpl w:val="806080F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12516E"/>
    <w:multiLevelType w:val="hybridMultilevel"/>
    <w:tmpl w:val="53429C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22"/>
  </w:num>
  <w:num w:numId="11" w16cid:durableId="711804848">
    <w:abstractNumId w:val="16"/>
  </w:num>
  <w:num w:numId="12" w16cid:durableId="944970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990333">
    <w:abstractNumId w:val="0"/>
  </w:num>
  <w:num w:numId="14" w16cid:durableId="1551846005">
    <w:abstractNumId w:val="16"/>
  </w:num>
  <w:num w:numId="15" w16cid:durableId="1815946754">
    <w:abstractNumId w:val="17"/>
  </w:num>
  <w:num w:numId="16" w16cid:durableId="1848791480">
    <w:abstractNumId w:val="11"/>
  </w:num>
  <w:num w:numId="17" w16cid:durableId="1514102916">
    <w:abstractNumId w:val="23"/>
  </w:num>
  <w:num w:numId="18" w16cid:durableId="1240555416">
    <w:abstractNumId w:val="23"/>
  </w:num>
  <w:num w:numId="19" w16cid:durableId="941113518">
    <w:abstractNumId w:val="19"/>
  </w:num>
  <w:num w:numId="20" w16cid:durableId="1425028574">
    <w:abstractNumId w:val="13"/>
  </w:num>
  <w:num w:numId="21" w16cid:durableId="1072581196">
    <w:abstractNumId w:val="26"/>
  </w:num>
  <w:num w:numId="22" w16cid:durableId="1474448902">
    <w:abstractNumId w:val="28"/>
  </w:num>
  <w:num w:numId="23" w16cid:durableId="154146759">
    <w:abstractNumId w:val="12"/>
  </w:num>
  <w:num w:numId="24" w16cid:durableId="1831169626">
    <w:abstractNumId w:val="31"/>
  </w:num>
  <w:num w:numId="25" w16cid:durableId="1143427896">
    <w:abstractNumId w:val="27"/>
  </w:num>
  <w:num w:numId="26" w16cid:durableId="495270193">
    <w:abstractNumId w:val="29"/>
  </w:num>
  <w:num w:numId="27" w16cid:durableId="560530436">
    <w:abstractNumId w:val="15"/>
  </w:num>
  <w:num w:numId="28" w16cid:durableId="838429866">
    <w:abstractNumId w:val="21"/>
  </w:num>
  <w:num w:numId="29" w16cid:durableId="275186698">
    <w:abstractNumId w:val="20"/>
  </w:num>
  <w:num w:numId="30" w16cid:durableId="869995055">
    <w:abstractNumId w:val="14"/>
  </w:num>
  <w:num w:numId="31" w16cid:durableId="1503740093">
    <w:abstractNumId w:val="25"/>
  </w:num>
  <w:num w:numId="32" w16cid:durableId="1781491648">
    <w:abstractNumId w:val="10"/>
  </w:num>
  <w:num w:numId="33" w16cid:durableId="28994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099854">
    <w:abstractNumId w:val="30"/>
  </w:num>
  <w:num w:numId="35" w16cid:durableId="1721243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4382896">
    <w:abstractNumId w:val="10"/>
  </w:num>
  <w:num w:numId="37" w16cid:durableId="1532650933">
    <w:abstractNumId w:val="10"/>
  </w:num>
  <w:num w:numId="38" w16cid:durableId="27071321">
    <w:abstractNumId w:val="10"/>
  </w:num>
  <w:num w:numId="39" w16cid:durableId="2025741035">
    <w:abstractNumId w:val="18"/>
  </w:num>
  <w:num w:numId="40" w16cid:durableId="135143791">
    <w:abstractNumId w:val="24"/>
  </w:num>
  <w:num w:numId="41" w16cid:durableId="1178153673">
    <w:abstractNumId w:val="32"/>
  </w:num>
  <w:num w:numId="42" w16cid:durableId="572352797">
    <w:abstractNumId w:val="22"/>
  </w:num>
  <w:num w:numId="43" w16cid:durableId="1256327934">
    <w:abstractNumId w:val="22"/>
  </w:num>
  <w:num w:numId="44" w16cid:durableId="2099789807">
    <w:abstractNumId w:val="22"/>
  </w:num>
  <w:num w:numId="45" w16cid:durableId="544758006">
    <w:abstractNumId w:val="22"/>
  </w:num>
  <w:num w:numId="46" w16cid:durableId="1014916759">
    <w:abstractNumId w:val="22"/>
  </w:num>
  <w:num w:numId="47" w16cid:durableId="139155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34981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287"/>
    <w:rsid w:val="000046BD"/>
    <w:rsid w:val="00015588"/>
    <w:rsid w:val="00042E2C"/>
    <w:rsid w:val="000518F3"/>
    <w:rsid w:val="000566E0"/>
    <w:rsid w:val="00061828"/>
    <w:rsid w:val="00062AE4"/>
    <w:rsid w:val="00062F19"/>
    <w:rsid w:val="00067DD9"/>
    <w:rsid w:val="000714FE"/>
    <w:rsid w:val="00072AAC"/>
    <w:rsid w:val="00074E57"/>
    <w:rsid w:val="00076E7B"/>
    <w:rsid w:val="00097B76"/>
    <w:rsid w:val="000A0B89"/>
    <w:rsid w:val="000A1292"/>
    <w:rsid w:val="000A2A11"/>
    <w:rsid w:val="000A759D"/>
    <w:rsid w:val="000A7FD9"/>
    <w:rsid w:val="000B6F12"/>
    <w:rsid w:val="000D4547"/>
    <w:rsid w:val="000D579E"/>
    <w:rsid w:val="000F0192"/>
    <w:rsid w:val="000F1929"/>
    <w:rsid w:val="00103750"/>
    <w:rsid w:val="00106608"/>
    <w:rsid w:val="00126D2F"/>
    <w:rsid w:val="00131B2B"/>
    <w:rsid w:val="0014143C"/>
    <w:rsid w:val="0014303C"/>
    <w:rsid w:val="00153081"/>
    <w:rsid w:val="00160F48"/>
    <w:rsid w:val="00175F1D"/>
    <w:rsid w:val="001776E5"/>
    <w:rsid w:val="001801E0"/>
    <w:rsid w:val="00184CEF"/>
    <w:rsid w:val="001853B8"/>
    <w:rsid w:val="001869B0"/>
    <w:rsid w:val="00187A16"/>
    <w:rsid w:val="00187ACF"/>
    <w:rsid w:val="001976E8"/>
    <w:rsid w:val="001A4ACF"/>
    <w:rsid w:val="001C0A22"/>
    <w:rsid w:val="001C144B"/>
    <w:rsid w:val="001C750A"/>
    <w:rsid w:val="001D07CD"/>
    <w:rsid w:val="001E3820"/>
    <w:rsid w:val="001E3CE3"/>
    <w:rsid w:val="001F3997"/>
    <w:rsid w:val="001F3B32"/>
    <w:rsid w:val="001F64A3"/>
    <w:rsid w:val="00204C88"/>
    <w:rsid w:val="002056BA"/>
    <w:rsid w:val="00211BD4"/>
    <w:rsid w:val="0022708E"/>
    <w:rsid w:val="0022721B"/>
    <w:rsid w:val="00232581"/>
    <w:rsid w:val="00251145"/>
    <w:rsid w:val="00261035"/>
    <w:rsid w:val="002750C4"/>
    <w:rsid w:val="00290558"/>
    <w:rsid w:val="002966CE"/>
    <w:rsid w:val="002A059D"/>
    <w:rsid w:val="002C2ADF"/>
    <w:rsid w:val="002C4690"/>
    <w:rsid w:val="002D1ED2"/>
    <w:rsid w:val="002D3B02"/>
    <w:rsid w:val="002D661B"/>
    <w:rsid w:val="002D682B"/>
    <w:rsid w:val="002E48AC"/>
    <w:rsid w:val="002E6E6A"/>
    <w:rsid w:val="002F7C33"/>
    <w:rsid w:val="00310111"/>
    <w:rsid w:val="003171E1"/>
    <w:rsid w:val="00317C67"/>
    <w:rsid w:val="003330D9"/>
    <w:rsid w:val="003367AE"/>
    <w:rsid w:val="00344D56"/>
    <w:rsid w:val="003461F6"/>
    <w:rsid w:val="00353663"/>
    <w:rsid w:val="00353A13"/>
    <w:rsid w:val="00360742"/>
    <w:rsid w:val="00360763"/>
    <w:rsid w:val="00362DFF"/>
    <w:rsid w:val="003672A1"/>
    <w:rsid w:val="00375CBF"/>
    <w:rsid w:val="00375EFC"/>
    <w:rsid w:val="003837CC"/>
    <w:rsid w:val="0039001A"/>
    <w:rsid w:val="003904B9"/>
    <w:rsid w:val="0039364E"/>
    <w:rsid w:val="00394187"/>
    <w:rsid w:val="00395CFE"/>
    <w:rsid w:val="003A16E1"/>
    <w:rsid w:val="003A2748"/>
    <w:rsid w:val="003A30F3"/>
    <w:rsid w:val="003B14D3"/>
    <w:rsid w:val="003B3115"/>
    <w:rsid w:val="003B5108"/>
    <w:rsid w:val="003B6138"/>
    <w:rsid w:val="003C39F4"/>
    <w:rsid w:val="003D01ED"/>
    <w:rsid w:val="003D24D9"/>
    <w:rsid w:val="003D42C4"/>
    <w:rsid w:val="003D4648"/>
    <w:rsid w:val="003E086F"/>
    <w:rsid w:val="003E682E"/>
    <w:rsid w:val="003E6B3C"/>
    <w:rsid w:val="003E78B1"/>
    <w:rsid w:val="003F1961"/>
    <w:rsid w:val="00400232"/>
    <w:rsid w:val="004064CD"/>
    <w:rsid w:val="00414AB9"/>
    <w:rsid w:val="004151BD"/>
    <w:rsid w:val="00427AFB"/>
    <w:rsid w:val="00427C3F"/>
    <w:rsid w:val="0043066B"/>
    <w:rsid w:val="004309BF"/>
    <w:rsid w:val="00432574"/>
    <w:rsid w:val="00450255"/>
    <w:rsid w:val="004509DC"/>
    <w:rsid w:val="00452AE1"/>
    <w:rsid w:val="004558CC"/>
    <w:rsid w:val="0046312A"/>
    <w:rsid w:val="004721AF"/>
    <w:rsid w:val="00474162"/>
    <w:rsid w:val="00474670"/>
    <w:rsid w:val="00482D11"/>
    <w:rsid w:val="00484F2D"/>
    <w:rsid w:val="004855CE"/>
    <w:rsid w:val="00485B1D"/>
    <w:rsid w:val="00492001"/>
    <w:rsid w:val="00495E2E"/>
    <w:rsid w:val="00496CF9"/>
    <w:rsid w:val="004A3198"/>
    <w:rsid w:val="004A353C"/>
    <w:rsid w:val="004A386B"/>
    <w:rsid w:val="004B1300"/>
    <w:rsid w:val="004B3F8C"/>
    <w:rsid w:val="004B4C36"/>
    <w:rsid w:val="004B57F5"/>
    <w:rsid w:val="004B6474"/>
    <w:rsid w:val="004C49C0"/>
    <w:rsid w:val="004C711D"/>
    <w:rsid w:val="004D4750"/>
    <w:rsid w:val="004E0FF2"/>
    <w:rsid w:val="004E4ADD"/>
    <w:rsid w:val="0050064B"/>
    <w:rsid w:val="005014C6"/>
    <w:rsid w:val="00502604"/>
    <w:rsid w:val="005169F1"/>
    <w:rsid w:val="0052703B"/>
    <w:rsid w:val="00533851"/>
    <w:rsid w:val="00536A04"/>
    <w:rsid w:val="00541F9A"/>
    <w:rsid w:val="00545E3C"/>
    <w:rsid w:val="00563AD8"/>
    <w:rsid w:val="00564BE8"/>
    <w:rsid w:val="00570E5B"/>
    <w:rsid w:val="005849E3"/>
    <w:rsid w:val="005A1443"/>
    <w:rsid w:val="005B174D"/>
    <w:rsid w:val="005C6E04"/>
    <w:rsid w:val="005E2A78"/>
    <w:rsid w:val="005E2E03"/>
    <w:rsid w:val="005E5E51"/>
    <w:rsid w:val="005E7345"/>
    <w:rsid w:val="005F3D90"/>
    <w:rsid w:val="005F5578"/>
    <w:rsid w:val="005F73AF"/>
    <w:rsid w:val="006037C9"/>
    <w:rsid w:val="00615C49"/>
    <w:rsid w:val="00624533"/>
    <w:rsid w:val="00633068"/>
    <w:rsid w:val="0063494B"/>
    <w:rsid w:val="00637EBE"/>
    <w:rsid w:val="006415DC"/>
    <w:rsid w:val="00643108"/>
    <w:rsid w:val="00651D23"/>
    <w:rsid w:val="00666190"/>
    <w:rsid w:val="00677982"/>
    <w:rsid w:val="006817B0"/>
    <w:rsid w:val="00683C85"/>
    <w:rsid w:val="00687086"/>
    <w:rsid w:val="006A0389"/>
    <w:rsid w:val="006A1468"/>
    <w:rsid w:val="006B6065"/>
    <w:rsid w:val="006C269E"/>
    <w:rsid w:val="006C4904"/>
    <w:rsid w:val="006C51BE"/>
    <w:rsid w:val="006D0A5E"/>
    <w:rsid w:val="006D4CD9"/>
    <w:rsid w:val="006D704E"/>
    <w:rsid w:val="006E3E6D"/>
    <w:rsid w:val="006E6549"/>
    <w:rsid w:val="006E6B2B"/>
    <w:rsid w:val="006F29EA"/>
    <w:rsid w:val="00701698"/>
    <w:rsid w:val="00703C67"/>
    <w:rsid w:val="00707B2F"/>
    <w:rsid w:val="00710792"/>
    <w:rsid w:val="00711BA5"/>
    <w:rsid w:val="0071799F"/>
    <w:rsid w:val="00717CCA"/>
    <w:rsid w:val="007202C6"/>
    <w:rsid w:val="007242BE"/>
    <w:rsid w:val="00725EA1"/>
    <w:rsid w:val="007323DA"/>
    <w:rsid w:val="00740720"/>
    <w:rsid w:val="00747563"/>
    <w:rsid w:val="00750535"/>
    <w:rsid w:val="00754368"/>
    <w:rsid w:val="007543E5"/>
    <w:rsid w:val="00755FBF"/>
    <w:rsid w:val="00757301"/>
    <w:rsid w:val="00757FBA"/>
    <w:rsid w:val="00760453"/>
    <w:rsid w:val="00764333"/>
    <w:rsid w:val="00772EB1"/>
    <w:rsid w:val="00781227"/>
    <w:rsid w:val="007823EE"/>
    <w:rsid w:val="00782E55"/>
    <w:rsid w:val="00784DEB"/>
    <w:rsid w:val="00792B10"/>
    <w:rsid w:val="0079568F"/>
    <w:rsid w:val="00796928"/>
    <w:rsid w:val="007A5455"/>
    <w:rsid w:val="007A5734"/>
    <w:rsid w:val="007B565F"/>
    <w:rsid w:val="007B6C8C"/>
    <w:rsid w:val="007C44FA"/>
    <w:rsid w:val="007C6554"/>
    <w:rsid w:val="007C7E2D"/>
    <w:rsid w:val="007D495A"/>
    <w:rsid w:val="007D7DDB"/>
    <w:rsid w:val="007E1738"/>
    <w:rsid w:val="00800CF6"/>
    <w:rsid w:val="0080591D"/>
    <w:rsid w:val="00805AB6"/>
    <w:rsid w:val="00807DB5"/>
    <w:rsid w:val="00820F1E"/>
    <w:rsid w:val="0082778D"/>
    <w:rsid w:val="00833E27"/>
    <w:rsid w:val="00865ECE"/>
    <w:rsid w:val="008739E4"/>
    <w:rsid w:val="00881E07"/>
    <w:rsid w:val="00882520"/>
    <w:rsid w:val="00882783"/>
    <w:rsid w:val="00883934"/>
    <w:rsid w:val="00883AD9"/>
    <w:rsid w:val="00884CD4"/>
    <w:rsid w:val="00884D23"/>
    <w:rsid w:val="00887D9A"/>
    <w:rsid w:val="008A5C0A"/>
    <w:rsid w:val="008A7A8E"/>
    <w:rsid w:val="008B5B66"/>
    <w:rsid w:val="008B6874"/>
    <w:rsid w:val="008C1818"/>
    <w:rsid w:val="008D2C44"/>
    <w:rsid w:val="008D5E13"/>
    <w:rsid w:val="008D6E9E"/>
    <w:rsid w:val="008E642A"/>
    <w:rsid w:val="008F537D"/>
    <w:rsid w:val="008F7087"/>
    <w:rsid w:val="009058B1"/>
    <w:rsid w:val="00907FC0"/>
    <w:rsid w:val="00912B7C"/>
    <w:rsid w:val="00916721"/>
    <w:rsid w:val="009230CE"/>
    <w:rsid w:val="0092369B"/>
    <w:rsid w:val="009252C8"/>
    <w:rsid w:val="00935EDD"/>
    <w:rsid w:val="00943BDE"/>
    <w:rsid w:val="00945B1A"/>
    <w:rsid w:val="00951896"/>
    <w:rsid w:val="009548DD"/>
    <w:rsid w:val="00957D22"/>
    <w:rsid w:val="00986CF3"/>
    <w:rsid w:val="00994BEE"/>
    <w:rsid w:val="00996E98"/>
    <w:rsid w:val="009A2C80"/>
    <w:rsid w:val="009A409B"/>
    <w:rsid w:val="009A4DB9"/>
    <w:rsid w:val="009B2930"/>
    <w:rsid w:val="009B3ECA"/>
    <w:rsid w:val="009B583F"/>
    <w:rsid w:val="009B7C89"/>
    <w:rsid w:val="009C3565"/>
    <w:rsid w:val="009D3745"/>
    <w:rsid w:val="009E15D6"/>
    <w:rsid w:val="009E2C7E"/>
    <w:rsid w:val="00A030DE"/>
    <w:rsid w:val="00A06CAF"/>
    <w:rsid w:val="00A12E67"/>
    <w:rsid w:val="00A27C06"/>
    <w:rsid w:val="00A27D94"/>
    <w:rsid w:val="00A447FD"/>
    <w:rsid w:val="00A450CD"/>
    <w:rsid w:val="00A672AE"/>
    <w:rsid w:val="00A67A25"/>
    <w:rsid w:val="00A70232"/>
    <w:rsid w:val="00A72141"/>
    <w:rsid w:val="00A82F8D"/>
    <w:rsid w:val="00A90C3B"/>
    <w:rsid w:val="00A93CAF"/>
    <w:rsid w:val="00A95AFA"/>
    <w:rsid w:val="00A96D13"/>
    <w:rsid w:val="00AA5609"/>
    <w:rsid w:val="00AB0CA8"/>
    <w:rsid w:val="00AC38A8"/>
    <w:rsid w:val="00AD189B"/>
    <w:rsid w:val="00AD29CB"/>
    <w:rsid w:val="00AD2E14"/>
    <w:rsid w:val="00AE03FA"/>
    <w:rsid w:val="00AE0C8F"/>
    <w:rsid w:val="00AE2C4D"/>
    <w:rsid w:val="00AF079E"/>
    <w:rsid w:val="00AF63AC"/>
    <w:rsid w:val="00AF6EDC"/>
    <w:rsid w:val="00B027ED"/>
    <w:rsid w:val="00B04857"/>
    <w:rsid w:val="00B06C59"/>
    <w:rsid w:val="00B1116C"/>
    <w:rsid w:val="00B37A15"/>
    <w:rsid w:val="00B46964"/>
    <w:rsid w:val="00B503C2"/>
    <w:rsid w:val="00B52E6C"/>
    <w:rsid w:val="00B567EC"/>
    <w:rsid w:val="00B6173A"/>
    <w:rsid w:val="00B65557"/>
    <w:rsid w:val="00B655D9"/>
    <w:rsid w:val="00B72165"/>
    <w:rsid w:val="00B72AB0"/>
    <w:rsid w:val="00B837AB"/>
    <w:rsid w:val="00BA1821"/>
    <w:rsid w:val="00BA32BB"/>
    <w:rsid w:val="00BA38BE"/>
    <w:rsid w:val="00BC0E1F"/>
    <w:rsid w:val="00BD19DB"/>
    <w:rsid w:val="00BD220B"/>
    <w:rsid w:val="00BD24AA"/>
    <w:rsid w:val="00BD6DDE"/>
    <w:rsid w:val="00BD7619"/>
    <w:rsid w:val="00BF258E"/>
    <w:rsid w:val="00BF763C"/>
    <w:rsid w:val="00C025F3"/>
    <w:rsid w:val="00C03B3C"/>
    <w:rsid w:val="00C05435"/>
    <w:rsid w:val="00C10EA4"/>
    <w:rsid w:val="00C268CD"/>
    <w:rsid w:val="00C313B7"/>
    <w:rsid w:val="00C34EF4"/>
    <w:rsid w:val="00C36028"/>
    <w:rsid w:val="00C36BEF"/>
    <w:rsid w:val="00C36E8A"/>
    <w:rsid w:val="00C3787B"/>
    <w:rsid w:val="00C41F42"/>
    <w:rsid w:val="00C43E0B"/>
    <w:rsid w:val="00C45BF3"/>
    <w:rsid w:val="00C47364"/>
    <w:rsid w:val="00C53A65"/>
    <w:rsid w:val="00C5501C"/>
    <w:rsid w:val="00C753B8"/>
    <w:rsid w:val="00C80CDA"/>
    <w:rsid w:val="00C848F1"/>
    <w:rsid w:val="00CA6741"/>
    <w:rsid w:val="00CB7FB8"/>
    <w:rsid w:val="00CC5954"/>
    <w:rsid w:val="00CE324D"/>
    <w:rsid w:val="00CF2B15"/>
    <w:rsid w:val="00CF33F6"/>
    <w:rsid w:val="00D02383"/>
    <w:rsid w:val="00D23A3D"/>
    <w:rsid w:val="00D30FA8"/>
    <w:rsid w:val="00D3670C"/>
    <w:rsid w:val="00D61EC2"/>
    <w:rsid w:val="00D63C63"/>
    <w:rsid w:val="00D76E7F"/>
    <w:rsid w:val="00DA005C"/>
    <w:rsid w:val="00DA3A20"/>
    <w:rsid w:val="00DA65A7"/>
    <w:rsid w:val="00DB1BB4"/>
    <w:rsid w:val="00DB1F74"/>
    <w:rsid w:val="00DB79C6"/>
    <w:rsid w:val="00DC2B59"/>
    <w:rsid w:val="00DC3BE7"/>
    <w:rsid w:val="00DE2BF5"/>
    <w:rsid w:val="00DE50E8"/>
    <w:rsid w:val="00DF3905"/>
    <w:rsid w:val="00E027DA"/>
    <w:rsid w:val="00E03B00"/>
    <w:rsid w:val="00E069F7"/>
    <w:rsid w:val="00E07BE7"/>
    <w:rsid w:val="00E13F91"/>
    <w:rsid w:val="00E15871"/>
    <w:rsid w:val="00E20513"/>
    <w:rsid w:val="00E277B3"/>
    <w:rsid w:val="00E4764D"/>
    <w:rsid w:val="00E5390E"/>
    <w:rsid w:val="00E6330D"/>
    <w:rsid w:val="00E640D1"/>
    <w:rsid w:val="00E70E77"/>
    <w:rsid w:val="00E736EA"/>
    <w:rsid w:val="00E9393A"/>
    <w:rsid w:val="00E956DE"/>
    <w:rsid w:val="00E96A82"/>
    <w:rsid w:val="00EA23C9"/>
    <w:rsid w:val="00EA47A3"/>
    <w:rsid w:val="00EB6E73"/>
    <w:rsid w:val="00EC3161"/>
    <w:rsid w:val="00EE3779"/>
    <w:rsid w:val="00EE5935"/>
    <w:rsid w:val="00EE6EBB"/>
    <w:rsid w:val="00F2191D"/>
    <w:rsid w:val="00F274F6"/>
    <w:rsid w:val="00F44D5E"/>
    <w:rsid w:val="00F56308"/>
    <w:rsid w:val="00F6196C"/>
    <w:rsid w:val="00F65095"/>
    <w:rsid w:val="00F666F0"/>
    <w:rsid w:val="00F81408"/>
    <w:rsid w:val="00F83935"/>
    <w:rsid w:val="00F963FF"/>
    <w:rsid w:val="00FB2CF8"/>
    <w:rsid w:val="00FB5D3F"/>
    <w:rsid w:val="00FC29D2"/>
    <w:rsid w:val="00FC5279"/>
    <w:rsid w:val="00FC6818"/>
    <w:rsid w:val="00FC6A76"/>
    <w:rsid w:val="00FC6E2C"/>
    <w:rsid w:val="00FD79E9"/>
    <w:rsid w:val="00FE077A"/>
    <w:rsid w:val="00FE1E39"/>
    <w:rsid w:val="00FE268E"/>
    <w:rsid w:val="00FE3203"/>
    <w:rsid w:val="00FF03BB"/>
    <w:rsid w:val="00FF6261"/>
    <w:rsid w:val="00FF72C0"/>
    <w:rsid w:val="1076F783"/>
    <w:rsid w:val="15DFCA25"/>
    <w:rsid w:val="230779C6"/>
    <w:rsid w:val="31AFF1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45A1B"/>
  <w15:docId w15:val="{0AFC52E7-56F3-47CD-B7C9-41F4BD52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883AD9"/>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7323DA"/>
    <w:pPr>
      <w:ind w:left="567" w:hanging="567"/>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760453"/>
    <w:rPr>
      <w:sz w:val="16"/>
      <w:szCs w:val="16"/>
    </w:rPr>
  </w:style>
  <w:style w:type="paragraph" w:styleId="CommentText">
    <w:name w:val="annotation text"/>
    <w:basedOn w:val="Normal"/>
    <w:link w:val="CommentTextChar"/>
    <w:uiPriority w:val="99"/>
    <w:unhideWhenUsed/>
    <w:rsid w:val="00760453"/>
    <w:pPr>
      <w:spacing w:line="240" w:lineRule="auto"/>
    </w:pPr>
    <w:rPr>
      <w:sz w:val="20"/>
      <w:szCs w:val="20"/>
    </w:rPr>
  </w:style>
  <w:style w:type="character" w:customStyle="1" w:styleId="CommentTextChar">
    <w:name w:val="Comment Text Char"/>
    <w:basedOn w:val="DefaultParagraphFont"/>
    <w:link w:val="CommentText"/>
    <w:uiPriority w:val="99"/>
    <w:rsid w:val="00760453"/>
    <w:rPr>
      <w:sz w:val="20"/>
      <w:szCs w:val="20"/>
      <w:lang w:val="en-AU"/>
    </w:rPr>
  </w:style>
  <w:style w:type="paragraph" w:styleId="CommentSubject">
    <w:name w:val="annotation subject"/>
    <w:basedOn w:val="CommentText"/>
    <w:next w:val="CommentText"/>
    <w:link w:val="CommentSubjectChar"/>
    <w:uiPriority w:val="99"/>
    <w:semiHidden/>
    <w:unhideWhenUsed/>
    <w:rsid w:val="00760453"/>
    <w:rPr>
      <w:b/>
      <w:bCs/>
    </w:rPr>
  </w:style>
  <w:style w:type="character" w:customStyle="1" w:styleId="CommentSubjectChar">
    <w:name w:val="Comment Subject Char"/>
    <w:basedOn w:val="CommentTextChar"/>
    <w:link w:val="CommentSubject"/>
    <w:uiPriority w:val="99"/>
    <w:semiHidden/>
    <w:rsid w:val="00760453"/>
    <w:rPr>
      <w:b/>
      <w:bCs/>
      <w:sz w:val="20"/>
      <w:szCs w:val="20"/>
      <w:lang w:val="en-AU"/>
    </w:rPr>
  </w:style>
  <w:style w:type="character" w:styleId="UnresolvedMention">
    <w:name w:val="Unresolved Mention"/>
    <w:basedOn w:val="DefaultParagraphFont"/>
    <w:uiPriority w:val="99"/>
    <w:semiHidden/>
    <w:unhideWhenUsed/>
    <w:rsid w:val="003461F6"/>
    <w:rPr>
      <w:color w:val="605E5C"/>
      <w:shd w:val="clear" w:color="auto" w:fill="E1DFDD"/>
    </w:rPr>
  </w:style>
  <w:style w:type="paragraph" w:styleId="Revision">
    <w:name w:val="Revision"/>
    <w:hidden/>
    <w:uiPriority w:val="99"/>
    <w:semiHidden/>
    <w:rsid w:val="00883AD9"/>
    <w:pPr>
      <w:spacing w:after="0" w:line="240" w:lineRule="auto"/>
    </w:pPr>
    <w:rPr>
      <w:lang w:val="en-AU"/>
    </w:rPr>
  </w:style>
  <w:style w:type="character" w:customStyle="1" w:styleId="cf01">
    <w:name w:val="cf01"/>
    <w:basedOn w:val="DefaultParagraphFont"/>
    <w:rsid w:val="006D70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385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creativecommons.org/licenses/by/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DO@esc.vic.gov.au"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A6733ABC326D4E79B6B065D866AFA289"/>
        <w:category>
          <w:name w:val="General"/>
          <w:gallery w:val="placeholder"/>
        </w:category>
        <w:types>
          <w:type w:val="bbPlcHdr"/>
        </w:types>
        <w:behaviors>
          <w:behavior w:val="content"/>
        </w:behaviors>
        <w:guid w:val="{D15263B8-2F13-4181-9F8F-6C47F448052E}"/>
      </w:docPartPr>
      <w:docPartBody>
        <w:p w:rsidR="006F40CD" w:rsidRDefault="00833905">
          <w:pPr>
            <w:pStyle w:val="A6733ABC326D4E79B6B065D866AFA289"/>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96481528163E47148202FE7F807A6399"/>
        <w:category>
          <w:name w:val="General"/>
          <w:gallery w:val="placeholder"/>
        </w:category>
        <w:types>
          <w:type w:val="bbPlcHdr"/>
        </w:types>
        <w:behaviors>
          <w:behavior w:val="content"/>
        </w:behaviors>
        <w:guid w:val="{71C7F7C6-9698-4818-AC76-7E1EAEB19B67}"/>
      </w:docPartPr>
      <w:docPartBody>
        <w:p w:rsidR="006F40CD" w:rsidRDefault="00833905" w:rsidP="00833905">
          <w:pPr>
            <w:pStyle w:val="96481528163E47148202FE7F807A6399"/>
          </w:pPr>
          <w:r w:rsidRPr="005F3D90">
            <w:rPr>
              <w:highlight w:val="lightGray"/>
            </w:rPr>
            <w:t xml:space="preserve">[Click to select </w:t>
          </w:r>
          <w:r>
            <w:rPr>
              <w:highlight w:val="lightGray"/>
            </w:rPr>
            <w:t>a date</w:t>
          </w:r>
          <w:r w:rsidRPr="005F3D90">
            <w:rPr>
              <w:highlight w:val="lightGray"/>
            </w:rPr>
            <w:t>]</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D4C52"/>
    <w:rsid w:val="000E46D8"/>
    <w:rsid w:val="001471EA"/>
    <w:rsid w:val="001B6C72"/>
    <w:rsid w:val="003B40BC"/>
    <w:rsid w:val="003D4648"/>
    <w:rsid w:val="003E19AC"/>
    <w:rsid w:val="004048E7"/>
    <w:rsid w:val="00491DDD"/>
    <w:rsid w:val="00533027"/>
    <w:rsid w:val="005343B2"/>
    <w:rsid w:val="00584FDB"/>
    <w:rsid w:val="005D5B72"/>
    <w:rsid w:val="0060782F"/>
    <w:rsid w:val="00636170"/>
    <w:rsid w:val="006E231F"/>
    <w:rsid w:val="006F40CD"/>
    <w:rsid w:val="00761DD5"/>
    <w:rsid w:val="0077504C"/>
    <w:rsid w:val="00833905"/>
    <w:rsid w:val="00854ABD"/>
    <w:rsid w:val="00884B38"/>
    <w:rsid w:val="008E7677"/>
    <w:rsid w:val="009D3CB0"/>
    <w:rsid w:val="00AE492E"/>
    <w:rsid w:val="00B77E07"/>
    <w:rsid w:val="00C35EA9"/>
    <w:rsid w:val="00CB7C76"/>
    <w:rsid w:val="00CD497B"/>
    <w:rsid w:val="00D17E96"/>
    <w:rsid w:val="00D33CF6"/>
    <w:rsid w:val="00D5411B"/>
    <w:rsid w:val="00DF4CDD"/>
    <w:rsid w:val="00E14A76"/>
    <w:rsid w:val="00E40A5A"/>
    <w:rsid w:val="00EE1A02"/>
    <w:rsid w:val="00FC2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sid w:val="00636170"/>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A6733ABC326D4E79B6B065D866AFA289">
    <w:name w:val="A6733ABC326D4E79B6B065D866AFA289"/>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96481528163E47148202FE7F807A6399">
    <w:name w:val="96481528163E47148202FE7F807A6399"/>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F5B4F566EDE04E8FC82BBE258AC15C" ma:contentTypeVersion="14" ma:contentTypeDescription="Create a new document." ma:contentTypeScope="" ma:versionID="4eddb80c5a86f3adf767ff00a142a42e">
  <xsd:schema xmlns:xsd="http://www.w3.org/2001/XMLSchema" xmlns:xs="http://www.w3.org/2001/XMLSchema" xmlns:p="http://schemas.microsoft.com/office/2006/metadata/properties" xmlns:ns2="12fa1e3f-bff0-4a68-a0e1-8991d6694121" xmlns:ns3="1fe0551b-aea2-4114-b38d-c5f7409b7e34" targetNamespace="http://schemas.microsoft.com/office/2006/metadata/properties" ma:root="true" ma:fieldsID="544b3990ea2472c0f9bdce3a5590c947" ns2:_="" ns3:_="">
    <xsd:import namespace="12fa1e3f-bff0-4a68-a0e1-8991d6694121"/>
    <xsd:import namespace="1fe0551b-aea2-4114-b38d-c5f7409b7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1e3f-bff0-4a68-a0e1-8991d669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e0551b-aea2-4114-b38d-c5f7409b7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f870a1-443f-4a47-b096-e8ee88ab6acd}" ma:internalName="TaxCatchAll" ma:showField="CatchAllData" ma:web="1fe0551b-aea2-4114-b38d-c5f7409b7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fa1e3f-bff0-4a68-a0e1-8991d6694121">
      <Terms xmlns="http://schemas.microsoft.com/office/infopath/2007/PartnerControls"/>
    </lcf76f155ced4ddcb4097134ff3c332f>
    <TaxCatchAll xmlns="1fe0551b-aea2-4114-b38d-c5f7409b7e34" xsi:nil="true"/>
    <SharedWithUsers xmlns="1fe0551b-aea2-4114-b38d-c5f7409b7e34">
      <UserInfo>
        <DisplayName>Ben Thompson (ESC)</DisplayName>
        <AccountId>64</AccountId>
        <AccountType/>
      </UserInfo>
      <UserInfo>
        <DisplayName>Declan O'Reilly</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2.xml><?xml version="1.0" encoding="utf-8"?>
<ds:datastoreItem xmlns:ds="http://schemas.openxmlformats.org/officeDocument/2006/customXml" ds:itemID="{B439273F-1E86-47EB-A75C-E08275F3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1e3f-bff0-4a68-a0e1-8991d6694121"/>
    <ds:schemaRef ds:uri="1fe0551b-aea2-4114-b38d-c5f7409b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B7558-553B-4E46-B675-B9F163EF4B39}">
  <ds:schemaRefs>
    <ds:schemaRef ds:uri="http://schemas.microsoft.com/office/2006/metadata/properties"/>
    <ds:schemaRef ds:uri="http://schemas.microsoft.com/office/infopath/2007/PartnerControls"/>
    <ds:schemaRef ds:uri="12fa1e3f-bff0-4a68-a0e1-8991d6694121"/>
    <ds:schemaRef ds:uri="1fe0551b-aea2-4114-b38d-c5f7409b7e34"/>
  </ds:schemaRefs>
</ds:datastoreItem>
</file>

<file path=customXml/itemProps4.xml><?xml version="1.0" encoding="utf-8"?>
<ds:datastoreItem xmlns:ds="http://schemas.openxmlformats.org/officeDocument/2006/customXml" ds:itemID="{A10FB2DE-2623-434F-9122-874E50683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2892</Words>
  <Characters>16490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Victorian Default Offer Price Determination 2023–24</vt:lpstr>
    </vt:vector>
  </TitlesOfParts>
  <Company/>
  <LinksUpToDate>false</LinksUpToDate>
  <CharactersWithSpaces>19344</CharactersWithSpaces>
  <SharedDoc>false</SharedDoc>
  <HLinks>
    <vt:vector size="78" baseType="variant">
      <vt:variant>
        <vt:i4>1572917</vt:i4>
      </vt:variant>
      <vt:variant>
        <vt:i4>75</vt:i4>
      </vt:variant>
      <vt:variant>
        <vt:i4>0</vt:i4>
      </vt:variant>
      <vt:variant>
        <vt:i4>5</vt:i4>
      </vt:variant>
      <vt:variant>
        <vt:lpwstr>mailto:VDO@esc.vic.gov.au</vt:lpwstr>
      </vt:variant>
      <vt:variant>
        <vt:lpwstr/>
      </vt:variant>
      <vt:variant>
        <vt:i4>1310770</vt:i4>
      </vt:variant>
      <vt:variant>
        <vt:i4>68</vt:i4>
      </vt:variant>
      <vt:variant>
        <vt:i4>0</vt:i4>
      </vt:variant>
      <vt:variant>
        <vt:i4>5</vt:i4>
      </vt:variant>
      <vt:variant>
        <vt:lpwstr/>
      </vt:variant>
      <vt:variant>
        <vt:lpwstr>_Toc133939304</vt:lpwstr>
      </vt:variant>
      <vt:variant>
        <vt:i4>1310770</vt:i4>
      </vt:variant>
      <vt:variant>
        <vt:i4>62</vt:i4>
      </vt:variant>
      <vt:variant>
        <vt:i4>0</vt:i4>
      </vt:variant>
      <vt:variant>
        <vt:i4>5</vt:i4>
      </vt:variant>
      <vt:variant>
        <vt:lpwstr/>
      </vt:variant>
      <vt:variant>
        <vt:lpwstr>_Toc133939303</vt:lpwstr>
      </vt:variant>
      <vt:variant>
        <vt:i4>1310770</vt:i4>
      </vt:variant>
      <vt:variant>
        <vt:i4>56</vt:i4>
      </vt:variant>
      <vt:variant>
        <vt:i4>0</vt:i4>
      </vt:variant>
      <vt:variant>
        <vt:i4>5</vt:i4>
      </vt:variant>
      <vt:variant>
        <vt:lpwstr/>
      </vt:variant>
      <vt:variant>
        <vt:lpwstr>_Toc133939302</vt:lpwstr>
      </vt:variant>
      <vt:variant>
        <vt:i4>1310770</vt:i4>
      </vt:variant>
      <vt:variant>
        <vt:i4>50</vt:i4>
      </vt:variant>
      <vt:variant>
        <vt:i4>0</vt:i4>
      </vt:variant>
      <vt:variant>
        <vt:i4>5</vt:i4>
      </vt:variant>
      <vt:variant>
        <vt:lpwstr/>
      </vt:variant>
      <vt:variant>
        <vt:lpwstr>_Toc133939301</vt:lpwstr>
      </vt:variant>
      <vt:variant>
        <vt:i4>1310770</vt:i4>
      </vt:variant>
      <vt:variant>
        <vt:i4>44</vt:i4>
      </vt:variant>
      <vt:variant>
        <vt:i4>0</vt:i4>
      </vt:variant>
      <vt:variant>
        <vt:i4>5</vt:i4>
      </vt:variant>
      <vt:variant>
        <vt:lpwstr/>
      </vt:variant>
      <vt:variant>
        <vt:lpwstr>_Toc133939300</vt:lpwstr>
      </vt:variant>
      <vt:variant>
        <vt:i4>1900595</vt:i4>
      </vt:variant>
      <vt:variant>
        <vt:i4>38</vt:i4>
      </vt:variant>
      <vt:variant>
        <vt:i4>0</vt:i4>
      </vt:variant>
      <vt:variant>
        <vt:i4>5</vt:i4>
      </vt:variant>
      <vt:variant>
        <vt:lpwstr/>
      </vt:variant>
      <vt:variant>
        <vt:lpwstr>_Toc133939299</vt:lpwstr>
      </vt:variant>
      <vt:variant>
        <vt:i4>1900595</vt:i4>
      </vt:variant>
      <vt:variant>
        <vt:i4>32</vt:i4>
      </vt:variant>
      <vt:variant>
        <vt:i4>0</vt:i4>
      </vt:variant>
      <vt:variant>
        <vt:i4>5</vt:i4>
      </vt:variant>
      <vt:variant>
        <vt:lpwstr/>
      </vt:variant>
      <vt:variant>
        <vt:lpwstr>_Toc133939298</vt:lpwstr>
      </vt:variant>
      <vt:variant>
        <vt:i4>1900595</vt:i4>
      </vt:variant>
      <vt:variant>
        <vt:i4>26</vt:i4>
      </vt:variant>
      <vt:variant>
        <vt:i4>0</vt:i4>
      </vt:variant>
      <vt:variant>
        <vt:i4>5</vt:i4>
      </vt:variant>
      <vt:variant>
        <vt:lpwstr/>
      </vt:variant>
      <vt:variant>
        <vt:lpwstr>_Toc133939297</vt:lpwstr>
      </vt:variant>
      <vt:variant>
        <vt:i4>1900595</vt:i4>
      </vt:variant>
      <vt:variant>
        <vt:i4>20</vt:i4>
      </vt:variant>
      <vt:variant>
        <vt:i4>0</vt:i4>
      </vt:variant>
      <vt:variant>
        <vt:i4>5</vt:i4>
      </vt:variant>
      <vt:variant>
        <vt:lpwstr/>
      </vt:variant>
      <vt:variant>
        <vt:lpwstr>_Toc133939296</vt:lpwstr>
      </vt:variant>
      <vt:variant>
        <vt:i4>1900595</vt:i4>
      </vt:variant>
      <vt:variant>
        <vt:i4>14</vt:i4>
      </vt:variant>
      <vt:variant>
        <vt:i4>0</vt:i4>
      </vt:variant>
      <vt:variant>
        <vt:i4>5</vt:i4>
      </vt:variant>
      <vt:variant>
        <vt:lpwstr/>
      </vt:variant>
      <vt:variant>
        <vt:lpwstr>_Toc133939295</vt:lpwstr>
      </vt:variant>
      <vt:variant>
        <vt:i4>1900595</vt:i4>
      </vt:variant>
      <vt:variant>
        <vt:i4>8</vt:i4>
      </vt:variant>
      <vt:variant>
        <vt:i4>0</vt:i4>
      </vt:variant>
      <vt:variant>
        <vt:i4>5</vt:i4>
      </vt:variant>
      <vt:variant>
        <vt:lpwstr/>
      </vt:variant>
      <vt:variant>
        <vt:lpwstr>_Toc133939294</vt:lpwstr>
      </vt:variant>
      <vt:variant>
        <vt:i4>1900595</vt:i4>
      </vt:variant>
      <vt:variant>
        <vt:i4>2</vt:i4>
      </vt:variant>
      <vt:variant>
        <vt:i4>0</vt:i4>
      </vt:variant>
      <vt:variant>
        <vt:i4>5</vt:i4>
      </vt:variant>
      <vt:variant>
        <vt:lpwstr/>
      </vt:variant>
      <vt:variant>
        <vt:lpwstr>_Toc133939293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Default Offer Price Determination 2024–25</dc:title>
  <dc:subject/>
  <dc:creator>Craig Madden (ESC)</dc:creator>
  <cp:keywords>[SEC=OFFICIAL:Sensitive]</cp:keywords>
  <dc:description>1 July 2024 to 30 June 2025</dc:description>
  <cp:lastModifiedBy>Saeideh Khosroshahi (ESC)</cp:lastModifiedBy>
  <cp:revision>81</cp:revision>
  <cp:lastPrinted>2018-01-09T12:54:00Z</cp:lastPrinted>
  <dcterms:created xsi:type="dcterms:W3CDTF">2024-04-11T10:54:00Z</dcterms:created>
  <dcterms:modified xsi:type="dcterms:W3CDTF">2024-05-21T21:57:00Z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OFFICIAL:Sensitive</vt:lpwstr>
  </property>
  <property fmtid="{D5CDD505-2E9C-101B-9397-08002B2CF9AE}" pid="8" name="PM_Originating_FileId">
    <vt:lpwstr>73FCD447D25E45E58159F2F205B35431</vt:lpwstr>
  </property>
  <property fmtid="{D5CDD505-2E9C-101B-9397-08002B2CF9AE}" pid="9" name="PM_ProtectiveMarkingValue_Footer">
    <vt:lpwstr>OFFICIAL:Sensitive</vt:lpwstr>
  </property>
  <property fmtid="{D5CDD505-2E9C-101B-9397-08002B2CF9AE}" pid="10" name="PM_Originator_Hash_SHA1">
    <vt:lpwstr>10BA1D92C9D3BD27D24C8FB832F750BBB7462609</vt:lpwstr>
  </property>
  <property fmtid="{D5CDD505-2E9C-101B-9397-08002B2CF9AE}" pid="11" name="PM_OriginationTimeStamp">
    <vt:lpwstr>2024-04-10T00:54:51Z</vt:lpwstr>
  </property>
  <property fmtid="{D5CDD505-2E9C-101B-9397-08002B2CF9AE}" pid="12" name="PM_ProtectiveMarkingValue_Header">
    <vt:lpwstr>OFFICIAL:Sensitive</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OFFICIAL:Sensitive</vt:lpwstr>
  </property>
  <property fmtid="{D5CDD505-2E9C-101B-9397-08002B2CF9AE}" pid="19" name="PMUuid">
    <vt:lpwstr>v=2022.2;d=vic.gov.au;g=AB9D6E5A-BA5E-5CC5-A7CB-BDB004968714</vt:lpwstr>
  </property>
  <property fmtid="{D5CDD505-2E9C-101B-9397-08002B2CF9AE}" pid="20" name="PM_Hash_Version">
    <vt:lpwstr>2022.1</vt:lpwstr>
  </property>
  <property fmtid="{D5CDD505-2E9C-101B-9397-08002B2CF9AE}" pid="21" name="PM_Hash_Salt_Prev">
    <vt:lpwstr>EE63E21A3657670294D68923E57FE1A5</vt:lpwstr>
  </property>
  <property fmtid="{D5CDD505-2E9C-101B-9397-08002B2CF9AE}" pid="22" name="PM_Hash_Salt">
    <vt:lpwstr>4825CAB7AC96411DE6789556C1CC0861</vt:lpwstr>
  </property>
  <property fmtid="{D5CDD505-2E9C-101B-9397-08002B2CF9AE}" pid="23" name="PM_Hash_SHA1">
    <vt:lpwstr>674B09F692A762E9A01A48EBB8636EFB88DF53C1</vt:lpwstr>
  </property>
  <property fmtid="{D5CDD505-2E9C-101B-9397-08002B2CF9AE}" pid="24" name="PM_OriginatorUserAccountName_SHA256">
    <vt:lpwstr>409F7F9441E4B2DCB542F34D321410FACEBB3192991C15E074C77A285D6024D1</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HMAC">
    <vt:lpwstr>v=2022.1;a=SHA256;h=ED861EB9BBD64D640A4EE6BC7DFD5B779812F98831A5CF692812E19F6026104D</vt:lpwstr>
  </property>
  <property fmtid="{D5CDD505-2E9C-101B-9397-08002B2CF9AE}" pid="29" name="ContentTypeId">
    <vt:lpwstr>0x0101008AF5B4F566EDE04E8FC82BBE258AC15C</vt:lpwstr>
  </property>
  <property fmtid="{D5CDD505-2E9C-101B-9397-08002B2CF9AE}" pid="30" name="MediaServiceImageTags">
    <vt:lpwstr/>
  </property>
</Properties>
</file>