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834B"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10859D01" w14:textId="77777777" w:rsidR="007E1738" w:rsidRDefault="007E1738" w:rsidP="00633068">
      <w:pPr>
        <w:pStyle w:val="NoSpacing"/>
      </w:pPr>
    </w:p>
    <w:p w14:paraId="70E4F126" w14:textId="77777777" w:rsidR="007E1738" w:rsidRDefault="007E1738" w:rsidP="00633068">
      <w:pPr>
        <w:pStyle w:val="NoSpacing"/>
      </w:pPr>
    </w:p>
    <w:p w14:paraId="1A042B14" w14:textId="77777777" w:rsidR="007E1738" w:rsidRDefault="007E1738" w:rsidP="00633068">
      <w:pPr>
        <w:pStyle w:val="NoSpacing"/>
      </w:pPr>
    </w:p>
    <w:p w14:paraId="2CF563E0" w14:textId="77777777" w:rsidR="007E1738" w:rsidRDefault="007E1738" w:rsidP="00633068">
      <w:pPr>
        <w:pStyle w:val="NoSpacing"/>
      </w:pPr>
    </w:p>
    <w:p w14:paraId="5D055866" w14:textId="77777777" w:rsidR="007E1738" w:rsidRDefault="007E1738" w:rsidP="00633068">
      <w:pPr>
        <w:pStyle w:val="NoSpacing"/>
      </w:pPr>
    </w:p>
    <w:p w14:paraId="311D1A98" w14:textId="77777777" w:rsidR="007E1738" w:rsidRDefault="007E1738" w:rsidP="00633068">
      <w:pPr>
        <w:pStyle w:val="NoSpacing"/>
      </w:pPr>
    </w:p>
    <w:p w14:paraId="44921561" w14:textId="77777777" w:rsidR="007E1738" w:rsidRDefault="007E1738" w:rsidP="00633068">
      <w:pPr>
        <w:pStyle w:val="NoSpacing"/>
      </w:pPr>
    </w:p>
    <w:p w14:paraId="334B141D" w14:textId="77777777" w:rsidR="007E1738" w:rsidRDefault="007E1738" w:rsidP="00633068">
      <w:pPr>
        <w:pStyle w:val="NoSpacing"/>
      </w:pPr>
    </w:p>
    <w:p w14:paraId="624F6943" w14:textId="77777777" w:rsidR="007E1738" w:rsidRDefault="007E1738" w:rsidP="00633068">
      <w:pPr>
        <w:pStyle w:val="NoSpacing"/>
      </w:pPr>
    </w:p>
    <w:p w14:paraId="1B86092E" w14:textId="77777777" w:rsidR="007E1738" w:rsidRDefault="007E1738" w:rsidP="00633068">
      <w:pPr>
        <w:pStyle w:val="NoSpacing"/>
      </w:pPr>
    </w:p>
    <w:p w14:paraId="001AFB63" w14:textId="77777777" w:rsidR="007E1738" w:rsidRDefault="007E1738" w:rsidP="00633068">
      <w:pPr>
        <w:pStyle w:val="NoSpacing"/>
      </w:pPr>
    </w:p>
    <w:p w14:paraId="262AB7FE" w14:textId="77777777" w:rsidR="007E1738" w:rsidRDefault="007E1738" w:rsidP="00633068">
      <w:pPr>
        <w:pStyle w:val="NoSpacing"/>
      </w:pPr>
    </w:p>
    <w:p w14:paraId="4FE15980" w14:textId="77777777" w:rsidR="007E1738" w:rsidRDefault="007E1738" w:rsidP="00633068">
      <w:pPr>
        <w:pStyle w:val="NoSpacing"/>
      </w:pPr>
    </w:p>
    <w:sdt>
      <w:sdtPr>
        <w:rPr>
          <w:lang w:val="en-AU"/>
        </w:rPr>
        <w:id w:val="-1806228930"/>
        <w:docPartObj>
          <w:docPartGallery w:val="Cover Pages"/>
          <w:docPartUnique/>
        </w:docPartObj>
      </w:sdtPr>
      <w:sdtEndPr/>
      <w:sdtContent>
        <w:p w14:paraId="13335DA4"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p>
        <w:p w14:paraId="349C23C3" w14:textId="26B4CE76" w:rsidR="00067DD9" w:rsidRPr="0063494B" w:rsidRDefault="00D61A5B"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EndPr/>
            <w:sdtContent>
              <w:r w:rsidR="0038301B">
                <w:t xml:space="preserve">Unbooked </w:t>
              </w:r>
              <w:r w:rsidR="007909EB">
                <w:t>T</w:t>
              </w:r>
              <w:r w:rsidR="0038301B">
                <w:t xml:space="preserve">axi </w:t>
              </w:r>
              <w:r w:rsidR="007909EB">
                <w:t>F</w:t>
              </w:r>
              <w:r w:rsidR="0038301B">
                <w:t xml:space="preserve">are </w:t>
              </w:r>
              <w:r w:rsidR="007909EB">
                <w:t>A</w:t>
              </w:r>
              <w:r w:rsidR="0038301B">
                <w:t xml:space="preserve">nnual </w:t>
              </w:r>
              <w:r w:rsidR="007909EB">
                <w:t>A</w:t>
              </w:r>
              <w:r w:rsidR="0038301B">
                <w:t>djustment 202</w:t>
              </w:r>
              <w:r w:rsidR="003572DB">
                <w:t>5</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14B8BE" w14:textId="0EFA6BC6" w:rsidR="00067DD9" w:rsidRDefault="00EA0ADB" w:rsidP="007E1738">
              <w:pPr>
                <w:pStyle w:val="Subtitle"/>
                <w:jc w:val="center"/>
              </w:pPr>
              <w:r>
                <w:t>Commission Assessment</w:t>
              </w:r>
            </w:p>
          </w:sdtContent>
        </w:sdt>
        <w:p w14:paraId="6700471C" w14:textId="5C050779" w:rsidR="00067DD9" w:rsidRDefault="00D61A5B" w:rsidP="007E1738">
          <w:pPr>
            <w:pStyle w:val="Subtitle"/>
            <w:jc w:val="center"/>
          </w:pPr>
          <w:sdt>
            <w:sdtPr>
              <w:id w:val="1251166870"/>
              <w:placeholder>
                <w:docPart w:val="6F03402753C9451895E0C26EA66B635F"/>
              </w:placeholder>
              <w:date w:fullDate="2025-08-28T00:00:00Z">
                <w:dateFormat w:val="d MMMM yyyy"/>
                <w:lid w:val="en-US"/>
                <w:storeMappedDataAs w:val="dateTime"/>
                <w:calendar w:val="gregorian"/>
              </w:date>
            </w:sdtPr>
            <w:sdtEndPr/>
            <w:sdtContent>
              <w:r w:rsidR="0060282C">
                <w:rPr>
                  <w:lang w:val="en-US"/>
                </w:rPr>
                <w:t>28 August 2025</w:t>
              </w:r>
            </w:sdtContent>
          </w:sdt>
        </w:p>
        <w:p w14:paraId="10B4E134" w14:textId="77777777" w:rsidR="00067DD9" w:rsidRDefault="00067DD9"/>
        <w:p w14:paraId="06304E2D" w14:textId="77777777" w:rsidR="00067DD9" w:rsidRDefault="00067DD9">
          <w:pPr>
            <w:spacing w:line="259" w:lineRule="auto"/>
          </w:pPr>
          <w:r>
            <w:br w:type="page"/>
          </w:r>
        </w:p>
      </w:sdtContent>
    </w:sdt>
    <w:p w14:paraId="1395A775" w14:textId="77777777" w:rsidR="00FB5D3F" w:rsidRDefault="00FB5D3F" w:rsidP="00FB5D3F">
      <w:pPr>
        <w:pStyle w:val="Heading2"/>
      </w:pPr>
      <w:bookmarkStart w:id="5" w:name="_Toc203998980"/>
      <w:bookmarkEnd w:id="1"/>
      <w:bookmarkEnd w:id="2"/>
      <w:bookmarkEnd w:id="3"/>
      <w:r>
        <w:lastRenderedPageBreak/>
        <w:t>Acknowledgement</w:t>
      </w:r>
      <w:bookmarkEnd w:id="5"/>
    </w:p>
    <w:p w14:paraId="6F45E242" w14:textId="77777777" w:rsidR="00FB5D3F" w:rsidRDefault="00FB5D3F" w:rsidP="00FB5D3F">
      <w:r>
        <w:t>We acknowledge the Traditional Owners of the lands and waterways on which we work and live.</w:t>
      </w:r>
    </w:p>
    <w:p w14:paraId="6705E500" w14:textId="77777777" w:rsidR="00FB5D3F" w:rsidRDefault="00FB5D3F" w:rsidP="00FB5D3F">
      <w:r>
        <w:t>We acknowledge all Aboriginal and Torres Strait Islander communities, and pay our respects to Elders past and present.</w:t>
      </w:r>
    </w:p>
    <w:p w14:paraId="682F27E9"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741AF999" w14:textId="77777777" w:rsidR="00FB5D3F" w:rsidRDefault="00FB5D3F" w:rsidP="00FB5D3F">
      <w:pPr>
        <w:pStyle w:val="NoSpacing"/>
        <w:rPr>
          <w:b/>
        </w:rPr>
      </w:pPr>
    </w:p>
    <w:p w14:paraId="49E64842" w14:textId="77777777" w:rsidR="00FB5D3F" w:rsidRDefault="00FB5D3F" w:rsidP="00FB5D3F">
      <w:pPr>
        <w:spacing w:line="259" w:lineRule="auto"/>
        <w:rPr>
          <w:rStyle w:val="Strong"/>
        </w:rPr>
      </w:pPr>
    </w:p>
    <w:p w14:paraId="226EF88D" w14:textId="77777777" w:rsidR="00FB5D3F" w:rsidRDefault="00FB5D3F" w:rsidP="00FB5D3F">
      <w:pPr>
        <w:spacing w:line="259" w:lineRule="auto"/>
        <w:rPr>
          <w:rStyle w:val="Strong"/>
        </w:rPr>
      </w:pPr>
    </w:p>
    <w:p w14:paraId="1641F445" w14:textId="77777777" w:rsidR="00FB5D3F" w:rsidRDefault="00FB5D3F" w:rsidP="00FB5D3F">
      <w:pPr>
        <w:spacing w:line="259" w:lineRule="auto"/>
        <w:rPr>
          <w:rStyle w:val="Strong"/>
        </w:rPr>
      </w:pPr>
    </w:p>
    <w:p w14:paraId="0A4E371E" w14:textId="77777777" w:rsidR="0016658E" w:rsidRDefault="0016658E" w:rsidP="00FB5D3F">
      <w:pPr>
        <w:spacing w:line="259" w:lineRule="auto"/>
        <w:rPr>
          <w:rStyle w:val="Strong"/>
        </w:rPr>
      </w:pPr>
    </w:p>
    <w:p w14:paraId="56C210E3" w14:textId="77777777" w:rsidR="0016658E" w:rsidRDefault="0016658E" w:rsidP="00FB5D3F">
      <w:pPr>
        <w:spacing w:line="259" w:lineRule="auto"/>
        <w:rPr>
          <w:rStyle w:val="Strong"/>
        </w:rPr>
      </w:pPr>
    </w:p>
    <w:p w14:paraId="00E2C5DE" w14:textId="77777777" w:rsidR="0016658E" w:rsidRDefault="0016658E" w:rsidP="00FB5D3F">
      <w:pPr>
        <w:spacing w:line="259" w:lineRule="auto"/>
        <w:rPr>
          <w:rStyle w:val="Strong"/>
        </w:rPr>
      </w:pPr>
    </w:p>
    <w:p w14:paraId="1E67B722" w14:textId="77777777" w:rsidR="0016658E" w:rsidRDefault="0016658E" w:rsidP="00FB5D3F">
      <w:pPr>
        <w:spacing w:line="259" w:lineRule="auto"/>
        <w:rPr>
          <w:rStyle w:val="Strong"/>
        </w:rPr>
      </w:pPr>
    </w:p>
    <w:p w14:paraId="14F678AB" w14:textId="77777777" w:rsidR="0016658E" w:rsidRDefault="0016658E" w:rsidP="00FB5D3F">
      <w:pPr>
        <w:spacing w:line="259" w:lineRule="auto"/>
        <w:rPr>
          <w:rStyle w:val="Strong"/>
        </w:rPr>
      </w:pPr>
    </w:p>
    <w:p w14:paraId="28DB465D" w14:textId="77777777" w:rsidR="0016658E" w:rsidRDefault="0016658E" w:rsidP="00FB5D3F">
      <w:pPr>
        <w:spacing w:line="259" w:lineRule="auto"/>
        <w:rPr>
          <w:rStyle w:val="Strong"/>
        </w:rPr>
      </w:pPr>
    </w:p>
    <w:p w14:paraId="4B816492" w14:textId="77777777" w:rsidR="0016658E" w:rsidRDefault="0016658E" w:rsidP="00FB5D3F">
      <w:pPr>
        <w:spacing w:line="259" w:lineRule="auto"/>
        <w:rPr>
          <w:rStyle w:val="Strong"/>
        </w:rPr>
      </w:pPr>
    </w:p>
    <w:p w14:paraId="7B44B3A2"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15AC5360" w14:textId="42A8C53F"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572DB">
            <w:t>2025</w:t>
          </w:r>
        </w:sdtContent>
      </w:sdt>
      <w:r>
        <w:t xml:space="preserve">, </w:t>
      </w:r>
      <w:sdt>
        <w:sdtPr>
          <w:rPr>
            <w:i/>
            <w:iCs/>
          </w:r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3572DB" w:rsidRPr="00F61210">
            <w:rPr>
              <w:i/>
              <w:iCs/>
            </w:rPr>
            <w:t>Unbooked Taxi Fare Annual Adjustment 2025</w:t>
          </w:r>
        </w:sdtContent>
      </w:sdt>
      <w:r w:rsidRPr="00F61210">
        <w:rPr>
          <w:i/>
          <w:iCs/>
        </w:rPr>
        <w:t xml:space="preserve">: </w:t>
      </w:r>
      <w:sdt>
        <w:sdtPr>
          <w:rPr>
            <w:i/>
            <w:iCs/>
          </w:r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A0ADB" w:rsidRPr="00F61210">
            <w:rPr>
              <w:i/>
              <w:iCs/>
            </w:rPr>
            <w:t>Commission Assessment</w:t>
          </w:r>
        </w:sdtContent>
      </w:sdt>
      <w:r>
        <w:t xml:space="preserve">, </w:t>
      </w:r>
      <w:sdt>
        <w:sdtPr>
          <w:alias w:val="Date"/>
          <w:tag w:val="Year"/>
          <w:id w:val="-733004738"/>
          <w:placeholder>
            <w:docPart w:val="96481528163E47148202FE7F807A6399"/>
          </w:placeholder>
          <w:date w:fullDate="2025-08-28T00:00:00Z">
            <w:dateFormat w:val="d MMMM "/>
            <w:lid w:val="en-US"/>
            <w:storeMappedDataAs w:val="dateTime"/>
            <w:calendar w:val="gregorian"/>
          </w:date>
        </w:sdtPr>
        <w:sdtEndPr/>
        <w:sdtContent>
          <w:r w:rsidR="0060282C">
            <w:rPr>
              <w:lang w:val="en-US"/>
            </w:rPr>
            <w:t xml:space="preserve">28 August </w:t>
          </w:r>
        </w:sdtContent>
      </w:sdt>
    </w:p>
    <w:p w14:paraId="0F0757BB" w14:textId="77777777" w:rsidR="00FB5D3F" w:rsidRDefault="00FB5D3F" w:rsidP="00FB5D3F">
      <w:pPr>
        <w:rPr>
          <w:rStyle w:val="Strong"/>
        </w:rPr>
      </w:pPr>
      <w:bookmarkStart w:id="6" w:name="_Toc480988876"/>
      <w:bookmarkStart w:id="7" w:name="_Toc481138188"/>
      <w:bookmarkStart w:id="8" w:name="_Toc481138396"/>
    </w:p>
    <w:bookmarkEnd w:id="6"/>
    <w:bookmarkEnd w:id="7"/>
    <w:bookmarkEnd w:id="8"/>
    <w:p w14:paraId="27BD49D9" w14:textId="7D1CC57F"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B7C95">
            <w:t>2025</w:t>
          </w:r>
        </w:sdtContent>
      </w:sdt>
    </w:p>
    <w:p w14:paraId="23C6C40E" w14:textId="77777777" w:rsidR="00FB5D3F" w:rsidRDefault="00FB5D3F" w:rsidP="00FB5D3F">
      <w:r w:rsidRPr="00F70F20">
        <w:rPr>
          <w:noProof/>
          <w:lang w:eastAsia="en-AU"/>
        </w:rPr>
        <w:drawing>
          <wp:inline distT="0" distB="0" distL="0" distR="0" wp14:anchorId="0FDA9B16" wp14:editId="507C5164">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1B5C05BC" w14:textId="0F053CBB" w:rsidR="00FB5D3F" w:rsidRDefault="00FB5D3F" w:rsidP="00FB5D3F">
      <w:r>
        <w:t xml:space="preserve">This work, </w:t>
      </w:r>
      <w:sdt>
        <w:sdtPr>
          <w:rPr>
            <w:i/>
            <w:iCs/>
          </w:r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3572DB" w:rsidRPr="00F61210">
            <w:rPr>
              <w:i/>
              <w:iCs/>
            </w:rPr>
            <w:t>Unbooked Taxi Fare Annual Adjustment 2025</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49FDEFDD" w14:textId="77777777" w:rsidR="000B5835" w:rsidRDefault="00FB5D3F" w:rsidP="00FB5D3F">
      <w:pPr>
        <w:sectPr w:rsidR="000B5835" w:rsidSect="005D6D47">
          <w:headerReference w:type="even" r:id="rId15"/>
          <w:headerReference w:type="default" r:id="rId16"/>
          <w:footerReference w:type="default" r:id="rId17"/>
          <w:headerReference w:type="first" r:id="rId18"/>
          <w:type w:val="continuous"/>
          <w:pgSz w:w="11906" w:h="16838" w:code="9"/>
          <w:pgMar w:top="1134" w:right="1134" w:bottom="1134" w:left="1134" w:header="709" w:footer="692" w:gutter="0"/>
          <w:pgNumType w:fmt="lowerRoman" w:start="1"/>
          <w:cols w:space="708"/>
          <w:docGrid w:linePitch="360"/>
        </w:sectPr>
      </w:pPr>
      <w:r>
        <w:t>The licence does not apply to any brand logo, images or photographs within the publication.</w:t>
      </w:r>
    </w:p>
    <w:p w14:paraId="3454BD10" w14:textId="77777777" w:rsidR="00FB5D3F" w:rsidRDefault="00FB5D3F" w:rsidP="00FB5D3F"/>
    <w:p w14:paraId="31E5D865" w14:textId="77777777" w:rsidR="00717CCA" w:rsidRDefault="00717CCA" w:rsidP="00881E07"/>
    <w:bookmarkEnd w:id="4" w:displacedByCustomXml="next"/>
    <w:sdt>
      <w:sdtPr>
        <w:id w:val="1641840776"/>
        <w:lock w:val="sdtContentLocked"/>
        <w:placeholder>
          <w:docPart w:val="89546CF0731A43EEA0DAC878284F1376"/>
        </w:placeholder>
        <w:showingPlcHdr/>
        <w:text/>
      </w:sdtPr>
      <w:sdtEndPr/>
      <w:sdtContent>
        <w:p w14:paraId="59AB5C67" w14:textId="77777777" w:rsidR="004309BF" w:rsidRDefault="004309BF" w:rsidP="004309BF">
          <w:r>
            <w:t xml:space="preserve">  </w:t>
          </w:r>
        </w:p>
      </w:sdtContent>
    </w:sdt>
    <w:p w14:paraId="1E04C0B9" w14:textId="77777777" w:rsidR="008F7087" w:rsidRDefault="008F7087" w:rsidP="00710792">
      <w:pPr>
        <w:pStyle w:val="Heading1"/>
        <w:sectPr w:rsidR="008F7087" w:rsidSect="008F7087">
          <w:headerReference w:type="even" r:id="rId19"/>
          <w:headerReference w:type="default" r:id="rId20"/>
          <w:footerReference w:type="default" r:id="rId21"/>
          <w:headerReference w:type="first" r:id="rId22"/>
          <w:type w:val="continuous"/>
          <w:pgSz w:w="11906" w:h="16838" w:code="9"/>
          <w:pgMar w:top="1134" w:right="1134" w:bottom="1134" w:left="1134" w:header="709" w:footer="692" w:gutter="0"/>
          <w:pgNumType w:fmt="lowerRoman"/>
          <w:cols w:space="708"/>
          <w:docGrid w:linePitch="360"/>
        </w:sectPr>
      </w:pPr>
      <w:bookmarkStart w:id="9" w:name="_Toc481138189"/>
      <w:bookmarkStart w:id="10" w:name="_Toc481138397"/>
    </w:p>
    <w:bookmarkEnd w:id="9"/>
    <w:bookmarkEnd w:id="10"/>
    <w:p w14:paraId="01098AD9" w14:textId="6FA99F7E"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t>Contents</w:t>
      </w:r>
    </w:p>
    <w:p w14:paraId="06C72D49" w14:textId="2710F6E4" w:rsidR="005D6D47" w:rsidRDefault="00782E55">
      <w:pPr>
        <w:pStyle w:val="TOC3"/>
        <w:rPr>
          <w:rFonts w:eastAsiaTheme="minorEastAsia"/>
          <w:kern w:val="2"/>
          <w:sz w:val="24"/>
          <w:szCs w:val="24"/>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hyperlink w:anchor="_Toc203998980" w:history="1"/>
    </w:p>
    <w:p w14:paraId="2220F1AF" w14:textId="3D29B8F3" w:rsidR="005D6D47" w:rsidRDefault="005D6D47">
      <w:pPr>
        <w:pStyle w:val="TOC1"/>
        <w:rPr>
          <w:rFonts w:eastAsiaTheme="minorEastAsia"/>
          <w:b w:val="0"/>
          <w:noProof/>
          <w:kern w:val="2"/>
          <w:sz w:val="24"/>
          <w:szCs w:val="24"/>
          <w:lang w:eastAsia="en-AU"/>
          <w14:ligatures w14:val="standardContextual"/>
        </w:rPr>
      </w:pPr>
      <w:hyperlink w:anchor="_Toc203998981" w:history="1">
        <w:r w:rsidRPr="00EA74AE">
          <w:rPr>
            <w:rStyle w:val="Hyperlink"/>
            <w:noProof/>
          </w:rPr>
          <w:t>Our assessment</w:t>
        </w:r>
        <w:r>
          <w:rPr>
            <w:noProof/>
            <w:webHidden/>
          </w:rPr>
          <w:tab/>
        </w:r>
        <w:r>
          <w:rPr>
            <w:noProof/>
            <w:webHidden/>
          </w:rPr>
          <w:fldChar w:fldCharType="begin"/>
        </w:r>
        <w:r>
          <w:rPr>
            <w:noProof/>
            <w:webHidden/>
          </w:rPr>
          <w:instrText xml:space="preserve"> PAGEREF _Toc203998981 \h </w:instrText>
        </w:r>
        <w:r>
          <w:rPr>
            <w:noProof/>
            <w:webHidden/>
          </w:rPr>
        </w:r>
        <w:r>
          <w:rPr>
            <w:noProof/>
            <w:webHidden/>
          </w:rPr>
          <w:fldChar w:fldCharType="separate"/>
        </w:r>
        <w:r>
          <w:rPr>
            <w:noProof/>
            <w:webHidden/>
          </w:rPr>
          <w:t>4</w:t>
        </w:r>
        <w:r>
          <w:rPr>
            <w:noProof/>
            <w:webHidden/>
          </w:rPr>
          <w:fldChar w:fldCharType="end"/>
        </w:r>
      </w:hyperlink>
    </w:p>
    <w:p w14:paraId="64E487D6" w14:textId="07F8527B" w:rsidR="005D6D47" w:rsidRDefault="005D6D47">
      <w:pPr>
        <w:pStyle w:val="TOC3"/>
        <w:rPr>
          <w:rFonts w:eastAsiaTheme="minorEastAsia"/>
          <w:kern w:val="2"/>
          <w:sz w:val="24"/>
          <w:szCs w:val="24"/>
          <w:lang w:eastAsia="en-AU"/>
          <w14:ligatures w14:val="standardContextual"/>
        </w:rPr>
      </w:pPr>
      <w:hyperlink w:anchor="_Toc203998982" w:history="1">
        <w:r w:rsidRPr="00EA74AE">
          <w:rPr>
            <w:rStyle w:val="Hyperlink"/>
          </w:rPr>
          <w:t xml:space="preserve">Maximum fares will increase by </w:t>
        </w:r>
        <w:r w:rsidR="00651C8E">
          <w:rPr>
            <w:rStyle w:val="Hyperlink"/>
          </w:rPr>
          <w:t>2.8</w:t>
        </w:r>
        <w:r w:rsidRPr="00EA74AE">
          <w:rPr>
            <w:rStyle w:val="Hyperlink"/>
          </w:rPr>
          <w:t xml:space="preserve"> per cent</w:t>
        </w:r>
        <w:r>
          <w:rPr>
            <w:webHidden/>
          </w:rPr>
          <w:tab/>
        </w:r>
        <w:r>
          <w:rPr>
            <w:webHidden/>
          </w:rPr>
          <w:fldChar w:fldCharType="begin"/>
        </w:r>
        <w:r>
          <w:rPr>
            <w:webHidden/>
          </w:rPr>
          <w:instrText xml:space="preserve"> PAGEREF _Toc203998982 \h </w:instrText>
        </w:r>
        <w:r>
          <w:rPr>
            <w:webHidden/>
          </w:rPr>
        </w:r>
        <w:r>
          <w:rPr>
            <w:webHidden/>
          </w:rPr>
          <w:fldChar w:fldCharType="separate"/>
        </w:r>
        <w:r>
          <w:rPr>
            <w:webHidden/>
          </w:rPr>
          <w:t>4</w:t>
        </w:r>
        <w:r>
          <w:rPr>
            <w:webHidden/>
          </w:rPr>
          <w:fldChar w:fldCharType="end"/>
        </w:r>
      </w:hyperlink>
    </w:p>
    <w:p w14:paraId="618E6B29" w14:textId="774F2FD2" w:rsidR="005D6D47" w:rsidRDefault="005D6D47">
      <w:pPr>
        <w:pStyle w:val="TOC3"/>
        <w:rPr>
          <w:rFonts w:eastAsiaTheme="minorEastAsia"/>
          <w:kern w:val="2"/>
          <w:sz w:val="24"/>
          <w:szCs w:val="24"/>
          <w:lang w:eastAsia="en-AU"/>
          <w14:ligatures w14:val="standardContextual"/>
        </w:rPr>
      </w:pPr>
      <w:hyperlink w:anchor="_Toc203998985" w:history="1">
        <w:r w:rsidRPr="00EA74AE">
          <w:rPr>
            <w:rStyle w:val="Hyperlink"/>
          </w:rPr>
          <w:t>How the fare adjustment mechanism works</w:t>
        </w:r>
        <w:r>
          <w:rPr>
            <w:webHidden/>
          </w:rPr>
          <w:tab/>
        </w:r>
        <w:r>
          <w:rPr>
            <w:webHidden/>
          </w:rPr>
          <w:fldChar w:fldCharType="begin"/>
        </w:r>
        <w:r>
          <w:rPr>
            <w:webHidden/>
          </w:rPr>
          <w:instrText xml:space="preserve"> PAGEREF _Toc203998985 \h </w:instrText>
        </w:r>
        <w:r>
          <w:rPr>
            <w:webHidden/>
          </w:rPr>
        </w:r>
        <w:r>
          <w:rPr>
            <w:webHidden/>
          </w:rPr>
          <w:fldChar w:fldCharType="separate"/>
        </w:r>
        <w:r>
          <w:rPr>
            <w:webHidden/>
          </w:rPr>
          <w:t>7</w:t>
        </w:r>
        <w:r>
          <w:rPr>
            <w:webHidden/>
          </w:rPr>
          <w:fldChar w:fldCharType="end"/>
        </w:r>
      </w:hyperlink>
    </w:p>
    <w:p w14:paraId="59D895D3" w14:textId="33EA91A3" w:rsidR="005D6D47" w:rsidRDefault="005D6D47">
      <w:pPr>
        <w:pStyle w:val="TOC1"/>
        <w:rPr>
          <w:rFonts w:eastAsiaTheme="minorEastAsia"/>
          <w:b w:val="0"/>
          <w:noProof/>
          <w:kern w:val="2"/>
          <w:sz w:val="24"/>
          <w:szCs w:val="24"/>
          <w:lang w:eastAsia="en-AU"/>
          <w14:ligatures w14:val="standardContextual"/>
        </w:rPr>
      </w:pPr>
      <w:hyperlink w:anchor="_Toc203998987" w:history="1">
        <w:r w:rsidRPr="00EA74AE">
          <w:rPr>
            <w:rStyle w:val="Hyperlink"/>
            <w:noProof/>
          </w:rPr>
          <w:t>Schedule 1:  Maximum fares in Melbourne metropolitan and urban area</w:t>
        </w:r>
        <w:r>
          <w:rPr>
            <w:noProof/>
            <w:webHidden/>
          </w:rPr>
          <w:tab/>
        </w:r>
        <w:r>
          <w:rPr>
            <w:noProof/>
            <w:webHidden/>
          </w:rPr>
          <w:fldChar w:fldCharType="begin"/>
        </w:r>
        <w:r>
          <w:rPr>
            <w:noProof/>
            <w:webHidden/>
          </w:rPr>
          <w:instrText xml:space="preserve"> PAGEREF _Toc203998987 \h </w:instrText>
        </w:r>
        <w:r>
          <w:rPr>
            <w:noProof/>
            <w:webHidden/>
          </w:rPr>
        </w:r>
        <w:r>
          <w:rPr>
            <w:noProof/>
            <w:webHidden/>
          </w:rPr>
          <w:fldChar w:fldCharType="separate"/>
        </w:r>
        <w:r>
          <w:rPr>
            <w:noProof/>
            <w:webHidden/>
          </w:rPr>
          <w:t>9</w:t>
        </w:r>
        <w:r>
          <w:rPr>
            <w:noProof/>
            <w:webHidden/>
          </w:rPr>
          <w:fldChar w:fldCharType="end"/>
        </w:r>
      </w:hyperlink>
    </w:p>
    <w:p w14:paraId="64F89FEF" w14:textId="48E1E7EA" w:rsidR="005D6D47" w:rsidRDefault="005D6D47">
      <w:pPr>
        <w:pStyle w:val="TOC3"/>
        <w:rPr>
          <w:rFonts w:eastAsiaTheme="minorEastAsia"/>
          <w:kern w:val="2"/>
          <w:sz w:val="24"/>
          <w:szCs w:val="24"/>
          <w:lang w:eastAsia="en-AU"/>
          <w14:ligatures w14:val="standardContextual"/>
        </w:rPr>
      </w:pPr>
      <w:hyperlink w:anchor="_Toc203998988" w:history="1">
        <w:r w:rsidRPr="00EA74AE">
          <w:rPr>
            <w:rStyle w:val="Hyperlink"/>
          </w:rPr>
          <w:t>Maximum charges to apply from 23 September</w:t>
        </w:r>
        <w:r>
          <w:rPr>
            <w:webHidden/>
          </w:rPr>
          <w:tab/>
        </w:r>
        <w:r>
          <w:rPr>
            <w:webHidden/>
          </w:rPr>
          <w:fldChar w:fldCharType="begin"/>
        </w:r>
        <w:r>
          <w:rPr>
            <w:webHidden/>
          </w:rPr>
          <w:instrText xml:space="preserve"> PAGEREF _Toc203998988 \h </w:instrText>
        </w:r>
        <w:r>
          <w:rPr>
            <w:webHidden/>
          </w:rPr>
        </w:r>
        <w:r>
          <w:rPr>
            <w:webHidden/>
          </w:rPr>
          <w:fldChar w:fldCharType="separate"/>
        </w:r>
        <w:r>
          <w:rPr>
            <w:webHidden/>
          </w:rPr>
          <w:t>9</w:t>
        </w:r>
        <w:r>
          <w:rPr>
            <w:webHidden/>
          </w:rPr>
          <w:fldChar w:fldCharType="end"/>
        </w:r>
      </w:hyperlink>
    </w:p>
    <w:p w14:paraId="311C7D53" w14:textId="1D8AE3B6" w:rsidR="005D6D47" w:rsidRDefault="005D6D47">
      <w:pPr>
        <w:pStyle w:val="TOC1"/>
        <w:rPr>
          <w:rFonts w:eastAsiaTheme="minorEastAsia"/>
          <w:b w:val="0"/>
          <w:noProof/>
          <w:kern w:val="2"/>
          <w:sz w:val="24"/>
          <w:szCs w:val="24"/>
          <w:lang w:eastAsia="en-AU"/>
          <w14:ligatures w14:val="standardContextual"/>
        </w:rPr>
      </w:pPr>
      <w:hyperlink w:anchor="_Toc203998989" w:history="1">
        <w:r w:rsidRPr="00EA74AE">
          <w:rPr>
            <w:rStyle w:val="Hyperlink"/>
            <w:rFonts w:eastAsia="Tahoma" w:cs="Tahoma"/>
            <w:noProof/>
          </w:rPr>
          <w:t>Schedule 2</w:t>
        </w:r>
        <w:r w:rsidRPr="00EA74AE">
          <w:rPr>
            <w:rStyle w:val="Hyperlink"/>
            <w:noProof/>
          </w:rPr>
          <w:t>:  Maximum fares in Large Regional areas</w:t>
        </w:r>
        <w:r>
          <w:rPr>
            <w:noProof/>
            <w:webHidden/>
          </w:rPr>
          <w:tab/>
        </w:r>
        <w:r>
          <w:rPr>
            <w:noProof/>
            <w:webHidden/>
          </w:rPr>
          <w:fldChar w:fldCharType="begin"/>
        </w:r>
        <w:r>
          <w:rPr>
            <w:noProof/>
            <w:webHidden/>
          </w:rPr>
          <w:instrText xml:space="preserve"> PAGEREF _Toc203998989 \h </w:instrText>
        </w:r>
        <w:r>
          <w:rPr>
            <w:noProof/>
            <w:webHidden/>
          </w:rPr>
        </w:r>
        <w:r>
          <w:rPr>
            <w:noProof/>
            <w:webHidden/>
          </w:rPr>
          <w:fldChar w:fldCharType="separate"/>
        </w:r>
        <w:r>
          <w:rPr>
            <w:noProof/>
            <w:webHidden/>
          </w:rPr>
          <w:t>16</w:t>
        </w:r>
        <w:r>
          <w:rPr>
            <w:noProof/>
            <w:webHidden/>
          </w:rPr>
          <w:fldChar w:fldCharType="end"/>
        </w:r>
      </w:hyperlink>
    </w:p>
    <w:p w14:paraId="2D00A967" w14:textId="744E7F93" w:rsidR="005D6D47" w:rsidRDefault="005D6D47">
      <w:pPr>
        <w:pStyle w:val="TOC3"/>
        <w:rPr>
          <w:rFonts w:eastAsiaTheme="minorEastAsia"/>
          <w:kern w:val="2"/>
          <w:sz w:val="24"/>
          <w:szCs w:val="24"/>
          <w:lang w:eastAsia="en-AU"/>
          <w14:ligatures w14:val="standardContextual"/>
        </w:rPr>
      </w:pPr>
      <w:hyperlink w:anchor="_Toc203998990" w:history="1">
        <w:r w:rsidRPr="00EA74AE">
          <w:rPr>
            <w:rStyle w:val="Hyperlink"/>
          </w:rPr>
          <w:t>Maximum charges to apply from 23 September</w:t>
        </w:r>
        <w:r>
          <w:rPr>
            <w:webHidden/>
          </w:rPr>
          <w:tab/>
        </w:r>
        <w:r>
          <w:rPr>
            <w:webHidden/>
          </w:rPr>
          <w:fldChar w:fldCharType="begin"/>
        </w:r>
        <w:r>
          <w:rPr>
            <w:webHidden/>
          </w:rPr>
          <w:instrText xml:space="preserve"> PAGEREF _Toc203998990 \h </w:instrText>
        </w:r>
        <w:r>
          <w:rPr>
            <w:webHidden/>
          </w:rPr>
        </w:r>
        <w:r>
          <w:rPr>
            <w:webHidden/>
          </w:rPr>
          <w:fldChar w:fldCharType="separate"/>
        </w:r>
        <w:r>
          <w:rPr>
            <w:webHidden/>
          </w:rPr>
          <w:t>16</w:t>
        </w:r>
        <w:r>
          <w:rPr>
            <w:webHidden/>
          </w:rPr>
          <w:fldChar w:fldCharType="end"/>
        </w:r>
      </w:hyperlink>
    </w:p>
    <w:p w14:paraId="08C6421E" w14:textId="3EEB7C7D" w:rsidR="00D3670C" w:rsidRDefault="00782E55" w:rsidP="00D3670C">
      <w:r>
        <w:rPr>
          <w:color w:val="236192" w:themeColor="accent1"/>
        </w:rPr>
        <w:fldChar w:fldCharType="end"/>
      </w:r>
    </w:p>
    <w:p w14:paraId="38E32901" w14:textId="77777777" w:rsidR="003A30F3" w:rsidRDefault="003A30F3" w:rsidP="003A30F3"/>
    <w:p w14:paraId="7DA8D65D" w14:textId="77777777" w:rsidR="003A30F3" w:rsidRPr="003A30F3" w:rsidRDefault="003A30F3" w:rsidP="003A30F3">
      <w:pPr>
        <w:sectPr w:rsidR="003A30F3" w:rsidRPr="003A30F3" w:rsidSect="008F7087">
          <w:headerReference w:type="even" r:id="rId23"/>
          <w:headerReference w:type="default" r:id="rId24"/>
          <w:footerReference w:type="default" r:id="rId25"/>
          <w:headerReference w:type="first" r:id="rId26"/>
          <w:type w:val="continuous"/>
          <w:pgSz w:w="11906" w:h="16838" w:code="9"/>
          <w:pgMar w:top="1134" w:right="1134" w:bottom="1134" w:left="1134" w:header="709" w:footer="692" w:gutter="0"/>
          <w:pgNumType w:fmt="lowerRoman"/>
          <w:cols w:space="708"/>
          <w:docGrid w:linePitch="360"/>
        </w:sectPr>
      </w:pPr>
    </w:p>
    <w:p w14:paraId="31206A69" w14:textId="72F9DD40" w:rsidR="00183BC7" w:rsidRDefault="005C3668" w:rsidP="00B503C2">
      <w:r>
        <w:t xml:space="preserve">. </w:t>
      </w:r>
    </w:p>
    <w:p w14:paraId="4F3022CA" w14:textId="77777777" w:rsidR="00824CE6" w:rsidRDefault="00824CE6" w:rsidP="00B503C2">
      <w:pPr>
        <w:sectPr w:rsidR="00824CE6" w:rsidSect="007B4538">
          <w:headerReference w:type="even" r:id="rId27"/>
          <w:headerReference w:type="default" r:id="rId28"/>
          <w:footerReference w:type="default" r:id="rId29"/>
          <w:headerReference w:type="first" r:id="rId30"/>
          <w:type w:val="continuous"/>
          <w:pgSz w:w="11906" w:h="16838" w:code="9"/>
          <w:pgMar w:top="1134" w:right="1134" w:bottom="1134" w:left="1134" w:header="709" w:footer="692" w:gutter="0"/>
          <w:pgNumType w:start="1"/>
          <w:cols w:space="708"/>
          <w:docGrid w:linePitch="360"/>
        </w:sectPr>
      </w:pPr>
    </w:p>
    <w:p w14:paraId="2722BCE6" w14:textId="1F5F5786" w:rsidR="00710792" w:rsidRDefault="00BA181E" w:rsidP="00710792">
      <w:pPr>
        <w:pStyle w:val="Heading1"/>
      </w:pPr>
      <w:bookmarkStart w:id="11" w:name="_Toc203998981"/>
      <w:r>
        <w:lastRenderedPageBreak/>
        <w:t xml:space="preserve">Our </w:t>
      </w:r>
      <w:r w:rsidR="004572E9">
        <w:t>assessment</w:t>
      </w:r>
      <w:bookmarkEnd w:id="11"/>
    </w:p>
    <w:p w14:paraId="7642E460" w14:textId="0219A820" w:rsidR="00F176F9" w:rsidRDefault="004023D2" w:rsidP="0009322C">
      <w:bookmarkStart w:id="12" w:name="_Toc480988882"/>
      <w:bookmarkStart w:id="13" w:name="_Toc481138193"/>
      <w:bookmarkStart w:id="14" w:name="_Toc481138401"/>
      <w:r>
        <w:t>T</w:t>
      </w:r>
      <w:r w:rsidR="00B277C6">
        <w:t>his paper</w:t>
      </w:r>
      <w:r>
        <w:t xml:space="preserve"> </w:t>
      </w:r>
      <w:r w:rsidR="00467BA1">
        <w:t>outlines</w:t>
      </w:r>
      <w:r>
        <w:t xml:space="preserve"> the</w:t>
      </w:r>
      <w:r w:rsidR="001C7586">
        <w:t xml:space="preserve"> maximum taxi fares that will apply from 23 September</w:t>
      </w:r>
      <w:r w:rsidR="005931D8">
        <w:t xml:space="preserve"> 2025</w:t>
      </w:r>
      <w:r w:rsidR="001C7586">
        <w:t>.</w:t>
      </w:r>
    </w:p>
    <w:p w14:paraId="2062675C" w14:textId="7DD2403C" w:rsidR="00932664" w:rsidRDefault="005B1C38" w:rsidP="00F61210">
      <w:pPr>
        <w:pStyle w:val="Pull-outBullet1"/>
      </w:pPr>
      <w:r>
        <w:t>St</w:t>
      </w:r>
      <w:r w:rsidR="006C370E">
        <w:t xml:space="preserve">andard charges </w:t>
      </w:r>
      <w:r w:rsidR="008A7909">
        <w:t>for unbooked taxi trips that begin in the Melbourne Metropolitan or Urban and Large Regional Zones</w:t>
      </w:r>
      <w:r w:rsidR="00A71CB2">
        <w:t xml:space="preserve"> </w:t>
      </w:r>
      <w:r w:rsidR="004726D6">
        <w:t xml:space="preserve">will increase by </w:t>
      </w:r>
      <w:r w:rsidR="00F34271" w:rsidRPr="00EA7045">
        <w:t>2.8</w:t>
      </w:r>
      <w:r w:rsidR="004726D6">
        <w:t xml:space="preserve"> per cent</w:t>
      </w:r>
      <w:r w:rsidR="00932664">
        <w:t>.</w:t>
      </w:r>
      <w:r>
        <w:t xml:space="preserve"> </w:t>
      </w:r>
    </w:p>
    <w:p w14:paraId="01DAA4CA" w14:textId="5867A7BB" w:rsidR="00D1011C" w:rsidRDefault="00932664" w:rsidP="00F61210">
      <w:pPr>
        <w:pStyle w:val="Pull-outBullet1"/>
      </w:pPr>
      <w:r>
        <w:t>H</w:t>
      </w:r>
      <w:r w:rsidR="00C45FE5">
        <w:t>igh occupancy charges</w:t>
      </w:r>
      <w:r>
        <w:t xml:space="preserve"> for unbooked</w:t>
      </w:r>
      <w:r w:rsidR="00A6042B">
        <w:t xml:space="preserve"> taxi</w:t>
      </w:r>
      <w:r>
        <w:t xml:space="preserve"> trips that begin in the Melbourne Metropolitan or Urban and Large Regional Zones</w:t>
      </w:r>
      <w:r w:rsidR="00A51213">
        <w:t xml:space="preserve"> will increase by</w:t>
      </w:r>
      <w:r w:rsidR="00A51213" w:rsidRPr="00A51213">
        <w:t xml:space="preserve"> </w:t>
      </w:r>
      <w:r w:rsidR="00F34271" w:rsidRPr="00E21BE3">
        <w:t>2.6</w:t>
      </w:r>
      <w:r w:rsidR="00A51213" w:rsidRPr="00A51213">
        <w:t xml:space="preserve"> per cent</w:t>
      </w:r>
      <w:r>
        <w:t>.</w:t>
      </w:r>
    </w:p>
    <w:p w14:paraId="1F55A240" w14:textId="1B9A9E2E" w:rsidR="0015033E" w:rsidRDefault="00BA181E" w:rsidP="00BA181E">
      <w:r>
        <w:t xml:space="preserve">We set maximum charges (fares) for </w:t>
      </w:r>
      <w:r w:rsidR="00A16955">
        <w:t>unbooked</w:t>
      </w:r>
      <w:r w:rsidR="006716BF">
        <w:t xml:space="preserve"> commercial passenger vehicle services</w:t>
      </w:r>
      <w:r w:rsidR="00A16955">
        <w:t xml:space="preserve"> </w:t>
      </w:r>
      <w:r w:rsidR="006716BF">
        <w:t>(</w:t>
      </w:r>
      <w:r w:rsidR="001A2576">
        <w:t xml:space="preserve">unbooked </w:t>
      </w:r>
      <w:r w:rsidR="00A16955">
        <w:t>taxis</w:t>
      </w:r>
      <w:r w:rsidR="006716BF">
        <w:t>)</w:t>
      </w:r>
      <w:r w:rsidR="00F4358F">
        <w:t>.</w:t>
      </w:r>
      <w:r w:rsidR="0015033E">
        <w:rPr>
          <w:rStyle w:val="FootnoteReference"/>
        </w:rPr>
        <w:footnoteReference w:id="1"/>
      </w:r>
      <w:r w:rsidR="00A16955">
        <w:t xml:space="preserve"> These charges apply to trips that begin in the Melbourne Metropolitan or Urban and Large Regional Zones.</w:t>
      </w:r>
    </w:p>
    <w:p w14:paraId="753337EC" w14:textId="41618714" w:rsidR="00BA181E" w:rsidRDefault="00BA181E" w:rsidP="0009322C">
      <w:r>
        <w:t>In</w:t>
      </w:r>
      <w:r w:rsidR="0086151B">
        <w:t xml:space="preserve"> </w:t>
      </w:r>
      <w:r w:rsidR="00A16955">
        <w:t xml:space="preserve">September </w:t>
      </w:r>
      <w:r>
        <w:t>2024</w:t>
      </w:r>
      <w:r w:rsidR="00A16955">
        <w:t>,</w:t>
      </w:r>
      <w:r>
        <w:t xml:space="preserve"> </w:t>
      </w:r>
      <w:r w:rsidR="00E74812">
        <w:t xml:space="preserve">we made </w:t>
      </w:r>
      <w:r w:rsidR="00A16955">
        <w:t xml:space="preserve">a fare </w:t>
      </w:r>
      <w:r w:rsidR="00E74812">
        <w:t xml:space="preserve">determination for </w:t>
      </w:r>
      <w:r w:rsidR="00793417">
        <w:t xml:space="preserve">the </w:t>
      </w:r>
      <w:r w:rsidR="00E74812">
        <w:t>2024</w:t>
      </w:r>
      <w:r w:rsidR="00F62490">
        <w:t>–</w:t>
      </w:r>
      <w:r w:rsidR="00E74812">
        <w:t>26</w:t>
      </w:r>
      <w:r w:rsidR="00793417">
        <w:t xml:space="preserve"> regulatory period</w:t>
      </w:r>
      <w:r w:rsidR="00A16955">
        <w:t>.</w:t>
      </w:r>
      <w:r w:rsidR="00A45F40">
        <w:rPr>
          <w:rStyle w:val="FootnoteReference"/>
        </w:rPr>
        <w:footnoteReference w:id="2"/>
      </w:r>
      <w:r w:rsidR="00A16955">
        <w:t xml:space="preserve"> </w:t>
      </w:r>
      <w:r w:rsidR="006267CF">
        <w:t>The determination</w:t>
      </w:r>
      <w:r>
        <w:t xml:space="preserve"> </w:t>
      </w:r>
      <w:r w:rsidR="0015033E">
        <w:t>include</w:t>
      </w:r>
      <w:r w:rsidR="006267CF">
        <w:t>s</w:t>
      </w:r>
      <w:r w:rsidR="0015033E">
        <w:t xml:space="preserve"> a</w:t>
      </w:r>
      <w:r>
        <w:t xml:space="preserve"> fare adjustment mechanism </w:t>
      </w:r>
      <w:r w:rsidR="0015033E">
        <w:t xml:space="preserve">which changes maximum fares in September 2025, if certain conditions </w:t>
      </w:r>
      <w:r w:rsidR="00710D32">
        <w:t>are</w:t>
      </w:r>
      <w:r w:rsidR="0015033E">
        <w:t xml:space="preserve"> met. That is, </w:t>
      </w:r>
      <w:r w:rsidR="00722997">
        <w:t>maximum</w:t>
      </w:r>
      <w:r w:rsidR="0015033E">
        <w:t xml:space="preserve"> fares would </w:t>
      </w:r>
      <w:r w:rsidR="0015033E" w:rsidRPr="00B47CAD">
        <w:t>be altered in line with changes in</w:t>
      </w:r>
      <w:r w:rsidR="000253E4">
        <w:t xml:space="preserve"> the</w:t>
      </w:r>
      <w:r w:rsidR="0015033E" w:rsidRPr="00B47CAD">
        <w:t xml:space="preserve"> cost </w:t>
      </w:r>
      <w:r w:rsidR="000253E4">
        <w:t xml:space="preserve">of operating a taxi </w:t>
      </w:r>
      <w:r w:rsidR="0015033E" w:rsidRPr="00B47CAD">
        <w:t xml:space="preserve">(as measured by our taxi cost indexes), </w:t>
      </w:r>
      <w:r w:rsidR="006267CF">
        <w:t>where</w:t>
      </w:r>
      <w:r w:rsidR="0015033E" w:rsidRPr="00B47CAD">
        <w:t xml:space="preserve"> these changes exceed plus or minus </w:t>
      </w:r>
      <w:r w:rsidR="00A45F40" w:rsidRPr="0009322C">
        <w:t>1</w:t>
      </w:r>
      <w:r w:rsidR="0015033E" w:rsidRPr="00B47CAD">
        <w:t xml:space="preserve"> percent in total</w:t>
      </w:r>
      <w:r w:rsidR="00A45F40" w:rsidRPr="0009322C">
        <w:t xml:space="preserve"> (</w:t>
      </w:r>
      <w:r w:rsidR="003B5303">
        <w:t>the</w:t>
      </w:r>
      <w:r w:rsidR="00A45F40" w:rsidRPr="0009322C">
        <w:t xml:space="preserve"> 1 percent threshold)</w:t>
      </w:r>
      <w:r w:rsidR="0015033E" w:rsidRPr="00B47CAD">
        <w:t>.</w:t>
      </w:r>
    </w:p>
    <w:p w14:paraId="45BD6D1D" w14:textId="14D8AD67" w:rsidR="00C13A80" w:rsidRDefault="00C13A80" w:rsidP="00C13A80">
      <w:pPr>
        <w:pStyle w:val="Heading2"/>
      </w:pPr>
      <w:bookmarkStart w:id="15" w:name="_Toc203998982"/>
      <w:r>
        <w:t xml:space="preserve">Maximum fares will increase by </w:t>
      </w:r>
      <w:r w:rsidR="00773281" w:rsidRPr="00987E8A">
        <w:t>2.8</w:t>
      </w:r>
      <w:r>
        <w:t xml:space="preserve"> per cent</w:t>
      </w:r>
      <w:bookmarkEnd w:id="15"/>
    </w:p>
    <w:p w14:paraId="659C357E" w14:textId="45F539EA" w:rsidR="00A45F40" w:rsidRDefault="00C13A80" w:rsidP="00C13A80">
      <w:r>
        <w:t>Standard</w:t>
      </w:r>
      <w:r w:rsidR="00A5693C">
        <w:t xml:space="preserve"> adjustable maximum</w:t>
      </w:r>
      <w:r>
        <w:t xml:space="preserve"> charges </w:t>
      </w:r>
      <w:r w:rsidR="00E02962">
        <w:t xml:space="preserve">(standard charges) </w:t>
      </w:r>
      <w:r>
        <w:t xml:space="preserve">will </w:t>
      </w:r>
      <w:r w:rsidRPr="0055570B">
        <w:t xml:space="preserve">increase by </w:t>
      </w:r>
      <w:r w:rsidR="00F34271" w:rsidRPr="0055570B">
        <w:t>2.8</w:t>
      </w:r>
      <w:r w:rsidRPr="0055570B">
        <w:t xml:space="preserve"> per cent</w:t>
      </w:r>
      <w:r w:rsidR="00D00676" w:rsidRPr="0055570B">
        <w:t xml:space="preserve">, and high occupancy </w:t>
      </w:r>
      <w:r w:rsidR="00A5693C" w:rsidRPr="0055570B">
        <w:t xml:space="preserve">adjustable maximum </w:t>
      </w:r>
      <w:r w:rsidR="00D00676" w:rsidRPr="0055570B">
        <w:t>charges</w:t>
      </w:r>
      <w:r w:rsidR="00E02962" w:rsidRPr="0055570B">
        <w:t xml:space="preserve"> (high occupancy charges)</w:t>
      </w:r>
      <w:r w:rsidR="00D00676" w:rsidRPr="0055570B">
        <w:t xml:space="preserve"> will increase by </w:t>
      </w:r>
      <w:r w:rsidR="00F34271" w:rsidRPr="0055570B">
        <w:t>2.6</w:t>
      </w:r>
      <w:r w:rsidR="00D00676" w:rsidRPr="0055570B">
        <w:t xml:space="preserve"> per cent.</w:t>
      </w:r>
    </w:p>
    <w:p w14:paraId="68497743" w14:textId="4CD88FB1" w:rsidR="00D00676" w:rsidRDefault="00E25B77" w:rsidP="00C13A80">
      <w:bookmarkStart w:id="16" w:name="_Hlk202418255"/>
      <w:r>
        <w:t xml:space="preserve">This equates to an estimated </w:t>
      </w:r>
      <w:r w:rsidRPr="0055570B">
        <w:t>increase of $0.</w:t>
      </w:r>
      <w:r w:rsidR="00773281" w:rsidRPr="0055570B">
        <w:t>47</w:t>
      </w:r>
      <w:r w:rsidRPr="0055570B">
        <w:t xml:space="preserve"> for a three-kilometre trip within the Melbourne central business district</w:t>
      </w:r>
      <w:r w:rsidR="00E5300E" w:rsidRPr="0055570B">
        <w:t xml:space="preserve">. </w:t>
      </w:r>
      <w:r w:rsidR="008B50C9" w:rsidRPr="0055570B">
        <w:t xml:space="preserve">It will </w:t>
      </w:r>
      <w:r w:rsidR="006548AE" w:rsidRPr="0055570B">
        <w:t xml:space="preserve">also </w:t>
      </w:r>
      <w:r w:rsidR="008B50C9" w:rsidRPr="0055570B">
        <w:t>mean a</w:t>
      </w:r>
      <w:r w:rsidR="006C5688" w:rsidRPr="0055570B">
        <w:t>n increase of</w:t>
      </w:r>
      <w:r w:rsidRPr="0055570B">
        <w:t xml:space="preserve"> $</w:t>
      </w:r>
      <w:r w:rsidR="00773281" w:rsidRPr="0055570B">
        <w:t>1</w:t>
      </w:r>
      <w:r w:rsidRPr="0055570B">
        <w:t>.</w:t>
      </w:r>
      <w:r w:rsidR="00773281" w:rsidRPr="0055570B">
        <w:t>7</w:t>
      </w:r>
      <w:r w:rsidRPr="0055570B">
        <w:t>0 for a longer trip such as from the Melbourne central business district to the Melbourne International Airport.</w:t>
      </w:r>
    </w:p>
    <w:bookmarkEnd w:id="16"/>
    <w:p w14:paraId="732D409B" w14:textId="4DAE20EB" w:rsidR="0073707C" w:rsidRDefault="00D00676" w:rsidP="00C13A80">
      <w:r w:rsidRPr="0048389F">
        <w:t xml:space="preserve">The </w:t>
      </w:r>
      <w:r w:rsidR="00773281" w:rsidRPr="0048389F">
        <w:t>2.8</w:t>
      </w:r>
      <w:r w:rsidR="001C1B31" w:rsidRPr="0048389F">
        <w:t xml:space="preserve"> per cent</w:t>
      </w:r>
      <w:r w:rsidR="00691EB0" w:rsidRPr="0048389F">
        <w:t xml:space="preserve"> and </w:t>
      </w:r>
      <w:r w:rsidR="00773281" w:rsidRPr="0048389F">
        <w:t>2.6</w:t>
      </w:r>
      <w:r w:rsidR="00691EB0" w:rsidRPr="0048389F">
        <w:t xml:space="preserve"> per cent</w:t>
      </w:r>
      <w:r w:rsidR="00073710" w:rsidRPr="0048389F">
        <w:t xml:space="preserve"> increase</w:t>
      </w:r>
      <w:r w:rsidR="00691EB0" w:rsidRPr="0048389F">
        <w:t>s</w:t>
      </w:r>
      <w:r w:rsidR="00073710" w:rsidRPr="0048389F">
        <w:t xml:space="preserve"> </w:t>
      </w:r>
      <w:r w:rsidR="009F2502" w:rsidRPr="0048389F">
        <w:t>reflect</w:t>
      </w:r>
      <w:r w:rsidR="001C1B31" w:rsidRPr="0048389F">
        <w:t xml:space="preserve"> the</w:t>
      </w:r>
      <w:r w:rsidR="007F14CE" w:rsidRPr="0048389F">
        <w:t xml:space="preserve"> fare adjustment</w:t>
      </w:r>
      <w:r w:rsidR="001C1B31" w:rsidRPr="0048389F">
        <w:t xml:space="preserve"> </w:t>
      </w:r>
      <w:r w:rsidR="0073707C" w:rsidRPr="0048389F">
        <w:t>formula</w:t>
      </w:r>
      <w:r w:rsidR="00D33D3B" w:rsidRPr="0048389F">
        <w:t>s</w:t>
      </w:r>
      <w:r w:rsidR="0073707C" w:rsidRPr="0048389F">
        <w:t xml:space="preserve"> for standard charges and high occupancy charges</w:t>
      </w:r>
      <w:r w:rsidR="00A45F40" w:rsidRPr="0048389F">
        <w:t>.</w:t>
      </w:r>
    </w:p>
    <w:p w14:paraId="007A9D96" w14:textId="5F9A7CBC" w:rsidR="00A93870" w:rsidRDefault="00EC72C9" w:rsidP="00C13A80">
      <w:r>
        <w:lastRenderedPageBreak/>
        <w:t>T</w:t>
      </w:r>
      <w:r w:rsidR="00A93870">
        <w:t>he fare adjustment formula</w:t>
      </w:r>
      <w:r w:rsidR="0086151B">
        <w:t xml:space="preserve"> for standard charges</w:t>
      </w:r>
      <w:r w:rsidR="00A45F40">
        <w:t xml:space="preserve"> </w:t>
      </w:r>
      <w:r w:rsidR="00B5426A">
        <w:t>result</w:t>
      </w:r>
      <w:r w:rsidR="0086151B">
        <w:t>s</w:t>
      </w:r>
      <w:r w:rsidR="00B5426A">
        <w:t xml:space="preserve"> in maximum fares increasing by </w:t>
      </w:r>
      <w:r w:rsidR="00A93870">
        <w:t>more than 1 per cent</w:t>
      </w:r>
      <w:r>
        <w:t>. This means</w:t>
      </w:r>
      <w:r w:rsidR="00A93870">
        <w:t xml:space="preserve"> </w:t>
      </w:r>
      <w:r w:rsidR="00681F75">
        <w:t>the 1 per cent threshold for triggering an annual adjustment has been met.</w:t>
      </w:r>
    </w:p>
    <w:p w14:paraId="4994DB0C" w14:textId="57CF984D" w:rsidR="007B1D09" w:rsidRDefault="007B1D09" w:rsidP="007B1D09">
      <w:pPr>
        <w:pStyle w:val="Heading3"/>
      </w:pPr>
      <w:bookmarkStart w:id="17" w:name="_Toc203998983"/>
      <w:r>
        <w:t>Key drivers of change in costs of operating a taxi</w:t>
      </w:r>
      <w:bookmarkEnd w:id="17"/>
    </w:p>
    <w:p w14:paraId="17B088B4" w14:textId="5587DD96" w:rsidR="007B1D09" w:rsidRDefault="007B1D09" w:rsidP="00C13A80">
      <w:r>
        <w:t xml:space="preserve">The key drivers of the change in the costs of operating a taxi over the period June 2024 to June 2025 were </w:t>
      </w:r>
      <w:r w:rsidR="00047DE3">
        <w:t xml:space="preserve">changes to </w:t>
      </w:r>
      <w:r>
        <w:t xml:space="preserve">the </w:t>
      </w:r>
      <w:r w:rsidRPr="004B5A6A">
        <w:t>minimum wage (</w:t>
      </w:r>
      <w:r w:rsidR="004B5A6A" w:rsidRPr="004B5A6A">
        <w:t>3.5 per cent</w:t>
      </w:r>
      <w:r w:rsidRPr="004B5A6A">
        <w:t xml:space="preserve"> higher), </w:t>
      </w:r>
      <w:r w:rsidRPr="006C44A8">
        <w:t>fuel (</w:t>
      </w:r>
      <w:r w:rsidR="006C44A8" w:rsidRPr="006C44A8">
        <w:t>3.8</w:t>
      </w:r>
      <w:r w:rsidRPr="006C44A8">
        <w:t xml:space="preserve"> per </w:t>
      </w:r>
      <w:r w:rsidRPr="0033452B">
        <w:t xml:space="preserve">cent </w:t>
      </w:r>
      <w:r w:rsidR="00781A73" w:rsidRPr="0033452B">
        <w:t>lower)</w:t>
      </w:r>
      <w:r w:rsidRPr="0033452B">
        <w:t xml:space="preserve"> and insurance (</w:t>
      </w:r>
      <w:r w:rsidR="007D1500">
        <w:t>11.</w:t>
      </w:r>
      <w:r w:rsidR="0033452B" w:rsidRPr="0033452B">
        <w:t>8</w:t>
      </w:r>
      <w:r w:rsidRPr="0033452B">
        <w:t xml:space="preserve"> per cent higher).</w:t>
      </w:r>
      <w:r>
        <w:t xml:space="preserve"> </w:t>
      </w:r>
    </w:p>
    <w:p w14:paraId="5F7DE0F8" w14:textId="1D57F6D6" w:rsidR="0081290A" w:rsidRDefault="00635E5E" w:rsidP="00C13A80">
      <w:r>
        <w:t>The change</w:t>
      </w:r>
      <w:r w:rsidR="004F17ED">
        <w:t>s</w:t>
      </w:r>
      <w:r>
        <w:t xml:space="preserve"> in each cost component</w:t>
      </w:r>
      <w:r w:rsidR="00407A27">
        <w:t xml:space="preserve"> of the </w:t>
      </w:r>
      <w:r w:rsidR="00F61F4C">
        <w:t xml:space="preserve">fare adjustment </w:t>
      </w:r>
      <w:r w:rsidR="00407A27">
        <w:t>formula</w:t>
      </w:r>
      <w:r w:rsidR="002C67BB">
        <w:t>s</w:t>
      </w:r>
      <w:r w:rsidR="00407A27">
        <w:t xml:space="preserve"> for standard charges and high occupancy charges</w:t>
      </w:r>
      <w:r w:rsidR="006560F5">
        <w:t xml:space="preserve"> </w:t>
      </w:r>
      <w:r w:rsidR="004F17ED">
        <w:t>are</w:t>
      </w:r>
      <w:r w:rsidR="006560F5">
        <w:t xml:space="preserve"> set out in Table 1 and 2</w:t>
      </w:r>
      <w:r w:rsidR="00800BB8">
        <w:t>.</w:t>
      </w:r>
      <w:r w:rsidR="006560F5">
        <w:t xml:space="preserve"> </w:t>
      </w:r>
    </w:p>
    <w:p w14:paraId="7AD41D15" w14:textId="77777777" w:rsidR="0081290A" w:rsidRDefault="0081290A" w:rsidP="0081290A">
      <w:pPr>
        <w:pStyle w:val="Figure-Table-BoxHeading"/>
        <w:numPr>
          <w:ilvl w:val="0"/>
          <w:numId w:val="0"/>
        </w:numPr>
        <w:tabs>
          <w:tab w:val="left" w:pos="7317"/>
        </w:tabs>
        <w:spacing w:after="0"/>
      </w:pPr>
      <w:r w:rsidRPr="2DC0906F">
        <w:rPr>
          <w:lang w:val="en-AU"/>
        </w:rPr>
        <w:t>Table 1</w:t>
      </w:r>
      <w:r>
        <w:rPr>
          <w:lang w:val="en-AU"/>
        </w:rPr>
        <w:t>.</w:t>
      </w:r>
      <w:r w:rsidRPr="2DC0906F">
        <w:rPr>
          <w:lang w:val="en-AU"/>
        </w:rPr>
        <w:t xml:space="preserve"> Change in </w:t>
      </w:r>
      <w:r>
        <w:rPr>
          <w:lang w:val="en-AU"/>
        </w:rPr>
        <w:t>fare adjustment mechanism components: standard charges</w:t>
      </w:r>
    </w:p>
    <w:tbl>
      <w:tblPr>
        <w:tblStyle w:val="TableGrid"/>
        <w:tblW w:w="0" w:type="auto"/>
        <w:tblLook w:val="04A0" w:firstRow="1" w:lastRow="0" w:firstColumn="1" w:lastColumn="0" w:noHBand="0" w:noVBand="1"/>
      </w:tblPr>
      <w:tblGrid>
        <w:gridCol w:w="3686"/>
        <w:gridCol w:w="1559"/>
        <w:gridCol w:w="1985"/>
        <w:gridCol w:w="2408"/>
      </w:tblGrid>
      <w:tr w:rsidR="0081290A" w14:paraId="48DD064F" w14:textId="77777777">
        <w:trPr>
          <w:cnfStyle w:val="100000000000" w:firstRow="1" w:lastRow="0" w:firstColumn="0" w:lastColumn="0" w:oddVBand="0" w:evenVBand="0" w:oddHBand="0" w:evenHBand="0" w:firstRowFirstColumn="0" w:firstRowLastColumn="0" w:lastRowFirstColumn="0" w:lastRowLastColumn="0"/>
        </w:trPr>
        <w:tc>
          <w:tcPr>
            <w:tcW w:w="3686" w:type="dxa"/>
          </w:tcPr>
          <w:p w14:paraId="366CBB1F" w14:textId="77777777" w:rsidR="0081290A" w:rsidRDefault="0081290A" w:rsidP="000B009B">
            <w:pPr>
              <w:pStyle w:val="TableHeading"/>
              <w:keepNext/>
              <w:keepLines/>
            </w:pPr>
            <w:r w:rsidRPr="17F31E41">
              <w:rPr>
                <w:lang w:val="en-AU"/>
              </w:rPr>
              <w:t>Cost component</w:t>
            </w:r>
          </w:p>
        </w:tc>
        <w:tc>
          <w:tcPr>
            <w:tcW w:w="1559" w:type="dxa"/>
          </w:tcPr>
          <w:p w14:paraId="04535DEC" w14:textId="77777777" w:rsidR="0081290A" w:rsidRDefault="0081290A" w:rsidP="000B009B">
            <w:pPr>
              <w:pStyle w:val="TableHeading"/>
              <w:keepNext/>
              <w:keepLines/>
              <w:ind w:right="113"/>
              <w:jc w:val="right"/>
            </w:pPr>
            <w:r w:rsidRPr="00AE6193">
              <w:t>Cost share</w:t>
            </w:r>
          </w:p>
        </w:tc>
        <w:tc>
          <w:tcPr>
            <w:tcW w:w="1985" w:type="dxa"/>
          </w:tcPr>
          <w:p w14:paraId="0D46C90E" w14:textId="77777777" w:rsidR="0081290A" w:rsidRDefault="0081290A" w:rsidP="000B009B">
            <w:pPr>
              <w:pStyle w:val="TableHeading"/>
              <w:keepNext/>
              <w:keepLines/>
              <w:ind w:right="113"/>
              <w:jc w:val="right"/>
            </w:pPr>
            <w:r>
              <w:t>Price change</w:t>
            </w:r>
          </w:p>
        </w:tc>
        <w:tc>
          <w:tcPr>
            <w:tcW w:w="2408" w:type="dxa"/>
          </w:tcPr>
          <w:p w14:paraId="6F9BD8E7" w14:textId="77777777" w:rsidR="0081290A" w:rsidRDefault="0081290A" w:rsidP="000B009B">
            <w:pPr>
              <w:pStyle w:val="TableHeading"/>
              <w:keepNext/>
              <w:keepLines/>
              <w:ind w:right="113"/>
              <w:jc w:val="right"/>
            </w:pPr>
            <w:r w:rsidRPr="00AE6193">
              <w:t xml:space="preserve">Contribution </w:t>
            </w:r>
            <w:r>
              <w:t>to fare adjustment</w:t>
            </w:r>
            <w:r w:rsidRPr="00AE6193">
              <w:t xml:space="preserve"> </w:t>
            </w:r>
          </w:p>
        </w:tc>
      </w:tr>
      <w:tr w:rsidR="00773281" w14:paraId="6A13EE63"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6247F038" w14:textId="77777777" w:rsidR="00773281" w:rsidRDefault="00773281" w:rsidP="00773281">
            <w:pPr>
              <w:pStyle w:val="TableBody"/>
            </w:pPr>
            <w:r w:rsidRPr="00AE6193">
              <w:t>Fuel</w:t>
            </w:r>
          </w:p>
        </w:tc>
        <w:tc>
          <w:tcPr>
            <w:tcW w:w="1559" w:type="dxa"/>
          </w:tcPr>
          <w:p w14:paraId="7CD78748" w14:textId="77777777" w:rsidR="00773281" w:rsidRPr="00AB017A" w:rsidRDefault="00773281" w:rsidP="00773281">
            <w:pPr>
              <w:pStyle w:val="TableBody"/>
              <w:ind w:right="113"/>
              <w:jc w:val="right"/>
            </w:pPr>
            <w:r w:rsidRPr="00AB017A">
              <w:t>6.6%</w:t>
            </w:r>
          </w:p>
        </w:tc>
        <w:tc>
          <w:tcPr>
            <w:tcW w:w="1985" w:type="dxa"/>
          </w:tcPr>
          <w:p w14:paraId="736DC76B" w14:textId="1FA15C7C" w:rsidR="00773281" w:rsidRPr="00B02355" w:rsidRDefault="00773281" w:rsidP="00773281">
            <w:pPr>
              <w:pStyle w:val="TableBody"/>
              <w:ind w:right="113"/>
              <w:jc w:val="right"/>
            </w:pPr>
            <w:r w:rsidRPr="00B02355">
              <w:t>-3.8%</w:t>
            </w:r>
          </w:p>
        </w:tc>
        <w:tc>
          <w:tcPr>
            <w:tcW w:w="2408" w:type="dxa"/>
          </w:tcPr>
          <w:p w14:paraId="55885439" w14:textId="5DDA6E56" w:rsidR="00773281" w:rsidRPr="00B02355" w:rsidRDefault="00773281" w:rsidP="00773281">
            <w:pPr>
              <w:pStyle w:val="TableBody"/>
              <w:ind w:right="113"/>
              <w:jc w:val="right"/>
            </w:pPr>
            <w:r w:rsidRPr="00B02355">
              <w:t>-0.25%</w:t>
            </w:r>
          </w:p>
        </w:tc>
      </w:tr>
      <w:tr w:rsidR="00773281" w14:paraId="5AE17151"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19AD4A72" w14:textId="77777777" w:rsidR="00773281" w:rsidRDefault="00773281" w:rsidP="00773281">
            <w:pPr>
              <w:pStyle w:val="TableBody"/>
            </w:pPr>
            <w:r w:rsidRPr="00AE6193">
              <w:t>Network (equipment)</w:t>
            </w:r>
          </w:p>
        </w:tc>
        <w:tc>
          <w:tcPr>
            <w:tcW w:w="1559" w:type="dxa"/>
          </w:tcPr>
          <w:p w14:paraId="280DC245" w14:textId="77777777" w:rsidR="00773281" w:rsidRPr="00AB017A" w:rsidRDefault="00773281" w:rsidP="00773281">
            <w:pPr>
              <w:pStyle w:val="TableBody"/>
              <w:ind w:right="113"/>
              <w:jc w:val="right"/>
            </w:pPr>
            <w:r w:rsidRPr="00AB017A">
              <w:t>5.7%</w:t>
            </w:r>
          </w:p>
        </w:tc>
        <w:tc>
          <w:tcPr>
            <w:tcW w:w="1985" w:type="dxa"/>
          </w:tcPr>
          <w:p w14:paraId="32E29627" w14:textId="371B6FB6" w:rsidR="00773281" w:rsidRPr="00B02355" w:rsidRDefault="00773281" w:rsidP="00773281">
            <w:pPr>
              <w:pStyle w:val="TableBody"/>
              <w:ind w:right="113"/>
              <w:jc w:val="right"/>
            </w:pPr>
            <w:r w:rsidRPr="00B02355">
              <w:t>0.7%</w:t>
            </w:r>
          </w:p>
        </w:tc>
        <w:tc>
          <w:tcPr>
            <w:tcW w:w="2408" w:type="dxa"/>
          </w:tcPr>
          <w:p w14:paraId="39A71BC7" w14:textId="4D4A65FD" w:rsidR="00773281" w:rsidRPr="00B02355" w:rsidRDefault="00773281" w:rsidP="00773281">
            <w:pPr>
              <w:pStyle w:val="TableBody"/>
              <w:ind w:right="113"/>
              <w:jc w:val="right"/>
            </w:pPr>
            <w:r w:rsidRPr="00B02355">
              <w:t>0.04%</w:t>
            </w:r>
          </w:p>
        </w:tc>
      </w:tr>
      <w:tr w:rsidR="00773281" w14:paraId="5D4FAEBC"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15C509F8" w14:textId="77777777" w:rsidR="00773281" w:rsidRDefault="00773281" w:rsidP="00773281">
            <w:pPr>
              <w:pStyle w:val="TableBody"/>
            </w:pPr>
            <w:r w:rsidRPr="00AE6193">
              <w:t>Network (labour)</w:t>
            </w:r>
          </w:p>
        </w:tc>
        <w:tc>
          <w:tcPr>
            <w:tcW w:w="1559" w:type="dxa"/>
          </w:tcPr>
          <w:p w14:paraId="431C24E4" w14:textId="77777777" w:rsidR="00773281" w:rsidRPr="00AB017A" w:rsidRDefault="00773281" w:rsidP="00773281">
            <w:pPr>
              <w:pStyle w:val="TableBody"/>
              <w:ind w:right="113"/>
              <w:jc w:val="right"/>
            </w:pPr>
            <w:r w:rsidRPr="00AB017A">
              <w:t>5.7%</w:t>
            </w:r>
          </w:p>
        </w:tc>
        <w:tc>
          <w:tcPr>
            <w:tcW w:w="1985" w:type="dxa"/>
          </w:tcPr>
          <w:p w14:paraId="29C028B4" w14:textId="32996D90" w:rsidR="00773281" w:rsidRPr="00B02355" w:rsidRDefault="00773281" w:rsidP="00773281">
            <w:pPr>
              <w:pStyle w:val="TableBody"/>
              <w:ind w:right="113"/>
              <w:jc w:val="right"/>
            </w:pPr>
            <w:r w:rsidRPr="00B02355">
              <w:t>3.4%</w:t>
            </w:r>
          </w:p>
        </w:tc>
        <w:tc>
          <w:tcPr>
            <w:tcW w:w="2408" w:type="dxa"/>
          </w:tcPr>
          <w:p w14:paraId="4BE64E1E" w14:textId="3A376CCF" w:rsidR="00773281" w:rsidRPr="00B02355" w:rsidRDefault="00773281" w:rsidP="00773281">
            <w:pPr>
              <w:pStyle w:val="TableBody"/>
              <w:ind w:right="113"/>
              <w:jc w:val="right"/>
            </w:pPr>
            <w:r w:rsidRPr="00B02355">
              <w:t>0.20%</w:t>
            </w:r>
          </w:p>
        </w:tc>
      </w:tr>
      <w:tr w:rsidR="00773281" w14:paraId="05E985FB"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54EF5A55" w14:textId="7800F54D" w:rsidR="00773281" w:rsidRDefault="00773281" w:rsidP="00773281">
            <w:pPr>
              <w:pStyle w:val="TableBody"/>
            </w:pPr>
            <w:r w:rsidRPr="00AE6193">
              <w:t>Insurance</w:t>
            </w:r>
          </w:p>
        </w:tc>
        <w:tc>
          <w:tcPr>
            <w:tcW w:w="1559" w:type="dxa"/>
          </w:tcPr>
          <w:p w14:paraId="7D694844" w14:textId="77777777" w:rsidR="00773281" w:rsidRPr="00AB017A" w:rsidRDefault="00773281" w:rsidP="00773281">
            <w:pPr>
              <w:pStyle w:val="TableBody"/>
              <w:ind w:right="113"/>
              <w:jc w:val="right"/>
            </w:pPr>
            <w:r w:rsidRPr="00AB017A">
              <w:t>3.6%</w:t>
            </w:r>
          </w:p>
        </w:tc>
        <w:tc>
          <w:tcPr>
            <w:tcW w:w="1985" w:type="dxa"/>
          </w:tcPr>
          <w:p w14:paraId="4B064D4B" w14:textId="642BE81C" w:rsidR="00773281" w:rsidRPr="00B02355" w:rsidRDefault="00773281" w:rsidP="00773281">
            <w:pPr>
              <w:pStyle w:val="TableBody"/>
              <w:ind w:right="113"/>
              <w:jc w:val="right"/>
            </w:pPr>
            <w:r w:rsidRPr="00B02355">
              <w:t>11.8%</w:t>
            </w:r>
          </w:p>
        </w:tc>
        <w:tc>
          <w:tcPr>
            <w:tcW w:w="2408" w:type="dxa"/>
          </w:tcPr>
          <w:p w14:paraId="4BD00200" w14:textId="2EA91F37" w:rsidR="00773281" w:rsidRPr="00B02355" w:rsidRDefault="00773281" w:rsidP="00773281">
            <w:pPr>
              <w:pStyle w:val="TableBody"/>
              <w:ind w:right="113"/>
              <w:jc w:val="right"/>
            </w:pPr>
            <w:r w:rsidRPr="00B02355">
              <w:t>0.43%</w:t>
            </w:r>
          </w:p>
        </w:tc>
      </w:tr>
      <w:tr w:rsidR="00773281" w14:paraId="20675D82"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6AC5A8B3" w14:textId="77777777" w:rsidR="00773281" w:rsidRDefault="00773281" w:rsidP="00773281">
            <w:pPr>
              <w:pStyle w:val="TableBody"/>
            </w:pPr>
            <w:r w:rsidRPr="00AE6193">
              <w:t>Vehicle</w:t>
            </w:r>
          </w:p>
        </w:tc>
        <w:tc>
          <w:tcPr>
            <w:tcW w:w="1559" w:type="dxa"/>
          </w:tcPr>
          <w:p w14:paraId="3BE5D5E9" w14:textId="77777777" w:rsidR="00773281" w:rsidRPr="00AB017A" w:rsidRDefault="00773281" w:rsidP="00773281">
            <w:pPr>
              <w:pStyle w:val="TableBody"/>
              <w:ind w:right="113"/>
              <w:jc w:val="right"/>
            </w:pPr>
            <w:r w:rsidRPr="00AB017A">
              <w:t>7.6%</w:t>
            </w:r>
          </w:p>
        </w:tc>
        <w:tc>
          <w:tcPr>
            <w:tcW w:w="1985" w:type="dxa"/>
          </w:tcPr>
          <w:p w14:paraId="7B4C2149" w14:textId="20BF2927" w:rsidR="00773281" w:rsidRPr="00B02355" w:rsidRDefault="00773281" w:rsidP="00773281">
            <w:pPr>
              <w:pStyle w:val="TableBody"/>
              <w:ind w:right="113"/>
              <w:jc w:val="right"/>
            </w:pPr>
            <w:r w:rsidRPr="00B02355">
              <w:t>-0.8%</w:t>
            </w:r>
          </w:p>
        </w:tc>
        <w:tc>
          <w:tcPr>
            <w:tcW w:w="2408" w:type="dxa"/>
          </w:tcPr>
          <w:p w14:paraId="32A5DEF6" w14:textId="30FD9235" w:rsidR="00773281" w:rsidRPr="00B02355" w:rsidRDefault="00773281" w:rsidP="00773281">
            <w:pPr>
              <w:pStyle w:val="TableBody"/>
              <w:ind w:right="113"/>
              <w:jc w:val="right"/>
            </w:pPr>
            <w:r w:rsidRPr="00B02355">
              <w:t>-0.06%</w:t>
            </w:r>
          </w:p>
        </w:tc>
      </w:tr>
      <w:tr w:rsidR="00773281" w14:paraId="361F36B3"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387B0B69" w14:textId="77777777" w:rsidR="00773281" w:rsidRDefault="00773281" w:rsidP="00773281">
            <w:pPr>
              <w:pStyle w:val="TableBody"/>
            </w:pPr>
            <w:r w:rsidRPr="00AE6193">
              <w:t>Registration</w:t>
            </w:r>
          </w:p>
        </w:tc>
        <w:tc>
          <w:tcPr>
            <w:tcW w:w="1559" w:type="dxa"/>
          </w:tcPr>
          <w:p w14:paraId="6371840C" w14:textId="77777777" w:rsidR="00773281" w:rsidRPr="00AB017A" w:rsidRDefault="00773281" w:rsidP="00773281">
            <w:pPr>
              <w:pStyle w:val="TableBody"/>
              <w:ind w:right="113"/>
              <w:jc w:val="right"/>
            </w:pPr>
            <w:r w:rsidRPr="00AB017A">
              <w:t>1.2%</w:t>
            </w:r>
          </w:p>
        </w:tc>
        <w:tc>
          <w:tcPr>
            <w:tcW w:w="1985" w:type="dxa"/>
          </w:tcPr>
          <w:p w14:paraId="14E3B673" w14:textId="21A9470D" w:rsidR="00773281" w:rsidRPr="00B02355" w:rsidRDefault="00773281" w:rsidP="00773281">
            <w:pPr>
              <w:pStyle w:val="TableBody"/>
              <w:ind w:right="113"/>
              <w:jc w:val="right"/>
            </w:pPr>
            <w:r w:rsidRPr="00B02355">
              <w:t>2.7%</w:t>
            </w:r>
          </w:p>
        </w:tc>
        <w:tc>
          <w:tcPr>
            <w:tcW w:w="2408" w:type="dxa"/>
          </w:tcPr>
          <w:p w14:paraId="7EDB1771" w14:textId="1E8E2ED4" w:rsidR="00773281" w:rsidRPr="00B02355" w:rsidRDefault="00773281" w:rsidP="00773281">
            <w:pPr>
              <w:pStyle w:val="TableBody"/>
              <w:ind w:right="113"/>
              <w:jc w:val="right"/>
            </w:pPr>
            <w:r w:rsidRPr="00B02355">
              <w:t>0.03%</w:t>
            </w:r>
          </w:p>
        </w:tc>
      </w:tr>
      <w:tr w:rsidR="00773281" w14:paraId="2908E757"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66823330" w14:textId="77777777" w:rsidR="00773281" w:rsidRDefault="00773281" w:rsidP="00773281">
            <w:pPr>
              <w:pStyle w:val="TableBody"/>
            </w:pPr>
            <w:r w:rsidRPr="00AE6193">
              <w:t>Repairs and maintenance</w:t>
            </w:r>
          </w:p>
        </w:tc>
        <w:tc>
          <w:tcPr>
            <w:tcW w:w="1559" w:type="dxa"/>
          </w:tcPr>
          <w:p w14:paraId="2BF2A130" w14:textId="77777777" w:rsidR="00773281" w:rsidRPr="00AB017A" w:rsidRDefault="00773281" w:rsidP="00773281">
            <w:pPr>
              <w:pStyle w:val="TableBody"/>
              <w:ind w:right="113"/>
              <w:jc w:val="right"/>
            </w:pPr>
            <w:r w:rsidRPr="00AB017A">
              <w:t>6.9%</w:t>
            </w:r>
          </w:p>
        </w:tc>
        <w:tc>
          <w:tcPr>
            <w:tcW w:w="1985" w:type="dxa"/>
          </w:tcPr>
          <w:p w14:paraId="161E85BB" w14:textId="01972711" w:rsidR="00773281" w:rsidRPr="00B02355" w:rsidRDefault="00773281" w:rsidP="00773281">
            <w:pPr>
              <w:pStyle w:val="TableBody"/>
              <w:ind w:right="113"/>
              <w:jc w:val="right"/>
            </w:pPr>
            <w:r w:rsidRPr="00B02355">
              <w:t>2.9%</w:t>
            </w:r>
          </w:p>
        </w:tc>
        <w:tc>
          <w:tcPr>
            <w:tcW w:w="2408" w:type="dxa"/>
          </w:tcPr>
          <w:p w14:paraId="2BFD21DD" w14:textId="5E1C4D82" w:rsidR="00773281" w:rsidRPr="00B02355" w:rsidRDefault="00773281" w:rsidP="00773281">
            <w:pPr>
              <w:pStyle w:val="TableBody"/>
              <w:ind w:right="113"/>
              <w:jc w:val="right"/>
            </w:pPr>
            <w:r w:rsidRPr="00B02355">
              <w:t>0.20%</w:t>
            </w:r>
          </w:p>
        </w:tc>
      </w:tr>
      <w:tr w:rsidR="00773281" w14:paraId="20EA4CD9"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559FB618" w14:textId="77777777" w:rsidR="00773281" w:rsidRDefault="00773281" w:rsidP="00773281">
            <w:pPr>
              <w:pStyle w:val="TableBody"/>
            </w:pPr>
            <w:r w:rsidRPr="00AE6193">
              <w:t>Administration</w:t>
            </w:r>
          </w:p>
        </w:tc>
        <w:tc>
          <w:tcPr>
            <w:tcW w:w="1559" w:type="dxa"/>
          </w:tcPr>
          <w:p w14:paraId="6B19871D" w14:textId="77777777" w:rsidR="00773281" w:rsidRPr="00AB017A" w:rsidRDefault="00773281" w:rsidP="00773281">
            <w:pPr>
              <w:pStyle w:val="TableBody"/>
              <w:ind w:right="113"/>
              <w:jc w:val="right"/>
            </w:pPr>
            <w:r w:rsidRPr="00AB017A">
              <w:t>7.7%</w:t>
            </w:r>
          </w:p>
        </w:tc>
        <w:tc>
          <w:tcPr>
            <w:tcW w:w="1985" w:type="dxa"/>
          </w:tcPr>
          <w:p w14:paraId="4D615FEA" w14:textId="1EC26C27" w:rsidR="00773281" w:rsidRPr="00B02355" w:rsidRDefault="00773281" w:rsidP="00773281">
            <w:pPr>
              <w:pStyle w:val="TableBody"/>
              <w:ind w:right="113"/>
              <w:jc w:val="right"/>
            </w:pPr>
            <w:r w:rsidRPr="00B02355">
              <w:t>3.3%</w:t>
            </w:r>
          </w:p>
        </w:tc>
        <w:tc>
          <w:tcPr>
            <w:tcW w:w="2408" w:type="dxa"/>
          </w:tcPr>
          <w:p w14:paraId="2BA981EE" w14:textId="7ED66C2F" w:rsidR="00773281" w:rsidRPr="00B02355" w:rsidRDefault="00773281" w:rsidP="00773281">
            <w:pPr>
              <w:pStyle w:val="TableBody"/>
              <w:ind w:right="113"/>
              <w:jc w:val="right"/>
            </w:pPr>
            <w:r w:rsidRPr="00B02355">
              <w:t>0.26%</w:t>
            </w:r>
          </w:p>
        </w:tc>
      </w:tr>
      <w:tr w:rsidR="00773281" w14:paraId="70153BD4"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5792DBF3" w14:textId="77777777" w:rsidR="00773281" w:rsidRPr="00E94E8E" w:rsidRDefault="00773281" w:rsidP="00773281">
            <w:pPr>
              <w:pStyle w:val="TableBody"/>
              <w:rPr>
                <w:b/>
                <w:bCs/>
              </w:rPr>
            </w:pPr>
            <w:r w:rsidRPr="00E94E8E">
              <w:rPr>
                <w:b/>
                <w:bCs/>
              </w:rPr>
              <w:t>Total operating costs</w:t>
            </w:r>
          </w:p>
        </w:tc>
        <w:tc>
          <w:tcPr>
            <w:tcW w:w="1559" w:type="dxa"/>
          </w:tcPr>
          <w:p w14:paraId="380CDF2E" w14:textId="77777777" w:rsidR="00773281" w:rsidRPr="00AB017A" w:rsidRDefault="00773281" w:rsidP="00773281">
            <w:pPr>
              <w:pStyle w:val="TableBody"/>
              <w:ind w:right="113"/>
              <w:jc w:val="right"/>
              <w:rPr>
                <w:b/>
                <w:bCs/>
              </w:rPr>
            </w:pPr>
            <w:r w:rsidRPr="00AB017A">
              <w:rPr>
                <w:b/>
                <w:bCs/>
              </w:rPr>
              <w:t>45%</w:t>
            </w:r>
          </w:p>
        </w:tc>
        <w:tc>
          <w:tcPr>
            <w:tcW w:w="1985" w:type="dxa"/>
          </w:tcPr>
          <w:p w14:paraId="60DAC2BF" w14:textId="23BBD7C2" w:rsidR="00773281" w:rsidRPr="00B02355" w:rsidRDefault="00773281" w:rsidP="00773281">
            <w:pPr>
              <w:pStyle w:val="TableBody"/>
              <w:ind w:right="113"/>
              <w:jc w:val="right"/>
              <w:rPr>
                <w:b/>
                <w:bCs/>
              </w:rPr>
            </w:pPr>
            <w:r w:rsidRPr="00B02355">
              <w:rPr>
                <w:b/>
                <w:bCs/>
              </w:rPr>
              <w:t>1.8%</w:t>
            </w:r>
          </w:p>
        </w:tc>
        <w:tc>
          <w:tcPr>
            <w:tcW w:w="2408" w:type="dxa"/>
          </w:tcPr>
          <w:p w14:paraId="436E0DD3" w14:textId="03013FDD" w:rsidR="00773281" w:rsidRPr="00B02355" w:rsidRDefault="00773281" w:rsidP="00773281">
            <w:pPr>
              <w:pStyle w:val="TableBody"/>
              <w:ind w:right="113"/>
              <w:jc w:val="right"/>
              <w:rPr>
                <w:b/>
                <w:bCs/>
              </w:rPr>
            </w:pPr>
            <w:r w:rsidRPr="00B02355">
              <w:rPr>
                <w:b/>
                <w:bCs/>
              </w:rPr>
              <w:t>0.83%</w:t>
            </w:r>
          </w:p>
        </w:tc>
      </w:tr>
      <w:tr w:rsidR="0081290A" w14:paraId="485DC9A2" w14:textId="77777777">
        <w:trPr>
          <w:cnfStyle w:val="000000010000" w:firstRow="0" w:lastRow="0" w:firstColumn="0" w:lastColumn="0" w:oddVBand="0" w:evenVBand="0" w:oddHBand="0" w:evenHBand="1" w:firstRowFirstColumn="0" w:firstRowLastColumn="0" w:lastRowFirstColumn="0" w:lastRowLastColumn="0"/>
        </w:trPr>
        <w:tc>
          <w:tcPr>
            <w:tcW w:w="3686" w:type="dxa"/>
          </w:tcPr>
          <w:p w14:paraId="79A52E98" w14:textId="77777777" w:rsidR="0081290A" w:rsidRDefault="0081290A" w:rsidP="000B009B">
            <w:pPr>
              <w:pStyle w:val="TableBody"/>
            </w:pPr>
            <w:r w:rsidRPr="00AE6193">
              <w:t>Driver labour</w:t>
            </w:r>
          </w:p>
        </w:tc>
        <w:tc>
          <w:tcPr>
            <w:tcW w:w="1559" w:type="dxa"/>
          </w:tcPr>
          <w:p w14:paraId="50F983B7" w14:textId="77777777" w:rsidR="0081290A" w:rsidRPr="00AB017A" w:rsidRDefault="0081290A" w:rsidP="000B009B">
            <w:pPr>
              <w:pStyle w:val="TableBody"/>
              <w:ind w:right="113"/>
              <w:jc w:val="right"/>
            </w:pPr>
            <w:r w:rsidRPr="00AB017A">
              <w:t>55%</w:t>
            </w:r>
          </w:p>
        </w:tc>
        <w:tc>
          <w:tcPr>
            <w:tcW w:w="1985" w:type="dxa"/>
          </w:tcPr>
          <w:p w14:paraId="0F3EDF1F" w14:textId="77777777" w:rsidR="0081290A" w:rsidRPr="00B02355" w:rsidRDefault="0081290A" w:rsidP="000B009B">
            <w:pPr>
              <w:pStyle w:val="TableBody"/>
              <w:ind w:right="113"/>
              <w:jc w:val="right"/>
            </w:pPr>
            <w:r w:rsidRPr="00B02355">
              <w:t>3.5%</w:t>
            </w:r>
          </w:p>
        </w:tc>
        <w:tc>
          <w:tcPr>
            <w:tcW w:w="2408" w:type="dxa"/>
          </w:tcPr>
          <w:p w14:paraId="7A02615B" w14:textId="5C8E5B6E" w:rsidR="0081290A" w:rsidRPr="00B02355" w:rsidRDefault="0081290A" w:rsidP="000B009B">
            <w:pPr>
              <w:pStyle w:val="TableBody"/>
              <w:ind w:right="113"/>
              <w:jc w:val="right"/>
            </w:pPr>
            <w:r w:rsidRPr="00B02355">
              <w:t>1.9</w:t>
            </w:r>
            <w:r w:rsidR="002743EA" w:rsidRPr="00B02355">
              <w:t>3</w:t>
            </w:r>
            <w:r w:rsidRPr="00B02355">
              <w:t>%</w:t>
            </w:r>
          </w:p>
        </w:tc>
      </w:tr>
      <w:tr w:rsidR="0081290A" w:rsidRPr="003F0173" w14:paraId="5B7DBE4B" w14:textId="77777777">
        <w:trPr>
          <w:cnfStyle w:val="000000100000" w:firstRow="0" w:lastRow="0" w:firstColumn="0" w:lastColumn="0" w:oddVBand="0" w:evenVBand="0" w:oddHBand="1" w:evenHBand="0" w:firstRowFirstColumn="0" w:firstRowLastColumn="0" w:lastRowFirstColumn="0" w:lastRowLastColumn="0"/>
        </w:trPr>
        <w:tc>
          <w:tcPr>
            <w:tcW w:w="3686" w:type="dxa"/>
          </w:tcPr>
          <w:p w14:paraId="510D2324" w14:textId="77777777" w:rsidR="0081290A" w:rsidRPr="00E94E8E" w:rsidRDefault="0081290A" w:rsidP="000B009B">
            <w:pPr>
              <w:pStyle w:val="TableBody"/>
              <w:rPr>
                <w:b/>
                <w:bCs/>
              </w:rPr>
            </w:pPr>
            <w:r w:rsidRPr="00E94E8E">
              <w:rPr>
                <w:b/>
                <w:bCs/>
              </w:rPr>
              <w:t>Total operating and labour costs</w:t>
            </w:r>
          </w:p>
        </w:tc>
        <w:tc>
          <w:tcPr>
            <w:tcW w:w="1559" w:type="dxa"/>
          </w:tcPr>
          <w:p w14:paraId="000A0D60" w14:textId="77777777" w:rsidR="0081290A" w:rsidRPr="00E94E8E" w:rsidRDefault="0081290A" w:rsidP="000B009B">
            <w:pPr>
              <w:pStyle w:val="TableBody"/>
              <w:ind w:right="113"/>
              <w:jc w:val="right"/>
              <w:rPr>
                <w:b/>
                <w:bCs/>
              </w:rPr>
            </w:pPr>
            <w:r w:rsidRPr="00E94E8E">
              <w:rPr>
                <w:b/>
                <w:bCs/>
              </w:rPr>
              <w:t>100%</w:t>
            </w:r>
          </w:p>
        </w:tc>
        <w:tc>
          <w:tcPr>
            <w:tcW w:w="1985" w:type="dxa"/>
          </w:tcPr>
          <w:p w14:paraId="1CAFC191" w14:textId="77777777" w:rsidR="0081290A" w:rsidRPr="00B02355" w:rsidRDefault="0081290A" w:rsidP="000B009B">
            <w:pPr>
              <w:pStyle w:val="TableBody"/>
              <w:ind w:right="113"/>
              <w:jc w:val="right"/>
              <w:rPr>
                <w:b/>
                <w:bCs/>
              </w:rPr>
            </w:pPr>
            <w:r w:rsidRPr="00B02355">
              <w:rPr>
                <w:b/>
                <w:bCs/>
              </w:rPr>
              <w:t>Not applicable</w:t>
            </w:r>
          </w:p>
        </w:tc>
        <w:tc>
          <w:tcPr>
            <w:tcW w:w="2408" w:type="dxa"/>
          </w:tcPr>
          <w:p w14:paraId="1DA1992B" w14:textId="6A74FDAD" w:rsidR="0081290A" w:rsidRPr="00B02355" w:rsidRDefault="00773281" w:rsidP="000B009B">
            <w:pPr>
              <w:pStyle w:val="TableBody"/>
              <w:ind w:right="113"/>
              <w:jc w:val="right"/>
              <w:rPr>
                <w:b/>
                <w:bCs/>
              </w:rPr>
            </w:pPr>
            <w:r w:rsidRPr="00B02355">
              <w:rPr>
                <w:b/>
                <w:bCs/>
              </w:rPr>
              <w:t>2.8%</w:t>
            </w:r>
          </w:p>
        </w:tc>
      </w:tr>
    </w:tbl>
    <w:p w14:paraId="35F96B6E" w14:textId="56EB3F84" w:rsidR="0081290A" w:rsidRDefault="007B44AB" w:rsidP="00581DD4">
      <w:pPr>
        <w:pStyle w:val="Source"/>
        <w:jc w:val="left"/>
      </w:pPr>
      <w:r w:rsidRPr="00581DD4">
        <w:rPr>
          <w:b/>
          <w:bCs/>
        </w:rPr>
        <w:t>Note:</w:t>
      </w:r>
      <w:r>
        <w:t xml:space="preserve"> </w:t>
      </w:r>
      <w:r w:rsidR="00522C03">
        <w:t xml:space="preserve">The change </w:t>
      </w:r>
      <w:r w:rsidR="004E17D1">
        <w:t xml:space="preserve">in the insurance cost component is measured over the period March 2024 to June 2025. </w:t>
      </w:r>
      <w:r w:rsidR="0001194A">
        <w:t>This da</w:t>
      </w:r>
      <w:r w:rsidR="007E05B9">
        <w:t xml:space="preserve">ta </w:t>
      </w:r>
      <w:r w:rsidR="0001194A">
        <w:t xml:space="preserve">was </w:t>
      </w:r>
      <w:r w:rsidR="007E05B9">
        <w:t>provided by Insurance Statistics Australia</w:t>
      </w:r>
      <w:r w:rsidR="008F1D82">
        <w:t xml:space="preserve"> Ltd</w:t>
      </w:r>
      <w:r w:rsidR="007E05B9">
        <w:t xml:space="preserve">. </w:t>
      </w:r>
    </w:p>
    <w:p w14:paraId="1BAB0F36" w14:textId="258CB4BE" w:rsidR="0081290A" w:rsidRDefault="0081290A" w:rsidP="00C13A80"/>
    <w:p w14:paraId="2DBF5EBE" w14:textId="5FA988A0" w:rsidR="00C00B0C" w:rsidRPr="00C13A80" w:rsidRDefault="00C00B0C" w:rsidP="00C13A80">
      <w:pPr>
        <w:sectPr w:rsidR="00C00B0C" w:rsidRPr="00C13A80" w:rsidSect="005D6D47">
          <w:headerReference w:type="even" r:id="rId31"/>
          <w:headerReference w:type="default" r:id="rId32"/>
          <w:footerReference w:type="default" r:id="rId33"/>
          <w:headerReference w:type="first" r:id="rId34"/>
          <w:pgSz w:w="11906" w:h="16838" w:code="9"/>
          <w:pgMar w:top="1134" w:right="1134" w:bottom="1134" w:left="1134" w:header="709" w:footer="692" w:gutter="0"/>
          <w:pgNumType w:start="4"/>
          <w:cols w:space="708"/>
          <w:docGrid w:linePitch="360"/>
        </w:sectPr>
      </w:pPr>
    </w:p>
    <w:p w14:paraId="5E9D0E71" w14:textId="3EFB1670" w:rsidR="00B53873" w:rsidRDefault="00B53873" w:rsidP="007816E7">
      <w:pPr>
        <w:pStyle w:val="Figure-Table-BoxHeading"/>
        <w:keepNext/>
        <w:keepLines/>
        <w:numPr>
          <w:ilvl w:val="0"/>
          <w:numId w:val="0"/>
        </w:numPr>
        <w:spacing w:after="0"/>
      </w:pPr>
      <w:r>
        <w:rPr>
          <w:lang w:val="en-AU"/>
        </w:rPr>
        <w:lastRenderedPageBreak/>
        <w:t>Table 2</w:t>
      </w:r>
      <w:r w:rsidR="00185893">
        <w:rPr>
          <w:lang w:val="en-AU"/>
        </w:rPr>
        <w:t>.</w:t>
      </w:r>
      <w:r>
        <w:rPr>
          <w:lang w:val="en-AU"/>
        </w:rPr>
        <w:t xml:space="preserve"> </w:t>
      </w:r>
      <w:r w:rsidRPr="17F31E41">
        <w:rPr>
          <w:lang w:val="en-AU"/>
        </w:rPr>
        <w:t xml:space="preserve">Change in </w:t>
      </w:r>
      <w:r w:rsidR="009206A9">
        <w:rPr>
          <w:lang w:val="en-AU"/>
        </w:rPr>
        <w:t>fare adjustment mechanism component</w:t>
      </w:r>
      <w:r w:rsidR="00D647E4">
        <w:rPr>
          <w:lang w:val="en-AU"/>
        </w:rPr>
        <w:t>s</w:t>
      </w:r>
      <w:r w:rsidR="007816E7">
        <w:rPr>
          <w:lang w:val="en-AU"/>
        </w:rPr>
        <w:t xml:space="preserve">: </w:t>
      </w:r>
      <w:r w:rsidR="00D763DE">
        <w:rPr>
          <w:lang w:val="en-AU"/>
        </w:rPr>
        <w:t>high occupancy charges</w:t>
      </w:r>
    </w:p>
    <w:tbl>
      <w:tblPr>
        <w:tblStyle w:val="TableGrid"/>
        <w:tblW w:w="0" w:type="auto"/>
        <w:tblLook w:val="04A0" w:firstRow="1" w:lastRow="0" w:firstColumn="1" w:lastColumn="0" w:noHBand="0" w:noVBand="1"/>
      </w:tblPr>
      <w:tblGrid>
        <w:gridCol w:w="3686"/>
        <w:gridCol w:w="1417"/>
        <w:gridCol w:w="2127"/>
        <w:gridCol w:w="2408"/>
      </w:tblGrid>
      <w:tr w:rsidR="00B53873" w14:paraId="7E82CDFD" w14:textId="77777777" w:rsidTr="009B73AF">
        <w:trPr>
          <w:cnfStyle w:val="100000000000" w:firstRow="1" w:lastRow="0" w:firstColumn="0" w:lastColumn="0" w:oddVBand="0" w:evenVBand="0" w:oddHBand="0" w:evenHBand="0" w:firstRowFirstColumn="0" w:firstRowLastColumn="0" w:lastRowFirstColumn="0" w:lastRowLastColumn="0"/>
        </w:trPr>
        <w:tc>
          <w:tcPr>
            <w:tcW w:w="3686" w:type="dxa"/>
          </w:tcPr>
          <w:p w14:paraId="4A3FDE84" w14:textId="77777777" w:rsidR="00B53873" w:rsidRDefault="00B53873" w:rsidP="00367AF7">
            <w:pPr>
              <w:pStyle w:val="TableHeading"/>
              <w:keepNext/>
              <w:keepLines/>
            </w:pPr>
            <w:r w:rsidRPr="17F31E41">
              <w:rPr>
                <w:lang w:val="en-AU"/>
              </w:rPr>
              <w:t>Cost component</w:t>
            </w:r>
          </w:p>
        </w:tc>
        <w:tc>
          <w:tcPr>
            <w:tcW w:w="1417" w:type="dxa"/>
          </w:tcPr>
          <w:p w14:paraId="0F484326" w14:textId="77777777" w:rsidR="00B53873" w:rsidRDefault="00B53873" w:rsidP="00367AF7">
            <w:pPr>
              <w:pStyle w:val="TableHeading"/>
              <w:keepNext/>
              <w:keepLines/>
              <w:ind w:right="113"/>
              <w:jc w:val="right"/>
            </w:pPr>
            <w:r w:rsidRPr="00F03274">
              <w:t>Cost share</w:t>
            </w:r>
          </w:p>
        </w:tc>
        <w:tc>
          <w:tcPr>
            <w:tcW w:w="2127" w:type="dxa"/>
          </w:tcPr>
          <w:p w14:paraId="6244D06F" w14:textId="4140E104" w:rsidR="00B53873" w:rsidRDefault="00F07E21" w:rsidP="00367AF7">
            <w:pPr>
              <w:pStyle w:val="TableHeading"/>
              <w:keepNext/>
              <w:keepLines/>
              <w:ind w:right="113"/>
              <w:jc w:val="right"/>
            </w:pPr>
            <w:r>
              <w:t>Price change</w:t>
            </w:r>
          </w:p>
        </w:tc>
        <w:tc>
          <w:tcPr>
            <w:tcW w:w="2408" w:type="dxa"/>
          </w:tcPr>
          <w:p w14:paraId="04FD250B" w14:textId="293DE39A" w:rsidR="00B53873" w:rsidRPr="00F03274" w:rsidRDefault="00B53873" w:rsidP="00367AF7">
            <w:pPr>
              <w:pStyle w:val="TableHeading"/>
              <w:keepNext/>
              <w:keepLines/>
              <w:ind w:right="113"/>
              <w:jc w:val="right"/>
            </w:pPr>
            <w:r w:rsidRPr="00A22B58">
              <w:t xml:space="preserve">Contribution to </w:t>
            </w:r>
            <w:r w:rsidR="009B73AF">
              <w:t>fare adjustment</w:t>
            </w:r>
            <w:r w:rsidRPr="00A22B58">
              <w:t xml:space="preserve"> </w:t>
            </w:r>
          </w:p>
        </w:tc>
      </w:tr>
      <w:tr w:rsidR="00773281" w:rsidRPr="00773281" w14:paraId="1CB945B9" w14:textId="77777777" w:rsidTr="009B73AF">
        <w:trPr>
          <w:cnfStyle w:val="000000100000" w:firstRow="0" w:lastRow="0" w:firstColumn="0" w:lastColumn="0" w:oddVBand="0" w:evenVBand="0" w:oddHBand="1" w:evenHBand="0" w:firstRowFirstColumn="0" w:firstRowLastColumn="0" w:lastRowFirstColumn="0" w:lastRowLastColumn="0"/>
        </w:trPr>
        <w:tc>
          <w:tcPr>
            <w:tcW w:w="3686" w:type="dxa"/>
          </w:tcPr>
          <w:p w14:paraId="7B256F8C" w14:textId="77777777" w:rsidR="00773281" w:rsidRPr="00356129" w:rsidRDefault="00773281" w:rsidP="00773281">
            <w:pPr>
              <w:pStyle w:val="TableBody"/>
              <w:keepNext/>
              <w:keepLines/>
            </w:pPr>
            <w:r w:rsidRPr="00356129">
              <w:t>Fuel</w:t>
            </w:r>
          </w:p>
        </w:tc>
        <w:tc>
          <w:tcPr>
            <w:tcW w:w="1417" w:type="dxa"/>
          </w:tcPr>
          <w:p w14:paraId="66354BD0" w14:textId="77777777" w:rsidR="00773281" w:rsidRPr="00356129" w:rsidRDefault="00773281" w:rsidP="00773281">
            <w:pPr>
              <w:pStyle w:val="TableBody"/>
              <w:keepNext/>
              <w:keepLines/>
              <w:ind w:right="113"/>
              <w:jc w:val="right"/>
            </w:pPr>
            <w:r w:rsidRPr="00356129">
              <w:t>7.0%</w:t>
            </w:r>
          </w:p>
        </w:tc>
        <w:tc>
          <w:tcPr>
            <w:tcW w:w="2127" w:type="dxa"/>
          </w:tcPr>
          <w:p w14:paraId="25AA5171" w14:textId="395FE953" w:rsidR="00773281" w:rsidRPr="00E607BA" w:rsidRDefault="00773281" w:rsidP="00773281">
            <w:pPr>
              <w:pStyle w:val="TableBody"/>
              <w:keepNext/>
              <w:keepLines/>
              <w:ind w:right="113"/>
              <w:jc w:val="right"/>
            </w:pPr>
            <w:r w:rsidRPr="00E607BA">
              <w:t>-3.9%</w:t>
            </w:r>
          </w:p>
        </w:tc>
        <w:tc>
          <w:tcPr>
            <w:tcW w:w="2408" w:type="dxa"/>
          </w:tcPr>
          <w:p w14:paraId="12031E97" w14:textId="32E02134" w:rsidR="00773281" w:rsidRPr="00E607BA" w:rsidRDefault="00773281" w:rsidP="00773281">
            <w:pPr>
              <w:pStyle w:val="TableBody"/>
              <w:keepNext/>
              <w:keepLines/>
              <w:ind w:right="113"/>
              <w:jc w:val="right"/>
            </w:pPr>
            <w:r w:rsidRPr="00E607BA">
              <w:t>-0.27%</w:t>
            </w:r>
          </w:p>
        </w:tc>
      </w:tr>
      <w:tr w:rsidR="00773281" w:rsidRPr="00773281" w14:paraId="332B1B7A" w14:textId="77777777" w:rsidTr="009B73AF">
        <w:trPr>
          <w:cnfStyle w:val="000000010000" w:firstRow="0" w:lastRow="0" w:firstColumn="0" w:lastColumn="0" w:oddVBand="0" w:evenVBand="0" w:oddHBand="0" w:evenHBand="1" w:firstRowFirstColumn="0" w:firstRowLastColumn="0" w:lastRowFirstColumn="0" w:lastRowLastColumn="0"/>
        </w:trPr>
        <w:tc>
          <w:tcPr>
            <w:tcW w:w="3686" w:type="dxa"/>
          </w:tcPr>
          <w:p w14:paraId="0AB48CE6" w14:textId="77777777" w:rsidR="00773281" w:rsidRPr="00356129" w:rsidRDefault="00773281" w:rsidP="00773281">
            <w:pPr>
              <w:pStyle w:val="TableBody"/>
              <w:keepNext/>
              <w:keepLines/>
            </w:pPr>
            <w:r w:rsidRPr="00356129">
              <w:t>Network (equipment)</w:t>
            </w:r>
          </w:p>
        </w:tc>
        <w:tc>
          <w:tcPr>
            <w:tcW w:w="1417" w:type="dxa"/>
          </w:tcPr>
          <w:p w14:paraId="4B8DF9FE" w14:textId="77777777" w:rsidR="00773281" w:rsidRPr="00356129" w:rsidRDefault="00773281" w:rsidP="00773281">
            <w:pPr>
              <w:pStyle w:val="TableBody"/>
              <w:keepNext/>
              <w:keepLines/>
              <w:ind w:right="113"/>
              <w:jc w:val="right"/>
            </w:pPr>
            <w:r w:rsidRPr="00356129">
              <w:t>4.3%</w:t>
            </w:r>
          </w:p>
        </w:tc>
        <w:tc>
          <w:tcPr>
            <w:tcW w:w="2127" w:type="dxa"/>
          </w:tcPr>
          <w:p w14:paraId="20BC6615" w14:textId="62F94112" w:rsidR="00773281" w:rsidRPr="00E607BA" w:rsidRDefault="00773281" w:rsidP="00773281">
            <w:pPr>
              <w:pStyle w:val="TableBody"/>
              <w:keepNext/>
              <w:keepLines/>
              <w:ind w:right="113"/>
              <w:jc w:val="right"/>
            </w:pPr>
            <w:r w:rsidRPr="00E607BA">
              <w:t>0.7%</w:t>
            </w:r>
          </w:p>
        </w:tc>
        <w:tc>
          <w:tcPr>
            <w:tcW w:w="2408" w:type="dxa"/>
          </w:tcPr>
          <w:p w14:paraId="76A5012D" w14:textId="082CB914" w:rsidR="00773281" w:rsidRPr="00E607BA" w:rsidRDefault="00773281" w:rsidP="00773281">
            <w:pPr>
              <w:pStyle w:val="TableBody"/>
              <w:keepNext/>
              <w:keepLines/>
              <w:ind w:right="113"/>
              <w:jc w:val="right"/>
            </w:pPr>
            <w:r w:rsidRPr="00E607BA">
              <w:t>0.03%</w:t>
            </w:r>
          </w:p>
        </w:tc>
      </w:tr>
      <w:tr w:rsidR="00773281" w:rsidRPr="00773281" w14:paraId="30316E5F" w14:textId="77777777" w:rsidTr="009B73AF">
        <w:trPr>
          <w:cnfStyle w:val="000000100000" w:firstRow="0" w:lastRow="0" w:firstColumn="0" w:lastColumn="0" w:oddVBand="0" w:evenVBand="0" w:oddHBand="1" w:evenHBand="0" w:firstRowFirstColumn="0" w:firstRowLastColumn="0" w:lastRowFirstColumn="0" w:lastRowLastColumn="0"/>
        </w:trPr>
        <w:tc>
          <w:tcPr>
            <w:tcW w:w="3686" w:type="dxa"/>
          </w:tcPr>
          <w:p w14:paraId="17C9E22D" w14:textId="77777777" w:rsidR="00773281" w:rsidRPr="00356129" w:rsidRDefault="00773281" w:rsidP="00773281">
            <w:pPr>
              <w:pStyle w:val="TableBody"/>
              <w:keepNext/>
              <w:keepLines/>
            </w:pPr>
            <w:r w:rsidRPr="00356129">
              <w:t>Network (labour)</w:t>
            </w:r>
          </w:p>
        </w:tc>
        <w:tc>
          <w:tcPr>
            <w:tcW w:w="1417" w:type="dxa"/>
          </w:tcPr>
          <w:p w14:paraId="36F69D6F" w14:textId="77777777" w:rsidR="00773281" w:rsidRPr="00356129" w:rsidRDefault="00773281" w:rsidP="00773281">
            <w:pPr>
              <w:pStyle w:val="TableBody"/>
              <w:keepNext/>
              <w:keepLines/>
              <w:ind w:right="113"/>
              <w:jc w:val="right"/>
            </w:pPr>
            <w:r w:rsidRPr="00356129">
              <w:t>4.3%</w:t>
            </w:r>
          </w:p>
        </w:tc>
        <w:tc>
          <w:tcPr>
            <w:tcW w:w="2127" w:type="dxa"/>
          </w:tcPr>
          <w:p w14:paraId="2E0270EF" w14:textId="0F422F13" w:rsidR="00773281" w:rsidRPr="00E607BA" w:rsidRDefault="00773281" w:rsidP="00773281">
            <w:pPr>
              <w:pStyle w:val="TableBody"/>
              <w:keepNext/>
              <w:keepLines/>
              <w:ind w:right="113"/>
              <w:jc w:val="right"/>
            </w:pPr>
            <w:r w:rsidRPr="00E607BA">
              <w:t>3.4%</w:t>
            </w:r>
          </w:p>
        </w:tc>
        <w:tc>
          <w:tcPr>
            <w:tcW w:w="2408" w:type="dxa"/>
          </w:tcPr>
          <w:p w14:paraId="2EB350D9" w14:textId="36C4F288" w:rsidR="00773281" w:rsidRPr="00E607BA" w:rsidRDefault="00773281" w:rsidP="00773281">
            <w:pPr>
              <w:pStyle w:val="TableBody"/>
              <w:keepNext/>
              <w:keepLines/>
              <w:ind w:right="113"/>
              <w:jc w:val="right"/>
            </w:pPr>
            <w:r w:rsidRPr="00E607BA">
              <w:t>0.15%</w:t>
            </w:r>
          </w:p>
        </w:tc>
      </w:tr>
      <w:tr w:rsidR="00773281" w:rsidRPr="00773281" w14:paraId="79FB1880" w14:textId="77777777" w:rsidTr="009B73AF">
        <w:trPr>
          <w:cnfStyle w:val="000000010000" w:firstRow="0" w:lastRow="0" w:firstColumn="0" w:lastColumn="0" w:oddVBand="0" w:evenVBand="0" w:oddHBand="0" w:evenHBand="1" w:firstRowFirstColumn="0" w:firstRowLastColumn="0" w:lastRowFirstColumn="0" w:lastRowLastColumn="0"/>
        </w:trPr>
        <w:tc>
          <w:tcPr>
            <w:tcW w:w="3686" w:type="dxa"/>
          </w:tcPr>
          <w:p w14:paraId="73640EAC" w14:textId="20CDC965" w:rsidR="00773281" w:rsidRPr="00356129" w:rsidRDefault="00773281" w:rsidP="00773281">
            <w:pPr>
              <w:pStyle w:val="TableBody"/>
              <w:keepNext/>
              <w:keepLines/>
            </w:pPr>
            <w:r w:rsidRPr="00356129">
              <w:t>Insurance</w:t>
            </w:r>
          </w:p>
        </w:tc>
        <w:tc>
          <w:tcPr>
            <w:tcW w:w="1417" w:type="dxa"/>
          </w:tcPr>
          <w:p w14:paraId="6093C65B" w14:textId="77777777" w:rsidR="00773281" w:rsidRPr="00356129" w:rsidRDefault="00773281" w:rsidP="00773281">
            <w:pPr>
              <w:pStyle w:val="TableBody"/>
              <w:keepNext/>
              <w:keepLines/>
              <w:ind w:right="113"/>
              <w:jc w:val="right"/>
            </w:pPr>
            <w:r w:rsidRPr="00356129">
              <w:t>3.9%</w:t>
            </w:r>
          </w:p>
        </w:tc>
        <w:tc>
          <w:tcPr>
            <w:tcW w:w="2127" w:type="dxa"/>
          </w:tcPr>
          <w:p w14:paraId="202D843A" w14:textId="2A9A16BA" w:rsidR="00773281" w:rsidRPr="00E607BA" w:rsidRDefault="00773281" w:rsidP="00773281">
            <w:pPr>
              <w:pStyle w:val="TableBody"/>
              <w:keepNext/>
              <w:keepLines/>
              <w:ind w:right="113"/>
              <w:jc w:val="right"/>
            </w:pPr>
            <w:r w:rsidRPr="00E607BA">
              <w:t>11.8%</w:t>
            </w:r>
          </w:p>
        </w:tc>
        <w:tc>
          <w:tcPr>
            <w:tcW w:w="2408" w:type="dxa"/>
          </w:tcPr>
          <w:p w14:paraId="0D365F85" w14:textId="59E3574F" w:rsidR="00773281" w:rsidRPr="00E607BA" w:rsidRDefault="00773281" w:rsidP="00773281">
            <w:pPr>
              <w:pStyle w:val="TableBody"/>
              <w:keepNext/>
              <w:keepLines/>
              <w:ind w:right="113"/>
              <w:jc w:val="right"/>
            </w:pPr>
            <w:r w:rsidRPr="00E607BA">
              <w:t>0.46%</w:t>
            </w:r>
          </w:p>
        </w:tc>
      </w:tr>
      <w:tr w:rsidR="00773281" w:rsidRPr="00773281" w14:paraId="6BF1DCAF" w14:textId="77777777" w:rsidTr="009B73AF">
        <w:trPr>
          <w:cnfStyle w:val="000000100000" w:firstRow="0" w:lastRow="0" w:firstColumn="0" w:lastColumn="0" w:oddVBand="0" w:evenVBand="0" w:oddHBand="1" w:evenHBand="0" w:firstRowFirstColumn="0" w:firstRowLastColumn="0" w:lastRowFirstColumn="0" w:lastRowLastColumn="0"/>
        </w:trPr>
        <w:tc>
          <w:tcPr>
            <w:tcW w:w="3686" w:type="dxa"/>
          </w:tcPr>
          <w:p w14:paraId="30E7E6A1" w14:textId="77777777" w:rsidR="00773281" w:rsidRPr="00356129" w:rsidRDefault="00773281" w:rsidP="00773281">
            <w:pPr>
              <w:pStyle w:val="TableBody"/>
              <w:keepNext/>
              <w:keepLines/>
            </w:pPr>
            <w:r w:rsidRPr="00356129">
              <w:t>Vehicle</w:t>
            </w:r>
          </w:p>
        </w:tc>
        <w:tc>
          <w:tcPr>
            <w:tcW w:w="1417" w:type="dxa"/>
          </w:tcPr>
          <w:p w14:paraId="4B877957" w14:textId="77777777" w:rsidR="00773281" w:rsidRPr="00356129" w:rsidRDefault="00773281" w:rsidP="00773281">
            <w:pPr>
              <w:pStyle w:val="TableBody"/>
              <w:keepNext/>
              <w:keepLines/>
              <w:ind w:right="113"/>
              <w:jc w:val="right"/>
            </w:pPr>
            <w:r w:rsidRPr="00356129">
              <w:t>11.5%</w:t>
            </w:r>
          </w:p>
        </w:tc>
        <w:tc>
          <w:tcPr>
            <w:tcW w:w="2127" w:type="dxa"/>
          </w:tcPr>
          <w:p w14:paraId="2746EA0E" w14:textId="2060EDCE" w:rsidR="00773281" w:rsidRPr="00E607BA" w:rsidRDefault="00773281" w:rsidP="00773281">
            <w:pPr>
              <w:pStyle w:val="TableBody"/>
              <w:keepNext/>
              <w:keepLines/>
              <w:ind w:right="113"/>
              <w:jc w:val="right"/>
            </w:pPr>
            <w:r w:rsidRPr="00E607BA">
              <w:t>-0.8%</w:t>
            </w:r>
          </w:p>
        </w:tc>
        <w:tc>
          <w:tcPr>
            <w:tcW w:w="2408" w:type="dxa"/>
          </w:tcPr>
          <w:p w14:paraId="668DE0B1" w14:textId="718C17F3" w:rsidR="00773281" w:rsidRPr="00E607BA" w:rsidRDefault="00773281" w:rsidP="00773281">
            <w:pPr>
              <w:pStyle w:val="TableBody"/>
              <w:keepNext/>
              <w:keepLines/>
              <w:ind w:right="113"/>
              <w:jc w:val="right"/>
            </w:pPr>
            <w:r w:rsidRPr="00E607BA">
              <w:t>-0.09%</w:t>
            </w:r>
          </w:p>
        </w:tc>
      </w:tr>
      <w:tr w:rsidR="00773281" w:rsidRPr="00773281" w14:paraId="553B29E3" w14:textId="77777777" w:rsidTr="009B73AF">
        <w:trPr>
          <w:cnfStyle w:val="000000010000" w:firstRow="0" w:lastRow="0" w:firstColumn="0" w:lastColumn="0" w:oddVBand="0" w:evenVBand="0" w:oddHBand="0" w:evenHBand="1" w:firstRowFirstColumn="0" w:firstRowLastColumn="0" w:lastRowFirstColumn="0" w:lastRowLastColumn="0"/>
        </w:trPr>
        <w:tc>
          <w:tcPr>
            <w:tcW w:w="3686" w:type="dxa"/>
          </w:tcPr>
          <w:p w14:paraId="38AC257A" w14:textId="77777777" w:rsidR="00773281" w:rsidRPr="00356129" w:rsidRDefault="00773281" w:rsidP="00773281">
            <w:pPr>
              <w:pStyle w:val="TableBody"/>
            </w:pPr>
            <w:r w:rsidRPr="00356129">
              <w:t>Registration</w:t>
            </w:r>
          </w:p>
        </w:tc>
        <w:tc>
          <w:tcPr>
            <w:tcW w:w="1417" w:type="dxa"/>
          </w:tcPr>
          <w:p w14:paraId="3F26958F" w14:textId="77777777" w:rsidR="00773281" w:rsidRPr="00356129" w:rsidRDefault="00773281" w:rsidP="00773281">
            <w:pPr>
              <w:pStyle w:val="TableBody"/>
              <w:ind w:right="113"/>
              <w:jc w:val="right"/>
            </w:pPr>
            <w:r w:rsidRPr="00356129">
              <w:t>1.1%</w:t>
            </w:r>
          </w:p>
        </w:tc>
        <w:tc>
          <w:tcPr>
            <w:tcW w:w="2127" w:type="dxa"/>
          </w:tcPr>
          <w:p w14:paraId="4644596E" w14:textId="43C23EA9" w:rsidR="00773281" w:rsidRPr="00E607BA" w:rsidRDefault="00773281" w:rsidP="00773281">
            <w:pPr>
              <w:pStyle w:val="TableBody"/>
              <w:ind w:right="113"/>
              <w:jc w:val="right"/>
            </w:pPr>
            <w:r w:rsidRPr="00E607BA">
              <w:t>2.7%</w:t>
            </w:r>
          </w:p>
        </w:tc>
        <w:tc>
          <w:tcPr>
            <w:tcW w:w="2408" w:type="dxa"/>
          </w:tcPr>
          <w:p w14:paraId="47279991" w14:textId="0ABA2B96" w:rsidR="00773281" w:rsidRPr="00E607BA" w:rsidRDefault="00773281" w:rsidP="00773281">
            <w:pPr>
              <w:pStyle w:val="TableBody"/>
              <w:ind w:right="113"/>
              <w:jc w:val="right"/>
            </w:pPr>
            <w:r w:rsidRPr="00E607BA">
              <w:t>0.03%</w:t>
            </w:r>
          </w:p>
        </w:tc>
      </w:tr>
      <w:tr w:rsidR="00773281" w:rsidRPr="00773281" w14:paraId="5D55A2BD" w14:textId="77777777" w:rsidTr="009B73AF">
        <w:trPr>
          <w:cnfStyle w:val="000000100000" w:firstRow="0" w:lastRow="0" w:firstColumn="0" w:lastColumn="0" w:oddVBand="0" w:evenVBand="0" w:oddHBand="1" w:evenHBand="0" w:firstRowFirstColumn="0" w:firstRowLastColumn="0" w:lastRowFirstColumn="0" w:lastRowLastColumn="0"/>
        </w:trPr>
        <w:tc>
          <w:tcPr>
            <w:tcW w:w="3686" w:type="dxa"/>
          </w:tcPr>
          <w:p w14:paraId="59C2DDFA" w14:textId="77777777" w:rsidR="00773281" w:rsidRPr="00356129" w:rsidRDefault="00773281" w:rsidP="00773281">
            <w:pPr>
              <w:pStyle w:val="TableBody"/>
            </w:pPr>
            <w:r w:rsidRPr="00356129">
              <w:t>Repairs and maintenance</w:t>
            </w:r>
          </w:p>
        </w:tc>
        <w:tc>
          <w:tcPr>
            <w:tcW w:w="1417" w:type="dxa"/>
          </w:tcPr>
          <w:p w14:paraId="23CAAAF8" w14:textId="77777777" w:rsidR="00773281" w:rsidRPr="00356129" w:rsidRDefault="00773281" w:rsidP="00773281">
            <w:pPr>
              <w:pStyle w:val="TableBody"/>
              <w:ind w:right="113"/>
              <w:jc w:val="right"/>
            </w:pPr>
            <w:r w:rsidRPr="00356129">
              <w:t>6.3%</w:t>
            </w:r>
          </w:p>
        </w:tc>
        <w:tc>
          <w:tcPr>
            <w:tcW w:w="2127" w:type="dxa"/>
          </w:tcPr>
          <w:p w14:paraId="310DBC31" w14:textId="7F441DF7" w:rsidR="00773281" w:rsidRPr="00E607BA" w:rsidRDefault="00773281" w:rsidP="00773281">
            <w:pPr>
              <w:pStyle w:val="TableBody"/>
              <w:ind w:right="113"/>
              <w:jc w:val="right"/>
            </w:pPr>
            <w:r w:rsidRPr="00E607BA">
              <w:t>2.9%</w:t>
            </w:r>
          </w:p>
        </w:tc>
        <w:tc>
          <w:tcPr>
            <w:tcW w:w="2408" w:type="dxa"/>
          </w:tcPr>
          <w:p w14:paraId="76F9844E" w14:textId="2113C8F8" w:rsidR="00773281" w:rsidRPr="00E607BA" w:rsidRDefault="00773281" w:rsidP="00773281">
            <w:pPr>
              <w:pStyle w:val="TableBody"/>
              <w:ind w:right="113"/>
              <w:jc w:val="right"/>
            </w:pPr>
            <w:r w:rsidRPr="00E607BA">
              <w:t>0.18%</w:t>
            </w:r>
          </w:p>
        </w:tc>
      </w:tr>
      <w:tr w:rsidR="00773281" w:rsidRPr="00773281" w14:paraId="4754123F" w14:textId="77777777" w:rsidTr="009B73AF">
        <w:trPr>
          <w:cnfStyle w:val="000000010000" w:firstRow="0" w:lastRow="0" w:firstColumn="0" w:lastColumn="0" w:oddVBand="0" w:evenVBand="0" w:oddHBand="0" w:evenHBand="1" w:firstRowFirstColumn="0" w:firstRowLastColumn="0" w:lastRowFirstColumn="0" w:lastRowLastColumn="0"/>
        </w:trPr>
        <w:tc>
          <w:tcPr>
            <w:tcW w:w="3686" w:type="dxa"/>
          </w:tcPr>
          <w:p w14:paraId="395116FC" w14:textId="77777777" w:rsidR="00773281" w:rsidRPr="00356129" w:rsidRDefault="00773281" w:rsidP="00773281">
            <w:pPr>
              <w:pStyle w:val="TableBody"/>
            </w:pPr>
            <w:r w:rsidRPr="00356129">
              <w:t>Administration</w:t>
            </w:r>
          </w:p>
        </w:tc>
        <w:tc>
          <w:tcPr>
            <w:tcW w:w="1417" w:type="dxa"/>
          </w:tcPr>
          <w:p w14:paraId="76EB91B8" w14:textId="77777777" w:rsidR="00773281" w:rsidRPr="00356129" w:rsidRDefault="00773281" w:rsidP="00773281">
            <w:pPr>
              <w:pStyle w:val="TableBody"/>
              <w:ind w:right="113"/>
              <w:jc w:val="right"/>
            </w:pPr>
            <w:r w:rsidRPr="00356129">
              <w:t>6.5%</w:t>
            </w:r>
          </w:p>
        </w:tc>
        <w:tc>
          <w:tcPr>
            <w:tcW w:w="2127" w:type="dxa"/>
          </w:tcPr>
          <w:p w14:paraId="46422752" w14:textId="733E9552" w:rsidR="00773281" w:rsidRPr="00E607BA" w:rsidRDefault="00773281" w:rsidP="00773281">
            <w:pPr>
              <w:pStyle w:val="TableBody"/>
              <w:ind w:right="113"/>
              <w:jc w:val="right"/>
            </w:pPr>
            <w:r w:rsidRPr="00E607BA">
              <w:t>3.4%</w:t>
            </w:r>
          </w:p>
        </w:tc>
        <w:tc>
          <w:tcPr>
            <w:tcW w:w="2408" w:type="dxa"/>
          </w:tcPr>
          <w:p w14:paraId="72EB48C8" w14:textId="0F119023" w:rsidR="00773281" w:rsidRPr="00E607BA" w:rsidRDefault="00773281" w:rsidP="00773281">
            <w:pPr>
              <w:pStyle w:val="TableBody"/>
              <w:ind w:right="113"/>
              <w:jc w:val="right"/>
            </w:pPr>
            <w:r w:rsidRPr="00E607BA">
              <w:t>0.22%</w:t>
            </w:r>
          </w:p>
        </w:tc>
      </w:tr>
      <w:tr w:rsidR="00773281" w:rsidRPr="00773281" w14:paraId="168FCDB4" w14:textId="77777777" w:rsidTr="009B73AF">
        <w:trPr>
          <w:cnfStyle w:val="000000100000" w:firstRow="0" w:lastRow="0" w:firstColumn="0" w:lastColumn="0" w:oddVBand="0" w:evenVBand="0" w:oddHBand="1" w:evenHBand="0" w:firstRowFirstColumn="0" w:firstRowLastColumn="0" w:lastRowFirstColumn="0" w:lastRowLastColumn="0"/>
        </w:trPr>
        <w:tc>
          <w:tcPr>
            <w:tcW w:w="3686" w:type="dxa"/>
          </w:tcPr>
          <w:p w14:paraId="7F4CE2CF" w14:textId="77777777" w:rsidR="00773281" w:rsidRPr="00356129" w:rsidRDefault="00773281" w:rsidP="00773281">
            <w:pPr>
              <w:pStyle w:val="TableBody"/>
            </w:pPr>
            <w:r w:rsidRPr="00356129">
              <w:rPr>
                <w:b/>
                <w:bCs/>
              </w:rPr>
              <w:t>Total operating costs</w:t>
            </w:r>
          </w:p>
        </w:tc>
        <w:tc>
          <w:tcPr>
            <w:tcW w:w="1417" w:type="dxa"/>
          </w:tcPr>
          <w:p w14:paraId="43A61CEE" w14:textId="77777777" w:rsidR="00773281" w:rsidRPr="00356129" w:rsidRDefault="00773281" w:rsidP="00773281">
            <w:pPr>
              <w:pStyle w:val="TableBody"/>
              <w:ind w:right="113"/>
              <w:jc w:val="right"/>
              <w:rPr>
                <w:b/>
                <w:bCs/>
              </w:rPr>
            </w:pPr>
            <w:r w:rsidRPr="00356129">
              <w:rPr>
                <w:b/>
                <w:bCs/>
              </w:rPr>
              <w:t>45%</w:t>
            </w:r>
          </w:p>
        </w:tc>
        <w:tc>
          <w:tcPr>
            <w:tcW w:w="2127" w:type="dxa"/>
          </w:tcPr>
          <w:p w14:paraId="56B0A882" w14:textId="42F37016" w:rsidR="00773281" w:rsidRPr="00E607BA" w:rsidRDefault="00773281" w:rsidP="00773281">
            <w:pPr>
              <w:pStyle w:val="TableBody"/>
              <w:ind w:right="113"/>
              <w:jc w:val="right"/>
              <w:rPr>
                <w:b/>
                <w:bCs/>
              </w:rPr>
            </w:pPr>
            <w:r w:rsidRPr="00E607BA">
              <w:rPr>
                <w:b/>
                <w:bCs/>
              </w:rPr>
              <w:t>1.6%</w:t>
            </w:r>
          </w:p>
        </w:tc>
        <w:tc>
          <w:tcPr>
            <w:tcW w:w="2408" w:type="dxa"/>
          </w:tcPr>
          <w:p w14:paraId="523D5918" w14:textId="2FD3517A" w:rsidR="00773281" w:rsidRPr="00E607BA" w:rsidRDefault="00773281" w:rsidP="00773281">
            <w:pPr>
              <w:pStyle w:val="TableBody"/>
              <w:ind w:right="113"/>
              <w:jc w:val="right"/>
              <w:rPr>
                <w:b/>
                <w:bCs/>
              </w:rPr>
            </w:pPr>
            <w:r w:rsidRPr="00E607BA">
              <w:rPr>
                <w:b/>
                <w:bCs/>
              </w:rPr>
              <w:t>0.70%</w:t>
            </w:r>
          </w:p>
        </w:tc>
      </w:tr>
      <w:tr w:rsidR="00773281" w:rsidRPr="00773281" w14:paraId="79F826B7" w14:textId="77777777" w:rsidTr="009B73AF">
        <w:trPr>
          <w:cnfStyle w:val="000000010000" w:firstRow="0" w:lastRow="0" w:firstColumn="0" w:lastColumn="0" w:oddVBand="0" w:evenVBand="0" w:oddHBand="0" w:evenHBand="1" w:firstRowFirstColumn="0" w:firstRowLastColumn="0" w:lastRowFirstColumn="0" w:lastRowLastColumn="0"/>
        </w:trPr>
        <w:tc>
          <w:tcPr>
            <w:tcW w:w="3686" w:type="dxa"/>
          </w:tcPr>
          <w:p w14:paraId="25D34005" w14:textId="77777777" w:rsidR="00773281" w:rsidRPr="00356129" w:rsidRDefault="00773281" w:rsidP="00773281">
            <w:pPr>
              <w:pStyle w:val="TableBody"/>
            </w:pPr>
            <w:r w:rsidRPr="00356129">
              <w:t>Driver labour</w:t>
            </w:r>
          </w:p>
        </w:tc>
        <w:tc>
          <w:tcPr>
            <w:tcW w:w="1417" w:type="dxa"/>
          </w:tcPr>
          <w:p w14:paraId="344BBA30" w14:textId="77777777" w:rsidR="00773281" w:rsidRPr="00356129" w:rsidRDefault="00773281" w:rsidP="00773281">
            <w:pPr>
              <w:pStyle w:val="TableBody"/>
              <w:ind w:right="113"/>
              <w:jc w:val="right"/>
            </w:pPr>
            <w:r w:rsidRPr="00356129">
              <w:t>55%</w:t>
            </w:r>
          </w:p>
        </w:tc>
        <w:tc>
          <w:tcPr>
            <w:tcW w:w="2127" w:type="dxa"/>
          </w:tcPr>
          <w:p w14:paraId="58328A05" w14:textId="312A14BE" w:rsidR="00773281" w:rsidRPr="00E607BA" w:rsidRDefault="00773281" w:rsidP="00773281">
            <w:pPr>
              <w:pStyle w:val="TableBody"/>
              <w:ind w:right="113"/>
              <w:jc w:val="right"/>
            </w:pPr>
            <w:r w:rsidRPr="00E607BA">
              <w:t>3.5%</w:t>
            </w:r>
          </w:p>
        </w:tc>
        <w:tc>
          <w:tcPr>
            <w:tcW w:w="2408" w:type="dxa"/>
          </w:tcPr>
          <w:p w14:paraId="25E5BFB4" w14:textId="123D140B" w:rsidR="00773281" w:rsidRPr="00E607BA" w:rsidRDefault="00773281" w:rsidP="00773281">
            <w:pPr>
              <w:pStyle w:val="TableBody"/>
              <w:ind w:right="113"/>
              <w:jc w:val="right"/>
            </w:pPr>
            <w:r w:rsidRPr="00E607BA">
              <w:t>1.93%</w:t>
            </w:r>
          </w:p>
        </w:tc>
      </w:tr>
      <w:tr w:rsidR="00B53873" w:rsidRPr="00773281" w14:paraId="5FAFB445" w14:textId="77777777" w:rsidTr="009B73AF">
        <w:trPr>
          <w:cnfStyle w:val="000000100000" w:firstRow="0" w:lastRow="0" w:firstColumn="0" w:lastColumn="0" w:oddVBand="0" w:evenVBand="0" w:oddHBand="1" w:evenHBand="0" w:firstRowFirstColumn="0" w:firstRowLastColumn="0" w:lastRowFirstColumn="0" w:lastRowLastColumn="0"/>
        </w:trPr>
        <w:tc>
          <w:tcPr>
            <w:tcW w:w="3686" w:type="dxa"/>
          </w:tcPr>
          <w:p w14:paraId="3FF241E0" w14:textId="77777777" w:rsidR="00B53873" w:rsidRPr="00356129" w:rsidRDefault="00B53873" w:rsidP="00367AF7">
            <w:pPr>
              <w:pStyle w:val="TableBody"/>
            </w:pPr>
            <w:r w:rsidRPr="00356129">
              <w:rPr>
                <w:b/>
                <w:bCs/>
              </w:rPr>
              <w:t>Total operating and labour costs</w:t>
            </w:r>
          </w:p>
        </w:tc>
        <w:tc>
          <w:tcPr>
            <w:tcW w:w="1417" w:type="dxa"/>
          </w:tcPr>
          <w:p w14:paraId="4BD610E8" w14:textId="77777777" w:rsidR="00B53873" w:rsidRPr="00356129" w:rsidRDefault="00B53873" w:rsidP="00367AF7">
            <w:pPr>
              <w:pStyle w:val="TableBody"/>
              <w:ind w:right="113"/>
              <w:jc w:val="right"/>
              <w:rPr>
                <w:b/>
                <w:bCs/>
              </w:rPr>
            </w:pPr>
            <w:r w:rsidRPr="00356129">
              <w:rPr>
                <w:b/>
                <w:bCs/>
              </w:rPr>
              <w:t>100%</w:t>
            </w:r>
          </w:p>
        </w:tc>
        <w:tc>
          <w:tcPr>
            <w:tcW w:w="2127" w:type="dxa"/>
          </w:tcPr>
          <w:p w14:paraId="6E5368A6" w14:textId="77777777" w:rsidR="00B53873" w:rsidRPr="00E607BA" w:rsidRDefault="00B53873" w:rsidP="00367AF7">
            <w:pPr>
              <w:pStyle w:val="TableBody"/>
              <w:ind w:right="113"/>
              <w:jc w:val="right"/>
              <w:rPr>
                <w:b/>
                <w:bCs/>
              </w:rPr>
            </w:pPr>
            <w:r w:rsidRPr="00E607BA">
              <w:rPr>
                <w:b/>
                <w:bCs/>
              </w:rPr>
              <w:t>Not applicable</w:t>
            </w:r>
          </w:p>
        </w:tc>
        <w:tc>
          <w:tcPr>
            <w:tcW w:w="2408" w:type="dxa"/>
          </w:tcPr>
          <w:p w14:paraId="10E29661" w14:textId="013A6E8B" w:rsidR="00B53873" w:rsidRPr="00E607BA" w:rsidRDefault="00773281" w:rsidP="00367AF7">
            <w:pPr>
              <w:pStyle w:val="TableBody"/>
              <w:ind w:right="113"/>
              <w:jc w:val="right"/>
              <w:rPr>
                <w:b/>
                <w:bCs/>
              </w:rPr>
            </w:pPr>
            <w:r w:rsidRPr="00E607BA">
              <w:rPr>
                <w:b/>
                <w:bCs/>
              </w:rPr>
              <w:t>2.6%</w:t>
            </w:r>
          </w:p>
        </w:tc>
      </w:tr>
    </w:tbl>
    <w:p w14:paraId="4B755189" w14:textId="4561F49A" w:rsidR="00A22039" w:rsidRDefault="00A22039" w:rsidP="009114E3">
      <w:pPr>
        <w:pStyle w:val="Source"/>
        <w:jc w:val="left"/>
      </w:pPr>
      <w:bookmarkStart w:id="18" w:name="_Toc203998984"/>
      <w:r w:rsidRPr="00356129">
        <w:rPr>
          <w:b/>
          <w:bCs/>
        </w:rPr>
        <w:t>Note:</w:t>
      </w:r>
      <w:r w:rsidRPr="00356129">
        <w:t xml:space="preserve"> The change in the insurance cost component is measured over the period March 2024 to June 2025. </w:t>
      </w:r>
      <w:r w:rsidR="006C1220">
        <w:t>This</w:t>
      </w:r>
      <w:r w:rsidRPr="00356129">
        <w:t xml:space="preserve"> data</w:t>
      </w:r>
      <w:r w:rsidR="006C1220">
        <w:t xml:space="preserve"> was</w:t>
      </w:r>
      <w:r w:rsidRPr="00356129">
        <w:t xml:space="preserve"> provided by Insurance Statistics Australia</w:t>
      </w:r>
      <w:r w:rsidR="00AE073C" w:rsidRPr="00356129">
        <w:t xml:space="preserve"> Ltd</w:t>
      </w:r>
      <w:r w:rsidRPr="00356129">
        <w:t>.</w:t>
      </w:r>
    </w:p>
    <w:p w14:paraId="086D6607" w14:textId="342A07AD" w:rsidR="007453E4" w:rsidRPr="00341A37" w:rsidRDefault="000501C0" w:rsidP="009B6EA8">
      <w:pPr>
        <w:pStyle w:val="Heading3"/>
      </w:pPr>
      <w:r>
        <w:t>N</w:t>
      </w:r>
      <w:r w:rsidR="007453E4">
        <w:t xml:space="preserve">ew </w:t>
      </w:r>
      <w:r w:rsidR="007453E4" w:rsidRPr="00341A37">
        <w:t>maximum fares will take effect on 23 September 2025</w:t>
      </w:r>
      <w:bookmarkEnd w:id="18"/>
    </w:p>
    <w:p w14:paraId="77F2CBCB" w14:textId="1FB9817B" w:rsidR="003929FB" w:rsidRDefault="003929FB" w:rsidP="003929FB">
      <w:r w:rsidRPr="00341A37">
        <w:t>The new maximum</w:t>
      </w:r>
      <w:r w:rsidR="00435E35" w:rsidRPr="00341A37">
        <w:t xml:space="preserve"> fare schedules are set out in Schedules 1 and 2. The new maximum fares will take effect on 23 September 2025.</w:t>
      </w:r>
      <w:r w:rsidR="00435E35">
        <w:t xml:space="preserve"> </w:t>
      </w:r>
    </w:p>
    <w:p w14:paraId="65ABF1C0" w14:textId="67E1E78D" w:rsidR="009B6EA8" w:rsidRDefault="009B6EA8" w:rsidP="009B6EA8">
      <w:pPr>
        <w:pStyle w:val="Heading2"/>
      </w:pPr>
      <w:bookmarkStart w:id="19" w:name="_Toc203998985"/>
      <w:r>
        <w:t>How the fare adjustment mechanism works</w:t>
      </w:r>
      <w:bookmarkEnd w:id="19"/>
      <w:r>
        <w:t xml:space="preserve"> </w:t>
      </w:r>
    </w:p>
    <w:p w14:paraId="40EAC17D" w14:textId="535B867C" w:rsidR="0035066A" w:rsidRDefault="00BF7FA1" w:rsidP="000159C1">
      <w:r>
        <w:t>The fare adjustment mechanism for the 2024</w:t>
      </w:r>
      <w:r w:rsidR="003D14E7">
        <w:t>–</w:t>
      </w:r>
      <w:r>
        <w:t xml:space="preserve">26 regulatory period </w:t>
      </w:r>
      <w:r w:rsidR="0083635B">
        <w:t>provides for</w:t>
      </w:r>
      <w:r w:rsidR="00AD71E2">
        <w:t xml:space="preserve"> maximum fares </w:t>
      </w:r>
      <w:r w:rsidR="00922DA7">
        <w:t xml:space="preserve">to change </w:t>
      </w:r>
      <w:r w:rsidR="00AD71E2">
        <w:t xml:space="preserve">if certain conditions are met. </w:t>
      </w:r>
      <w:r w:rsidR="0035066A">
        <w:t>The main purpose of the mechanism is to help maintain the commercial viability of taxi services</w:t>
      </w:r>
      <w:r w:rsidR="001C3B17">
        <w:t>.</w:t>
      </w:r>
      <w:r w:rsidR="00257C44">
        <w:rPr>
          <w:rStyle w:val="FootnoteReference"/>
        </w:rPr>
        <w:footnoteReference w:id="3"/>
      </w:r>
      <w:r w:rsidR="001C3B17">
        <w:t xml:space="preserve"> It also smooths fare changes for passengers and taxi operators.</w:t>
      </w:r>
    </w:p>
    <w:p w14:paraId="5A7BDD0F" w14:textId="66F264A2" w:rsidR="00107B97" w:rsidRDefault="00791BF1" w:rsidP="00BF7FA1">
      <w:r>
        <w:t xml:space="preserve">In </w:t>
      </w:r>
      <w:r w:rsidR="009B7BF0">
        <w:t>assessing the adjustment of maximum fares</w:t>
      </w:r>
      <w:r w:rsidR="000713F9">
        <w:t>,</w:t>
      </w:r>
      <w:r>
        <w:t xml:space="preserve"> we must</w:t>
      </w:r>
      <w:r w:rsidR="009B7BF0">
        <w:t>:</w:t>
      </w:r>
    </w:p>
    <w:p w14:paraId="3F1A08FA" w14:textId="37953FF4" w:rsidR="004A6E94" w:rsidRDefault="00791BF1" w:rsidP="004A6E94">
      <w:pPr>
        <w:pStyle w:val="ListBullet"/>
        <w:numPr>
          <w:ilvl w:val="0"/>
          <w:numId w:val="1"/>
        </w:numPr>
      </w:pPr>
      <w:r>
        <w:lastRenderedPageBreak/>
        <w:t xml:space="preserve">Use a </w:t>
      </w:r>
      <w:r w:rsidR="004A6E94">
        <w:t>fare adjustment formula for standard charges</w:t>
      </w:r>
      <w:r w:rsidR="0008328E">
        <w:t>,</w:t>
      </w:r>
      <w:r w:rsidR="004A6E94">
        <w:t xml:space="preserve"> </w:t>
      </w:r>
      <w:r>
        <w:t xml:space="preserve">which </w:t>
      </w:r>
      <w:r w:rsidR="004A6E94">
        <w:t>is based on the conventional taxi cost index.</w:t>
      </w:r>
      <w:r w:rsidR="00262979">
        <w:rPr>
          <w:rStyle w:val="FootnoteReference"/>
        </w:rPr>
        <w:footnoteReference w:id="4"/>
      </w:r>
    </w:p>
    <w:p w14:paraId="481181D6" w14:textId="73C336D9" w:rsidR="004A6E94" w:rsidRDefault="00791BF1" w:rsidP="004A6E94">
      <w:pPr>
        <w:pStyle w:val="ListBullet"/>
        <w:numPr>
          <w:ilvl w:val="0"/>
          <w:numId w:val="1"/>
        </w:numPr>
      </w:pPr>
      <w:r>
        <w:t xml:space="preserve">Use a </w:t>
      </w:r>
      <w:r w:rsidR="004A6E94">
        <w:t>fare adjustment formula for high occupancy charges</w:t>
      </w:r>
      <w:r w:rsidR="0008328E">
        <w:t>,</w:t>
      </w:r>
      <w:r w:rsidR="004A6E94">
        <w:t xml:space="preserve"> </w:t>
      </w:r>
      <w:r>
        <w:t xml:space="preserve">which </w:t>
      </w:r>
      <w:r w:rsidR="004A6E94">
        <w:t>is based on the wheelchair accessible taxi cost index.</w:t>
      </w:r>
      <w:r w:rsidR="00262979">
        <w:rPr>
          <w:rStyle w:val="FootnoteReference"/>
        </w:rPr>
        <w:footnoteReference w:id="5"/>
      </w:r>
    </w:p>
    <w:p w14:paraId="25F23CC9" w14:textId="17F93539" w:rsidR="004A6E94" w:rsidRDefault="00791BF1" w:rsidP="004A6E94">
      <w:pPr>
        <w:pStyle w:val="ListBullet"/>
        <w:numPr>
          <w:ilvl w:val="0"/>
          <w:numId w:val="1"/>
        </w:numPr>
      </w:pPr>
      <w:r>
        <w:t xml:space="preserve">Only change fares </w:t>
      </w:r>
      <w:r w:rsidR="004A6E94">
        <w:t xml:space="preserve">if the </w:t>
      </w:r>
      <w:r w:rsidR="00B33B49">
        <w:t xml:space="preserve">fare adjustment </w:t>
      </w:r>
      <w:r w:rsidR="004A6E94">
        <w:t>formula</w:t>
      </w:r>
      <w:r w:rsidR="0090043B">
        <w:t xml:space="preserve"> for standard charges</w:t>
      </w:r>
      <w:r w:rsidR="004A6E94">
        <w:t xml:space="preserve"> result</w:t>
      </w:r>
      <w:r w:rsidR="00F10B46">
        <w:t>s</w:t>
      </w:r>
      <w:r w:rsidR="004A6E94">
        <w:t xml:space="preserve"> in maximum fares increasing by more than 1 per cent or decreasing by more than 1 per cent.</w:t>
      </w:r>
      <w:r w:rsidR="00262979">
        <w:rPr>
          <w:rStyle w:val="FootnoteReference"/>
        </w:rPr>
        <w:footnoteReference w:id="6"/>
      </w:r>
    </w:p>
    <w:p w14:paraId="1FFBC37E" w14:textId="5DF81E80" w:rsidR="004A6E94" w:rsidRPr="009B7BF0" w:rsidRDefault="008A47B1" w:rsidP="004A6E94">
      <w:pPr>
        <w:pStyle w:val="ListBullet"/>
        <w:numPr>
          <w:ilvl w:val="0"/>
          <w:numId w:val="1"/>
        </w:numPr>
      </w:pPr>
      <w:r>
        <w:t>P</w:t>
      </w:r>
      <w:r w:rsidR="004A6E94">
        <w:t xml:space="preserve">ublish a statement of maximum </w:t>
      </w:r>
      <w:r w:rsidR="004A6E94" w:rsidRPr="004C2474">
        <w:t xml:space="preserve">fares by 1 September 2025. </w:t>
      </w:r>
      <w:r w:rsidRPr="004C2474">
        <w:t>Any</w:t>
      </w:r>
      <w:r>
        <w:t xml:space="preserve"> </w:t>
      </w:r>
      <w:r w:rsidR="004A6E94">
        <w:t xml:space="preserve">new maximum fares </w:t>
      </w:r>
      <w:r>
        <w:t xml:space="preserve">are to </w:t>
      </w:r>
      <w:r w:rsidR="004A6E94">
        <w:t xml:space="preserve">take effect </w:t>
      </w:r>
      <w:r w:rsidR="004A6E94" w:rsidRPr="00551AB9">
        <w:t xml:space="preserve">on </w:t>
      </w:r>
      <w:r w:rsidR="00E53537" w:rsidRPr="00551AB9">
        <w:t>23 September</w:t>
      </w:r>
      <w:r w:rsidR="004A6E94" w:rsidRPr="00551AB9">
        <w:t xml:space="preserve"> 2025.</w:t>
      </w:r>
      <w:r w:rsidR="000D5353" w:rsidRPr="00551AB9">
        <w:rPr>
          <w:rStyle w:val="FootnoteReference"/>
        </w:rPr>
        <w:footnoteReference w:id="7"/>
      </w:r>
    </w:p>
    <w:p w14:paraId="4B45C9F4" w14:textId="77777777" w:rsidR="003E6BE1" w:rsidRDefault="003E6BE1" w:rsidP="003E6BE1">
      <w:pPr>
        <w:pStyle w:val="Heading3"/>
      </w:pPr>
      <w:bookmarkStart w:id="20" w:name="_Toc203998986"/>
      <w:r>
        <w:t>Adjustable maximum charges</w:t>
      </w:r>
      <w:bookmarkEnd w:id="20"/>
    </w:p>
    <w:p w14:paraId="4F616909" w14:textId="75D799AC" w:rsidR="003E6BE1" w:rsidRDefault="0016025B" w:rsidP="003E6BE1">
      <w:r>
        <w:t>We</w:t>
      </w:r>
      <w:r w:rsidR="00B817AD">
        <w:t xml:space="preserve"> refer to c</w:t>
      </w:r>
      <w:r w:rsidR="003E6BE1">
        <w:t>harges that qualify for adjustment as ‘adjustable maximum charges</w:t>
      </w:r>
      <w:r w:rsidR="00971E63">
        <w:t>’</w:t>
      </w:r>
      <w:r w:rsidR="00C26B1C">
        <w:t xml:space="preserve">. </w:t>
      </w:r>
      <w:r w:rsidR="003E6BE1">
        <w:t>They include the flagfall, distance rates, detention rates, duration rates, high occupancy fees, late night fees and holiday surcharges. They do not include C</w:t>
      </w:r>
      <w:r w:rsidR="00C61851">
        <w:t>ommercial</w:t>
      </w:r>
      <w:r w:rsidR="008A47B1">
        <w:t xml:space="preserve"> </w:t>
      </w:r>
      <w:r w:rsidR="003E6BE1">
        <w:t>P</w:t>
      </w:r>
      <w:r w:rsidR="008A47B1">
        <w:t xml:space="preserve">assenger </w:t>
      </w:r>
      <w:r w:rsidR="003E6BE1">
        <w:t>V</w:t>
      </w:r>
      <w:r w:rsidR="008A47B1">
        <w:t>ehicle</w:t>
      </w:r>
      <w:r w:rsidR="003E6BE1">
        <w:t xml:space="preserve"> </w:t>
      </w:r>
      <w:r w:rsidR="00D2074F">
        <w:t xml:space="preserve">(CPV) </w:t>
      </w:r>
      <w:r w:rsidR="003E6BE1">
        <w:t>service levy recovery fees, CityLink and EastLink tolls, airport taxi rank fees and cleaning fees.</w:t>
      </w:r>
    </w:p>
    <w:p w14:paraId="3A46CA37" w14:textId="7DC109CC" w:rsidR="00890B60" w:rsidRPr="00FC043E" w:rsidRDefault="00890B60" w:rsidP="00FC043E">
      <w:pPr>
        <w:pStyle w:val="Heading1"/>
      </w:pPr>
      <w:bookmarkStart w:id="21" w:name="_Toc109042432"/>
      <w:bookmarkStart w:id="22" w:name="_Toc113273977"/>
      <w:bookmarkStart w:id="23" w:name="_Toc203998987"/>
      <w:bookmarkEnd w:id="12"/>
      <w:bookmarkEnd w:id="13"/>
      <w:bookmarkEnd w:id="14"/>
      <w:r w:rsidRPr="00FC043E">
        <w:lastRenderedPageBreak/>
        <w:t>Schedule 1</w:t>
      </w:r>
      <w:r w:rsidR="00692DF5">
        <w:t xml:space="preserve">: Maximum </w:t>
      </w:r>
      <w:r w:rsidR="006F4C38">
        <w:t xml:space="preserve">fares in </w:t>
      </w:r>
      <w:r w:rsidR="00692DF5" w:rsidRPr="00692DF5">
        <w:t>Melbourne</w:t>
      </w:r>
      <w:r w:rsidR="006F4C38">
        <w:t xml:space="preserve"> </w:t>
      </w:r>
      <w:r w:rsidR="00692DF5" w:rsidRPr="00692DF5">
        <w:t>metropolitan and urban area</w:t>
      </w:r>
      <w:bookmarkEnd w:id="21"/>
      <w:bookmarkEnd w:id="22"/>
      <w:bookmarkEnd w:id="23"/>
    </w:p>
    <w:p w14:paraId="48C86E48" w14:textId="7DB5BE09" w:rsidR="00890B60" w:rsidRPr="00A05AA8" w:rsidRDefault="006F4C38" w:rsidP="00890B60">
      <w:bookmarkStart w:id="24" w:name="_Toc203998988"/>
      <w:r w:rsidRPr="0052195E">
        <w:rPr>
          <w:rStyle w:val="Heading2Char"/>
        </w:rPr>
        <w:t>Maximum charges to apply from 23 September</w:t>
      </w:r>
      <w:bookmarkEnd w:id="24"/>
      <w:r w:rsidR="00AF3C63">
        <w:rPr>
          <w:rStyle w:val="Heading2Char"/>
        </w:rPr>
        <w:t xml:space="preserve"> 2025</w:t>
      </w:r>
      <w:r>
        <w:br/>
      </w:r>
      <w:r>
        <w:br/>
      </w:r>
      <w:r w:rsidR="009F64BA">
        <w:t xml:space="preserve">The maximum charges </w:t>
      </w:r>
      <w:r w:rsidR="00E4083A">
        <w:t xml:space="preserve">in this Schedule </w:t>
      </w:r>
      <w:r w:rsidR="009F64BA">
        <w:t xml:space="preserve">were </w:t>
      </w:r>
      <w:r w:rsidR="005D2F02">
        <w:t xml:space="preserve">originally </w:t>
      </w:r>
      <w:r w:rsidR="009F64BA">
        <w:t xml:space="preserve">determined by the commission in </w:t>
      </w:r>
      <w:r w:rsidR="005D2F02">
        <w:t xml:space="preserve">the </w:t>
      </w:r>
      <w:r w:rsidR="009F64BA">
        <w:t>Essential Services Commission 202</w:t>
      </w:r>
      <w:r w:rsidR="003A5340">
        <w:t>4</w:t>
      </w:r>
      <w:r w:rsidR="009F64BA" w:rsidRPr="00F61210">
        <w:rPr>
          <w:i/>
          <w:iCs/>
        </w:rPr>
        <w:t xml:space="preserve">, Determination of Maximum Charges for Unbooked Commercial Passenger Vehicle Services (from </w:t>
      </w:r>
      <w:r w:rsidR="00383CFA" w:rsidRPr="00F61210">
        <w:rPr>
          <w:i/>
          <w:iCs/>
        </w:rPr>
        <w:t>2</w:t>
      </w:r>
      <w:r w:rsidR="00EE3019" w:rsidRPr="00F61210">
        <w:rPr>
          <w:i/>
          <w:iCs/>
        </w:rPr>
        <w:t>3</w:t>
      </w:r>
      <w:r w:rsidR="009F64BA" w:rsidRPr="00F61210">
        <w:rPr>
          <w:i/>
          <w:iCs/>
        </w:rPr>
        <w:t xml:space="preserve"> September 202</w:t>
      </w:r>
      <w:r w:rsidR="00EE3019" w:rsidRPr="00F61210">
        <w:rPr>
          <w:i/>
          <w:iCs/>
        </w:rPr>
        <w:t>4</w:t>
      </w:r>
      <w:r w:rsidR="009F64BA" w:rsidRPr="00F61210">
        <w:rPr>
          <w:i/>
          <w:iCs/>
        </w:rPr>
        <w:t>)</w:t>
      </w:r>
      <w:r w:rsidR="007556DB">
        <w:t>. These charges</w:t>
      </w:r>
      <w:r w:rsidR="005B4116">
        <w:t xml:space="preserve"> have been adjusted in accordance with the annual maximum charges </w:t>
      </w:r>
      <w:r w:rsidR="00C62F23" w:rsidRPr="00490F68">
        <w:t>a</w:t>
      </w:r>
      <w:r w:rsidR="005B4116" w:rsidRPr="00490F68">
        <w:t>djustment</w:t>
      </w:r>
      <w:r w:rsidR="00C62F23" w:rsidRPr="00490F68">
        <w:t xml:space="preserve"> mechanism provided in th</w:t>
      </w:r>
      <w:r w:rsidR="00EE0F73" w:rsidRPr="00490F68">
        <w:t>e</w:t>
      </w:r>
      <w:r w:rsidR="00C62F23" w:rsidRPr="00490F68">
        <w:t xml:space="preserve"> determination. </w:t>
      </w:r>
      <w:r w:rsidR="00890B60" w:rsidRPr="00490F68">
        <w:t xml:space="preserve">The maximum charges in this Schedule apply from </w:t>
      </w:r>
      <w:r w:rsidR="00EE3019" w:rsidRPr="00490F68">
        <w:t>23</w:t>
      </w:r>
      <w:r w:rsidR="000C2F71" w:rsidRPr="00490F68">
        <w:t xml:space="preserve"> </w:t>
      </w:r>
      <w:r w:rsidR="00EE3019" w:rsidRPr="00490F68">
        <w:t>Septem</w:t>
      </w:r>
      <w:r w:rsidR="000C2F71" w:rsidRPr="00490F68">
        <w:t>ber</w:t>
      </w:r>
      <w:r w:rsidR="00890B60" w:rsidRPr="00490F68">
        <w:t xml:space="preserve"> 202</w:t>
      </w:r>
      <w:r w:rsidR="00EE3019" w:rsidRPr="00490F68">
        <w:t>5</w:t>
      </w:r>
      <w:r w:rsidR="00890B60" w:rsidRPr="00490F68">
        <w:t xml:space="preserve"> to applicable unbooked</w:t>
      </w:r>
      <w:r w:rsidR="00890B60" w:rsidRPr="00A05AA8">
        <w:t xml:space="preserve"> services supplied by or within the commercial passenger vehicle industry that begin in the Melbourne Metropolitan </w:t>
      </w:r>
      <w:r w:rsidR="00890B60">
        <w:t>Z</w:t>
      </w:r>
      <w:r w:rsidR="00890B60" w:rsidRPr="00A05AA8">
        <w:t xml:space="preserve">one or the east urban area. For the purposes of this Schedule, the east urban area is the part of the Urban and Large Regional </w:t>
      </w:r>
      <w:r w:rsidR="00890B60">
        <w:t>Z</w:t>
      </w:r>
      <w:r w:rsidR="00890B60" w:rsidRPr="00A05AA8">
        <w:t>one that includes Frankston, Dandenong and the Mornington Peninsula. All charges are GST inclusive.</w:t>
      </w:r>
    </w:p>
    <w:p w14:paraId="4C3B92E0" w14:textId="77777777" w:rsidR="00890B60" w:rsidRDefault="00890B60" w:rsidP="00D7353E">
      <w:pPr>
        <w:numPr>
          <w:ilvl w:val="0"/>
          <w:numId w:val="9"/>
        </w:numPr>
        <w:pBdr>
          <w:left w:val="none" w:sz="0" w:space="21" w:color="auto"/>
        </w:pBdr>
        <w:spacing w:before="240" w:after="0"/>
        <w:ind w:hanging="720"/>
        <w:rPr>
          <w:b/>
          <w:bCs/>
        </w:rPr>
      </w:pPr>
      <w:r>
        <w:rPr>
          <w:b/>
          <w:bCs/>
        </w:rPr>
        <w:t>Definitions</w:t>
      </w:r>
    </w:p>
    <w:p w14:paraId="247E8999" w14:textId="77777777" w:rsidR="00890B60" w:rsidRDefault="00890B60" w:rsidP="00FB21E2">
      <w:pPr>
        <w:numPr>
          <w:ilvl w:val="0"/>
          <w:numId w:val="10"/>
        </w:numPr>
        <w:spacing w:before="240" w:after="0"/>
        <w:ind w:left="1440" w:hanging="720"/>
      </w:pPr>
      <w:r>
        <w:t xml:space="preserve">The term ‘hirer’ includes an agent or agency representing the passenger/s or hirer/s. </w:t>
      </w:r>
    </w:p>
    <w:p w14:paraId="4E81BE68" w14:textId="1C095A7C" w:rsidR="00D1335B" w:rsidRDefault="00D1335B" w:rsidP="00FB21E2">
      <w:pPr>
        <w:numPr>
          <w:ilvl w:val="0"/>
          <w:numId w:val="10"/>
        </w:numPr>
        <w:spacing w:before="240" w:after="0"/>
        <w:ind w:left="1440" w:hanging="720"/>
      </w:pPr>
      <w:r>
        <w:t>The ‘Urban area’ is the part of Urban and Large Regional Zone that includes Frankston, Dandenong and the Mornington Peninsula</w:t>
      </w:r>
      <w:r w:rsidR="00AF71AF">
        <w:t>.</w:t>
      </w:r>
    </w:p>
    <w:p w14:paraId="25716D7A" w14:textId="77777777" w:rsidR="00890B60" w:rsidRDefault="00890B60" w:rsidP="00D7353E">
      <w:pPr>
        <w:numPr>
          <w:ilvl w:val="0"/>
          <w:numId w:val="11"/>
        </w:numPr>
        <w:pBdr>
          <w:left w:val="none" w:sz="0" w:space="21" w:color="auto"/>
        </w:pBdr>
        <w:spacing w:before="240" w:after="0"/>
        <w:ind w:hanging="720"/>
        <w:rPr>
          <w:b/>
          <w:bCs/>
        </w:rPr>
      </w:pPr>
      <w:r>
        <w:rPr>
          <w:b/>
          <w:bCs/>
        </w:rPr>
        <w:t xml:space="preserve">Maximum hiring rates on fare calculation device  </w:t>
      </w:r>
    </w:p>
    <w:p w14:paraId="0B81B252" w14:textId="77777777" w:rsidR="00890B60" w:rsidRDefault="00890B60" w:rsidP="00D7353E">
      <w:pPr>
        <w:numPr>
          <w:ilvl w:val="1"/>
          <w:numId w:val="11"/>
        </w:numPr>
        <w:spacing w:before="240" w:after="0"/>
        <w:ind w:hanging="720"/>
      </w:pPr>
      <w:r>
        <w:t xml:space="preserve">The maximum hiring rates may be based on either ‘time </w:t>
      </w:r>
      <w:r>
        <w:rPr>
          <w:b/>
          <w:bCs/>
        </w:rPr>
        <w:t>or</w:t>
      </w:r>
      <w:r>
        <w:t xml:space="preserve"> distance’ tariffs (clause 3) or ‘time </w:t>
      </w:r>
      <w:r>
        <w:rPr>
          <w:b/>
          <w:bCs/>
        </w:rPr>
        <w:t>and</w:t>
      </w:r>
      <w:r>
        <w:t xml:space="preserve"> distance’ tariffs (clause 4).</w:t>
      </w:r>
    </w:p>
    <w:p w14:paraId="09A2B4D5" w14:textId="556BE098" w:rsidR="00890B60" w:rsidRDefault="00890B60" w:rsidP="00D7353E">
      <w:pPr>
        <w:numPr>
          <w:ilvl w:val="1"/>
          <w:numId w:val="11"/>
        </w:numPr>
        <w:spacing w:before="240" w:after="0"/>
        <w:ind w:hanging="720"/>
      </w:pPr>
      <w:r>
        <w:t xml:space="preserve">For the purpose of calculating fares for </w:t>
      </w:r>
      <w:r w:rsidR="008D2E8E">
        <w:t xml:space="preserve">applicable </w:t>
      </w:r>
      <w:r>
        <w:t>unbooked services</w:t>
      </w:r>
      <w:r w:rsidR="008D2E8E">
        <w:t xml:space="preserve"> that begin in the Melbourne Metropolitan </w:t>
      </w:r>
      <w:r w:rsidR="00075A8C">
        <w:t>Zone or the Urban area</w:t>
      </w:r>
      <w:r>
        <w:t xml:space="preserve">, fare calculation devices </w:t>
      </w:r>
      <w:r w:rsidR="00075A8C">
        <w:t xml:space="preserve">must </w:t>
      </w:r>
      <w:r>
        <w:t xml:space="preserve">only be programmed with the tariffs </w:t>
      </w:r>
      <w:r w:rsidR="00075A8C">
        <w:t>that are consistent with either t</w:t>
      </w:r>
      <w:r w:rsidR="00C412FA">
        <w:t xml:space="preserve">he tariffs </w:t>
      </w:r>
      <w:r>
        <w:t>in clause 3 or those in clause 4.</w:t>
      </w:r>
    </w:p>
    <w:p w14:paraId="41FFF5F8" w14:textId="77777777" w:rsidR="00890B60" w:rsidRDefault="00890B60" w:rsidP="00D7353E">
      <w:pPr>
        <w:numPr>
          <w:ilvl w:val="1"/>
          <w:numId w:val="11"/>
        </w:numPr>
        <w:spacing w:before="240" w:after="0"/>
        <w:ind w:hanging="720"/>
      </w:pPr>
      <w:r>
        <w:t xml:space="preserve">The fare sticker in the vehicle must clearly indicate whether the ‘time </w:t>
      </w:r>
      <w:r>
        <w:rPr>
          <w:b/>
          <w:bCs/>
        </w:rPr>
        <w:t xml:space="preserve">or </w:t>
      </w:r>
      <w:r>
        <w:t xml:space="preserve">distance’ tariff structure (clause 3) or ‘time </w:t>
      </w:r>
      <w:r>
        <w:rPr>
          <w:b/>
          <w:bCs/>
        </w:rPr>
        <w:t>and</w:t>
      </w:r>
      <w:r>
        <w:t xml:space="preserve"> distance’ tariff structure (clause 4) applies.</w:t>
      </w:r>
    </w:p>
    <w:p w14:paraId="138BF37A" w14:textId="77777777" w:rsidR="00890B60" w:rsidRDefault="00890B60" w:rsidP="0060282C">
      <w:pPr>
        <w:keepNext/>
        <w:numPr>
          <w:ilvl w:val="0"/>
          <w:numId w:val="11"/>
        </w:numPr>
        <w:pBdr>
          <w:left w:val="none" w:sz="0" w:space="21" w:color="auto"/>
        </w:pBdr>
        <w:spacing w:before="240" w:after="0"/>
        <w:ind w:hanging="720"/>
        <w:rPr>
          <w:b/>
          <w:bCs/>
        </w:rPr>
      </w:pPr>
      <w:r>
        <w:rPr>
          <w:b/>
          <w:bCs/>
        </w:rPr>
        <w:lastRenderedPageBreak/>
        <w:t>Maximum hiring rates – ‘time or distance’ tariff structure</w:t>
      </w:r>
    </w:p>
    <w:p w14:paraId="7B0854A0" w14:textId="77777777" w:rsidR="00890B60" w:rsidRDefault="00890B60" w:rsidP="00D7353E">
      <w:pPr>
        <w:numPr>
          <w:ilvl w:val="1"/>
          <w:numId w:val="11"/>
        </w:numPr>
        <w:spacing w:before="240" w:after="0"/>
        <w:ind w:hanging="720"/>
      </w:pPr>
      <w:r>
        <w:t xml:space="preserve">If using ‘time </w:t>
      </w:r>
      <w:r>
        <w:rPr>
          <w:b/>
          <w:bCs/>
        </w:rPr>
        <w:t>or</w:t>
      </w:r>
      <w:r>
        <w:t xml:space="preserve"> distance’ tariffs, the hiring rates that must be computed and displayed by the fare calculation device used for unbooked services can be to a maximum of the following charges:</w:t>
      </w:r>
    </w:p>
    <w:p w14:paraId="604C0D06" w14:textId="77777777" w:rsidR="00890B60" w:rsidRDefault="00890B60" w:rsidP="005E2561">
      <w:pPr>
        <w:pStyle w:val="Heading3"/>
        <w:keepLines w:val="0"/>
        <w:ind w:firstLine="720"/>
      </w:pPr>
      <w:r>
        <w:t>TARIFF ONE – DAY TARIFF</w:t>
      </w:r>
    </w:p>
    <w:p w14:paraId="609C79D7" w14:textId="375DDB38" w:rsidR="00890B60" w:rsidRDefault="00890B60" w:rsidP="005E2561">
      <w:pPr>
        <w:spacing w:before="240" w:after="240"/>
        <w:ind w:left="1440"/>
      </w:pPr>
      <w:r>
        <w:t>Tariff One rates apply as the maximum rates between 9</w:t>
      </w:r>
      <w:r w:rsidR="00C8184C">
        <w:t xml:space="preserve"> </w:t>
      </w:r>
      <w:r>
        <w:t>am and 5</w:t>
      </w:r>
      <w:r w:rsidR="00C8184C">
        <w:t xml:space="preserve"> </w:t>
      </w:r>
      <w:r>
        <w:t>pm, excluding times when Tariff Three maximum rates apply.</w:t>
      </w:r>
      <w:r>
        <w:rPr>
          <w:b/>
          <w:bCs/>
        </w:rPr>
        <w:t xml:space="preserve">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172DF2EE" w14:textId="77777777" w:rsidTr="00367AF7">
        <w:trPr>
          <w:trHeight w:val="300"/>
        </w:trPr>
        <w:tc>
          <w:tcPr>
            <w:tcW w:w="2136" w:type="dxa"/>
            <w:shd w:val="clear" w:color="auto" w:fill="4986A0"/>
            <w:tcMar>
              <w:top w:w="90" w:type="dxa"/>
              <w:left w:w="90" w:type="dxa"/>
              <w:bottom w:w="90" w:type="dxa"/>
              <w:right w:w="62" w:type="dxa"/>
            </w:tcMar>
            <w:hideMark/>
          </w:tcPr>
          <w:p w14:paraId="6DFB2510" w14:textId="77777777" w:rsidR="00890B60" w:rsidRDefault="00890B60" w:rsidP="005E2561">
            <w:pPr>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56C9CF99" w14:textId="77777777" w:rsidR="00890B60" w:rsidRDefault="00890B60" w:rsidP="005E2561">
            <w:pPr>
              <w:spacing w:line="240" w:lineRule="auto"/>
              <w:rPr>
                <w:color w:val="000000"/>
              </w:rPr>
            </w:pPr>
            <w:r>
              <w:rPr>
                <w:b/>
                <w:bCs/>
                <w:color w:val="FFFFFF"/>
              </w:rPr>
              <w:t>Maximum charge</w:t>
            </w:r>
          </w:p>
        </w:tc>
      </w:tr>
      <w:tr w:rsidR="00890B60" w14:paraId="62EC2B6E" w14:textId="77777777" w:rsidTr="001A6A67">
        <w:tc>
          <w:tcPr>
            <w:tcW w:w="2136" w:type="dxa"/>
            <w:shd w:val="clear" w:color="auto" w:fill="F2F2F2"/>
            <w:tcMar>
              <w:top w:w="90" w:type="dxa"/>
              <w:left w:w="90" w:type="dxa"/>
              <w:bottom w:w="90" w:type="dxa"/>
              <w:right w:w="62" w:type="dxa"/>
            </w:tcMar>
            <w:hideMark/>
          </w:tcPr>
          <w:p w14:paraId="58CD5FD6" w14:textId="77777777" w:rsidR="00890B60" w:rsidRDefault="00890B60" w:rsidP="005E2561">
            <w:pPr>
              <w:spacing w:before="0" w:line="240" w:lineRule="auto"/>
              <w:rPr>
                <w:color w:val="000000"/>
              </w:rPr>
            </w:pPr>
            <w:r>
              <w:rPr>
                <w:color w:val="000000"/>
              </w:rPr>
              <w:t>Flagfall</w:t>
            </w:r>
          </w:p>
        </w:tc>
        <w:tc>
          <w:tcPr>
            <w:tcW w:w="4971" w:type="dxa"/>
            <w:shd w:val="clear" w:color="auto" w:fill="F2F2F2" w:themeFill="background1" w:themeFillShade="F2"/>
            <w:tcMar>
              <w:top w:w="90" w:type="dxa"/>
              <w:left w:w="90" w:type="dxa"/>
              <w:bottom w:w="90" w:type="dxa"/>
              <w:right w:w="62" w:type="dxa"/>
            </w:tcMar>
            <w:hideMark/>
          </w:tcPr>
          <w:p w14:paraId="59E28A9A" w14:textId="6F7B0FF2" w:rsidR="00890B60" w:rsidRPr="00B03A62" w:rsidRDefault="00890B60" w:rsidP="005E2561">
            <w:pPr>
              <w:spacing w:before="0" w:after="0" w:line="240" w:lineRule="auto"/>
              <w:rPr>
                <w:color w:val="000000"/>
              </w:rPr>
            </w:pPr>
            <w:r w:rsidRPr="006543AF">
              <w:rPr>
                <w:color w:val="000000"/>
              </w:rPr>
              <w:t>$</w:t>
            </w:r>
            <w:r w:rsidR="00C412FA" w:rsidRPr="006543AF">
              <w:rPr>
                <w:color w:val="000000"/>
              </w:rPr>
              <w:t>5</w:t>
            </w:r>
            <w:r w:rsidRPr="006543AF">
              <w:rPr>
                <w:color w:val="000000"/>
              </w:rPr>
              <w:t>.</w:t>
            </w:r>
            <w:r w:rsidR="00F34271" w:rsidRPr="006543AF">
              <w:rPr>
                <w:color w:val="000000"/>
              </w:rPr>
              <w:t>25</w:t>
            </w:r>
          </w:p>
        </w:tc>
      </w:tr>
      <w:tr w:rsidR="00890B60" w14:paraId="60C92D58" w14:textId="77777777" w:rsidTr="00367AF7">
        <w:tc>
          <w:tcPr>
            <w:tcW w:w="2136" w:type="dxa"/>
            <w:shd w:val="clear" w:color="auto" w:fill="E3E4E4"/>
            <w:tcMar>
              <w:top w:w="90" w:type="dxa"/>
              <w:left w:w="90" w:type="dxa"/>
              <w:bottom w:w="90" w:type="dxa"/>
              <w:right w:w="62" w:type="dxa"/>
            </w:tcMar>
            <w:hideMark/>
          </w:tcPr>
          <w:p w14:paraId="194B13F9" w14:textId="40486265" w:rsidR="00890B60" w:rsidRDefault="00890B60" w:rsidP="005E2561">
            <w:pPr>
              <w:spacing w:before="0" w:line="240" w:lineRule="auto"/>
              <w:rPr>
                <w:color w:val="000000"/>
              </w:rPr>
            </w:pPr>
            <w:r>
              <w:rPr>
                <w:color w:val="000000"/>
              </w:rPr>
              <w:t xml:space="preserve">Distance </w:t>
            </w:r>
            <w:r w:rsidR="00E82832">
              <w:rPr>
                <w:color w:val="000000"/>
              </w:rPr>
              <w:t>r</w:t>
            </w:r>
            <w:r>
              <w:rPr>
                <w:color w:val="000000"/>
              </w:rPr>
              <w:t>ate</w:t>
            </w:r>
          </w:p>
        </w:tc>
        <w:tc>
          <w:tcPr>
            <w:tcW w:w="4971" w:type="dxa"/>
            <w:shd w:val="clear" w:color="auto" w:fill="E3E4E4"/>
            <w:tcMar>
              <w:top w:w="90" w:type="dxa"/>
              <w:left w:w="90" w:type="dxa"/>
              <w:bottom w:w="90" w:type="dxa"/>
              <w:right w:w="62" w:type="dxa"/>
            </w:tcMar>
            <w:hideMark/>
          </w:tcPr>
          <w:p w14:paraId="7049F858" w14:textId="1CB63C05" w:rsidR="00890B60" w:rsidRPr="00B03A62" w:rsidRDefault="00890B60" w:rsidP="005E2561">
            <w:pPr>
              <w:spacing w:before="0" w:line="240" w:lineRule="auto"/>
              <w:rPr>
                <w:color w:val="000000"/>
              </w:rPr>
            </w:pPr>
            <w:r w:rsidRPr="006543AF">
              <w:rPr>
                <w:color w:val="000000"/>
              </w:rPr>
              <w:t>$</w:t>
            </w:r>
            <w:r w:rsidR="00F34271" w:rsidRPr="006543AF">
              <w:rPr>
                <w:color w:val="000000"/>
              </w:rPr>
              <w:t>2.037</w:t>
            </w:r>
            <w:r w:rsidR="00C412FA">
              <w:rPr>
                <w:color w:val="000000"/>
              </w:rPr>
              <w:t xml:space="preserve"> </w:t>
            </w:r>
            <w:r w:rsidRPr="00B03A62">
              <w:rPr>
                <w:color w:val="000000"/>
              </w:rPr>
              <w:t>per kilometre while the vehicle speed is greater than 21 kmph</w:t>
            </w:r>
          </w:p>
        </w:tc>
      </w:tr>
      <w:tr w:rsidR="00890B60" w14:paraId="585045C2" w14:textId="77777777" w:rsidTr="00367AF7">
        <w:tc>
          <w:tcPr>
            <w:tcW w:w="2136" w:type="dxa"/>
            <w:shd w:val="clear" w:color="auto" w:fill="F2F2F2"/>
            <w:tcMar>
              <w:top w:w="90" w:type="dxa"/>
              <w:left w:w="90" w:type="dxa"/>
              <w:bottom w:w="90" w:type="dxa"/>
              <w:right w:w="62" w:type="dxa"/>
            </w:tcMar>
            <w:hideMark/>
          </w:tcPr>
          <w:p w14:paraId="20DD8008" w14:textId="33F391BC" w:rsidR="00890B60" w:rsidRDefault="00890B60" w:rsidP="005E2561">
            <w:pPr>
              <w:spacing w:before="0" w:line="240" w:lineRule="auto"/>
              <w:rPr>
                <w:color w:val="000000"/>
              </w:rPr>
            </w:pPr>
            <w:r>
              <w:rPr>
                <w:color w:val="000000"/>
              </w:rPr>
              <w:t xml:space="preserve">Detention </w:t>
            </w:r>
            <w:r w:rsidR="00E82832">
              <w:rPr>
                <w:color w:val="000000"/>
              </w:rPr>
              <w:t>r</w:t>
            </w:r>
            <w:r>
              <w:rPr>
                <w:color w:val="000000"/>
              </w:rPr>
              <w:t>ate</w:t>
            </w:r>
          </w:p>
        </w:tc>
        <w:tc>
          <w:tcPr>
            <w:tcW w:w="4971" w:type="dxa"/>
            <w:shd w:val="clear" w:color="auto" w:fill="F2F2F2"/>
            <w:tcMar>
              <w:top w:w="90" w:type="dxa"/>
              <w:left w:w="90" w:type="dxa"/>
              <w:bottom w:w="90" w:type="dxa"/>
              <w:right w:w="62" w:type="dxa"/>
            </w:tcMar>
            <w:hideMark/>
          </w:tcPr>
          <w:p w14:paraId="6C857E6E" w14:textId="34D244ED" w:rsidR="00890B60" w:rsidRPr="00B03A62" w:rsidRDefault="00890B60" w:rsidP="005E2561">
            <w:pPr>
              <w:spacing w:before="0" w:line="240" w:lineRule="auto"/>
              <w:rPr>
                <w:color w:val="000000"/>
              </w:rPr>
            </w:pPr>
            <w:r w:rsidRPr="006543AF">
              <w:rPr>
                <w:color w:val="000000"/>
              </w:rPr>
              <w:t>$0.</w:t>
            </w:r>
            <w:r w:rsidR="00F34271" w:rsidRPr="006543AF">
              <w:rPr>
                <w:color w:val="000000"/>
              </w:rPr>
              <w:t>713</w:t>
            </w:r>
            <w:r>
              <w:rPr>
                <w:color w:val="000000"/>
              </w:rPr>
              <w:t xml:space="preserve"> </w:t>
            </w:r>
            <w:r w:rsidRPr="00B03A62">
              <w:rPr>
                <w:color w:val="000000"/>
              </w:rPr>
              <w:t xml:space="preserve">per minute </w:t>
            </w:r>
            <w:r>
              <w:rPr>
                <w:color w:val="000000"/>
              </w:rPr>
              <w:t>(</w:t>
            </w:r>
            <w:r w:rsidRPr="006543AF">
              <w:rPr>
                <w:color w:val="000000"/>
              </w:rPr>
              <w:t>$</w:t>
            </w:r>
            <w:r w:rsidR="00C412FA" w:rsidRPr="006543AF">
              <w:rPr>
                <w:color w:val="000000"/>
              </w:rPr>
              <w:t>4</w:t>
            </w:r>
            <w:r w:rsidR="00F34271" w:rsidRPr="006543AF">
              <w:rPr>
                <w:color w:val="000000"/>
              </w:rPr>
              <w:t>2</w:t>
            </w:r>
            <w:r w:rsidRPr="006543AF">
              <w:rPr>
                <w:color w:val="000000"/>
              </w:rPr>
              <w:t>.</w:t>
            </w:r>
            <w:r w:rsidR="00F34271" w:rsidRPr="006543AF">
              <w:rPr>
                <w:color w:val="000000"/>
              </w:rPr>
              <w:t>78</w:t>
            </w:r>
            <w:r>
              <w:rPr>
                <w:color w:val="000000"/>
              </w:rPr>
              <w:t xml:space="preserve"> </w:t>
            </w:r>
            <w:r w:rsidRPr="00B03A62">
              <w:rPr>
                <w:color w:val="000000"/>
              </w:rPr>
              <w:t>per hour) while the vehicle speed is less than 21 kmph</w:t>
            </w:r>
          </w:p>
        </w:tc>
      </w:tr>
    </w:tbl>
    <w:p w14:paraId="3253440B" w14:textId="77777777" w:rsidR="008A564B" w:rsidRDefault="008A564B" w:rsidP="00B53F04">
      <w:pPr>
        <w:spacing w:before="0" w:after="120"/>
        <w:rPr>
          <w:b/>
          <w:bCs/>
          <w:color w:val="4986A0"/>
        </w:rPr>
      </w:pPr>
    </w:p>
    <w:p w14:paraId="4A3E3C79" w14:textId="6C8B2D3C" w:rsidR="00890B60" w:rsidRDefault="00890B60" w:rsidP="003F1F8A">
      <w:pPr>
        <w:pStyle w:val="Heading3"/>
        <w:keepLines w:val="0"/>
        <w:ind w:firstLine="720"/>
      </w:pPr>
      <w:r>
        <w:t>TARIFF TWO – OVERNIGHT TARIFF</w:t>
      </w:r>
    </w:p>
    <w:p w14:paraId="50A2CA0B" w14:textId="388AA1AF" w:rsidR="00890B60" w:rsidRDefault="00890B60" w:rsidP="003F1F8A">
      <w:pPr>
        <w:spacing w:before="240" w:after="240"/>
        <w:ind w:left="1440"/>
      </w:pPr>
      <w:r>
        <w:t>Tariff Two rates apply as the maximum rates between 5</w:t>
      </w:r>
      <w:r w:rsidR="004D558F">
        <w:t xml:space="preserve"> </w:t>
      </w:r>
      <w:r>
        <w:t>pm and 9</w:t>
      </w:r>
      <w:r w:rsidR="004D558F">
        <w:t xml:space="preserve"> </w:t>
      </w:r>
      <w:r>
        <w:t xml:space="preserve">am, excluding times when Tariff Three maximum rates apply.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3587E8AB" w14:textId="77777777" w:rsidTr="00367AF7">
        <w:tc>
          <w:tcPr>
            <w:tcW w:w="2136" w:type="dxa"/>
            <w:shd w:val="clear" w:color="auto" w:fill="4986A0"/>
            <w:tcMar>
              <w:top w:w="90" w:type="dxa"/>
              <w:left w:w="90" w:type="dxa"/>
              <w:bottom w:w="90" w:type="dxa"/>
              <w:right w:w="62" w:type="dxa"/>
            </w:tcMar>
            <w:hideMark/>
          </w:tcPr>
          <w:p w14:paraId="102DEAE8" w14:textId="77777777" w:rsidR="00890B60" w:rsidRDefault="00890B60" w:rsidP="003F1F8A">
            <w:pPr>
              <w:keepNext/>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4C9970C4" w14:textId="77777777" w:rsidR="00890B60" w:rsidRDefault="00890B60" w:rsidP="003F1F8A">
            <w:pPr>
              <w:keepNext/>
              <w:spacing w:line="240" w:lineRule="auto"/>
              <w:rPr>
                <w:color w:val="000000"/>
              </w:rPr>
            </w:pPr>
            <w:r>
              <w:rPr>
                <w:b/>
                <w:bCs/>
                <w:color w:val="FFFFFF"/>
              </w:rPr>
              <w:t>Maximum charge</w:t>
            </w:r>
          </w:p>
        </w:tc>
      </w:tr>
      <w:tr w:rsidR="00890B60" w14:paraId="1778CFCE" w14:textId="77777777" w:rsidTr="00367AF7">
        <w:tc>
          <w:tcPr>
            <w:tcW w:w="2136" w:type="dxa"/>
            <w:shd w:val="clear" w:color="auto" w:fill="F2F2F2"/>
            <w:tcMar>
              <w:top w:w="90" w:type="dxa"/>
              <w:left w:w="90" w:type="dxa"/>
              <w:bottom w:w="90" w:type="dxa"/>
              <w:right w:w="62" w:type="dxa"/>
            </w:tcMar>
            <w:hideMark/>
          </w:tcPr>
          <w:p w14:paraId="39F5BD51" w14:textId="77777777" w:rsidR="00890B60" w:rsidRDefault="00890B60" w:rsidP="003F1F8A">
            <w:pPr>
              <w:keepNext/>
              <w:spacing w:before="0"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236C940F" w14:textId="16F682BD" w:rsidR="00890B60" w:rsidRPr="00B03A62" w:rsidRDefault="00890B60" w:rsidP="003F1F8A">
            <w:pPr>
              <w:keepNext/>
              <w:spacing w:before="0" w:line="240" w:lineRule="auto"/>
              <w:rPr>
                <w:color w:val="000000"/>
              </w:rPr>
            </w:pPr>
            <w:r w:rsidRPr="002F1C76">
              <w:rPr>
                <w:color w:val="000000"/>
              </w:rPr>
              <w:t>$</w:t>
            </w:r>
            <w:r w:rsidR="00090F92" w:rsidRPr="002F1C76">
              <w:rPr>
                <w:color w:val="000000"/>
              </w:rPr>
              <w:t>6</w:t>
            </w:r>
            <w:r w:rsidRPr="002F1C76">
              <w:rPr>
                <w:color w:val="000000"/>
              </w:rPr>
              <w:t>.</w:t>
            </w:r>
            <w:r w:rsidR="00F34271" w:rsidRPr="002F1C76">
              <w:rPr>
                <w:color w:val="000000"/>
              </w:rPr>
              <w:t>5</w:t>
            </w:r>
            <w:r w:rsidR="00090F92" w:rsidRPr="002F1C76">
              <w:rPr>
                <w:color w:val="000000"/>
              </w:rPr>
              <w:t>5</w:t>
            </w:r>
          </w:p>
        </w:tc>
      </w:tr>
      <w:tr w:rsidR="00890B60" w14:paraId="42C0F98C" w14:textId="77777777" w:rsidTr="00367AF7">
        <w:tc>
          <w:tcPr>
            <w:tcW w:w="2136" w:type="dxa"/>
            <w:shd w:val="clear" w:color="auto" w:fill="E3E4E4"/>
            <w:tcMar>
              <w:top w:w="90" w:type="dxa"/>
              <w:left w:w="90" w:type="dxa"/>
              <w:bottom w:w="90" w:type="dxa"/>
              <w:right w:w="62" w:type="dxa"/>
            </w:tcMar>
            <w:hideMark/>
          </w:tcPr>
          <w:p w14:paraId="10C8C8D6" w14:textId="222AB95B" w:rsidR="00890B60" w:rsidRDefault="00890B60" w:rsidP="003F1F8A">
            <w:pPr>
              <w:keepNext/>
              <w:spacing w:before="0" w:line="240" w:lineRule="auto"/>
              <w:rPr>
                <w:color w:val="000000"/>
              </w:rPr>
            </w:pPr>
            <w:r>
              <w:rPr>
                <w:color w:val="000000"/>
              </w:rPr>
              <w:t xml:space="preserve">Distance </w:t>
            </w:r>
            <w:r w:rsidR="00E82832">
              <w:rPr>
                <w:color w:val="000000"/>
              </w:rPr>
              <w:t>r</w:t>
            </w:r>
            <w:r>
              <w:rPr>
                <w:color w:val="000000"/>
              </w:rPr>
              <w:t>ate</w:t>
            </w:r>
          </w:p>
        </w:tc>
        <w:tc>
          <w:tcPr>
            <w:tcW w:w="4971" w:type="dxa"/>
            <w:shd w:val="clear" w:color="auto" w:fill="E3E4E4"/>
            <w:tcMar>
              <w:top w:w="90" w:type="dxa"/>
              <w:left w:w="90" w:type="dxa"/>
              <w:bottom w:w="90" w:type="dxa"/>
              <w:right w:w="62" w:type="dxa"/>
            </w:tcMar>
            <w:hideMark/>
          </w:tcPr>
          <w:p w14:paraId="01CD79A9" w14:textId="0EA40EE5" w:rsidR="00890B60" w:rsidRPr="00B03A62" w:rsidRDefault="00890B60" w:rsidP="003F1F8A">
            <w:pPr>
              <w:keepNext/>
              <w:spacing w:before="0" w:line="240" w:lineRule="auto"/>
              <w:rPr>
                <w:color w:val="000000"/>
              </w:rPr>
            </w:pPr>
            <w:r w:rsidRPr="002F1C76">
              <w:rPr>
                <w:color w:val="000000"/>
              </w:rPr>
              <w:t>$2.</w:t>
            </w:r>
            <w:r w:rsidR="00D22BEE" w:rsidRPr="002F1C76">
              <w:rPr>
                <w:color w:val="000000"/>
              </w:rPr>
              <w:t>2</w:t>
            </w:r>
            <w:r w:rsidR="00F34271" w:rsidRPr="002F1C76">
              <w:rPr>
                <w:color w:val="000000"/>
              </w:rPr>
              <w:t>65</w:t>
            </w:r>
            <w:r>
              <w:rPr>
                <w:color w:val="000000"/>
              </w:rPr>
              <w:t xml:space="preserve"> </w:t>
            </w:r>
            <w:r w:rsidRPr="00B03A62">
              <w:rPr>
                <w:color w:val="000000"/>
              </w:rPr>
              <w:t>per kilometre while the vehicle speed is greater than 21 kmph</w:t>
            </w:r>
          </w:p>
        </w:tc>
      </w:tr>
      <w:tr w:rsidR="00890B60" w14:paraId="12BA20F9" w14:textId="77777777" w:rsidTr="00367AF7">
        <w:tc>
          <w:tcPr>
            <w:tcW w:w="2136" w:type="dxa"/>
            <w:shd w:val="clear" w:color="auto" w:fill="F2F2F2"/>
            <w:tcMar>
              <w:top w:w="90" w:type="dxa"/>
              <w:left w:w="90" w:type="dxa"/>
              <w:bottom w:w="90" w:type="dxa"/>
              <w:right w:w="62" w:type="dxa"/>
            </w:tcMar>
            <w:hideMark/>
          </w:tcPr>
          <w:p w14:paraId="00324FB3" w14:textId="5C15ACA7" w:rsidR="00890B60" w:rsidRDefault="00890B60" w:rsidP="003F1F8A">
            <w:pPr>
              <w:keepNext/>
              <w:spacing w:before="0" w:line="240" w:lineRule="auto"/>
              <w:rPr>
                <w:color w:val="000000"/>
              </w:rPr>
            </w:pPr>
            <w:r>
              <w:rPr>
                <w:color w:val="000000"/>
              </w:rPr>
              <w:t xml:space="preserve">Detention </w:t>
            </w:r>
            <w:r w:rsidR="00E82832">
              <w:rPr>
                <w:color w:val="000000"/>
              </w:rPr>
              <w:t>r</w:t>
            </w:r>
            <w:r>
              <w:rPr>
                <w:color w:val="000000"/>
              </w:rPr>
              <w:t>ate</w:t>
            </w:r>
          </w:p>
        </w:tc>
        <w:tc>
          <w:tcPr>
            <w:tcW w:w="4971" w:type="dxa"/>
            <w:shd w:val="clear" w:color="auto" w:fill="F2F2F2"/>
            <w:tcMar>
              <w:top w:w="90" w:type="dxa"/>
              <w:left w:w="90" w:type="dxa"/>
              <w:bottom w:w="90" w:type="dxa"/>
              <w:right w:w="62" w:type="dxa"/>
            </w:tcMar>
            <w:hideMark/>
          </w:tcPr>
          <w:p w14:paraId="2528365C" w14:textId="3D6FCBC1" w:rsidR="00890B60" w:rsidRPr="00B03A62" w:rsidRDefault="00890B60" w:rsidP="003F1F8A">
            <w:pPr>
              <w:keepNext/>
              <w:spacing w:before="0" w:line="240" w:lineRule="auto"/>
              <w:rPr>
                <w:color w:val="000000"/>
              </w:rPr>
            </w:pPr>
            <w:r w:rsidRPr="002F1C76">
              <w:rPr>
                <w:color w:val="000000"/>
              </w:rPr>
              <w:t>$0.7</w:t>
            </w:r>
            <w:r w:rsidR="00F34271" w:rsidRPr="002F1C76">
              <w:rPr>
                <w:color w:val="000000"/>
              </w:rPr>
              <w:t>92</w:t>
            </w:r>
            <w:r>
              <w:rPr>
                <w:color w:val="000000"/>
              </w:rPr>
              <w:t xml:space="preserve"> </w:t>
            </w:r>
            <w:r w:rsidRPr="00B03A62">
              <w:rPr>
                <w:color w:val="000000"/>
              </w:rPr>
              <w:t>per minute (</w:t>
            </w:r>
            <w:r w:rsidRPr="002F1C76">
              <w:rPr>
                <w:color w:val="000000"/>
              </w:rPr>
              <w:t>$4</w:t>
            </w:r>
            <w:r w:rsidR="00F34271" w:rsidRPr="002F1C76">
              <w:rPr>
                <w:color w:val="000000"/>
              </w:rPr>
              <w:t>7</w:t>
            </w:r>
            <w:r w:rsidRPr="002F1C76">
              <w:rPr>
                <w:color w:val="000000"/>
              </w:rPr>
              <w:t>.</w:t>
            </w:r>
            <w:r w:rsidR="00F34271" w:rsidRPr="002F1C76">
              <w:rPr>
                <w:color w:val="000000"/>
              </w:rPr>
              <w:t>52</w:t>
            </w:r>
            <w:r>
              <w:rPr>
                <w:color w:val="000000"/>
              </w:rPr>
              <w:t xml:space="preserve"> </w:t>
            </w:r>
            <w:r w:rsidRPr="00B03A62">
              <w:rPr>
                <w:color w:val="000000"/>
              </w:rPr>
              <w:t>per hour) while the vehicle speed is less than 21 kmph</w:t>
            </w:r>
          </w:p>
        </w:tc>
      </w:tr>
    </w:tbl>
    <w:p w14:paraId="24163CA0" w14:textId="52A185F2" w:rsidR="00897A51" w:rsidRDefault="007B6F37" w:rsidP="007B6F37">
      <w:pPr>
        <w:spacing w:before="0" w:after="120"/>
        <w:rPr>
          <w:b/>
          <w:bCs/>
          <w:color w:val="4986A0"/>
        </w:rPr>
      </w:pPr>
      <w:r>
        <w:rPr>
          <w:b/>
          <w:bCs/>
          <w:color w:val="4986A0"/>
        </w:rPr>
        <w:tab/>
      </w:r>
    </w:p>
    <w:p w14:paraId="65D8E1C5" w14:textId="2D4AA7DB" w:rsidR="00890B60" w:rsidRDefault="00890B60" w:rsidP="00B85E2C">
      <w:pPr>
        <w:pStyle w:val="Heading3"/>
        <w:ind w:firstLine="720"/>
      </w:pPr>
      <w:r>
        <w:t>TARIFF THREE – PEAK TARIFF</w:t>
      </w:r>
    </w:p>
    <w:p w14:paraId="4C5A3D86" w14:textId="77777777" w:rsidR="00890B60" w:rsidRDefault="00890B60" w:rsidP="00B85E2C">
      <w:pPr>
        <w:keepLines/>
        <w:spacing w:before="240"/>
        <w:ind w:left="1440"/>
      </w:pPr>
      <w:r>
        <w:t>Tariff Three rates apply as maximum rates:</w:t>
      </w:r>
    </w:p>
    <w:p w14:paraId="3CF71A4B" w14:textId="71FE3D37" w:rsidR="00890B60" w:rsidRDefault="00890B60" w:rsidP="00B85E2C">
      <w:pPr>
        <w:keepLines/>
        <w:numPr>
          <w:ilvl w:val="0"/>
          <w:numId w:val="12"/>
        </w:numPr>
        <w:pBdr>
          <w:left w:val="none" w:sz="0" w:space="4" w:color="auto"/>
        </w:pBdr>
        <w:spacing w:after="0"/>
        <w:ind w:left="1843" w:hanging="353"/>
        <w:rPr>
          <w:rFonts w:ascii="Times New Roman" w:eastAsia="Times New Roman" w:hAnsi="Times New Roman" w:cs="Times New Roman"/>
        </w:rPr>
      </w:pPr>
      <w:r>
        <w:t>from 10</w:t>
      </w:r>
      <w:r w:rsidR="00910515">
        <w:t xml:space="preserve"> </w:t>
      </w:r>
      <w:r>
        <w:t>pm Friday to 4</w:t>
      </w:r>
      <w:r w:rsidR="00910515">
        <w:t xml:space="preserve"> </w:t>
      </w:r>
      <w:r>
        <w:t>am Saturday;</w:t>
      </w:r>
    </w:p>
    <w:p w14:paraId="6EB87633" w14:textId="55DC19BA" w:rsidR="00890B60" w:rsidRDefault="00890B60" w:rsidP="00B85E2C">
      <w:pPr>
        <w:keepLines/>
        <w:numPr>
          <w:ilvl w:val="0"/>
          <w:numId w:val="12"/>
        </w:numPr>
        <w:pBdr>
          <w:left w:val="none" w:sz="0" w:space="4" w:color="auto"/>
        </w:pBdr>
        <w:spacing w:before="0" w:after="0"/>
        <w:ind w:left="1843" w:hanging="353"/>
        <w:rPr>
          <w:rFonts w:ascii="Times New Roman" w:eastAsia="Times New Roman" w:hAnsi="Times New Roman" w:cs="Times New Roman"/>
        </w:rPr>
      </w:pPr>
      <w:r>
        <w:lastRenderedPageBreak/>
        <w:t>from 10</w:t>
      </w:r>
      <w:r w:rsidR="00910515">
        <w:t xml:space="preserve"> </w:t>
      </w:r>
      <w:r>
        <w:t>pm Saturday to 4</w:t>
      </w:r>
      <w:r w:rsidR="00910515">
        <w:t xml:space="preserve"> </w:t>
      </w:r>
      <w:r>
        <w:t>am Sunday;</w:t>
      </w:r>
    </w:p>
    <w:p w14:paraId="359B8341" w14:textId="77777777" w:rsidR="00890B60" w:rsidRDefault="00890B60" w:rsidP="00B85E2C">
      <w:pPr>
        <w:keepLines/>
        <w:numPr>
          <w:ilvl w:val="0"/>
          <w:numId w:val="12"/>
        </w:numPr>
        <w:pBdr>
          <w:left w:val="none" w:sz="0" w:space="4" w:color="auto"/>
        </w:pBdr>
        <w:spacing w:before="0" w:after="0"/>
        <w:ind w:left="1843" w:hanging="353"/>
        <w:rPr>
          <w:rFonts w:ascii="Times New Roman" w:eastAsia="Times New Roman" w:hAnsi="Times New Roman" w:cs="Times New Roman"/>
        </w:rPr>
      </w:pPr>
      <w:r>
        <w:t>all day on Christmas Day;</w:t>
      </w:r>
    </w:p>
    <w:p w14:paraId="2A0730DA" w14:textId="468D5F47" w:rsidR="00890B60" w:rsidRDefault="00890B60" w:rsidP="00B85E2C">
      <w:pPr>
        <w:keepLines/>
        <w:numPr>
          <w:ilvl w:val="0"/>
          <w:numId w:val="12"/>
        </w:numPr>
        <w:pBdr>
          <w:left w:val="none" w:sz="0" w:space="4" w:color="auto"/>
        </w:pBdr>
        <w:spacing w:before="0" w:after="0"/>
        <w:ind w:left="1843" w:hanging="353"/>
        <w:rPr>
          <w:rFonts w:ascii="Times New Roman" w:eastAsia="Times New Roman" w:hAnsi="Times New Roman" w:cs="Times New Roman"/>
        </w:rPr>
      </w:pPr>
      <w:r>
        <w:t>all day on Boxing Day</w:t>
      </w:r>
    </w:p>
    <w:p w14:paraId="70E9E5AC" w14:textId="4C235523" w:rsidR="00890B60" w:rsidRDefault="00890B60" w:rsidP="00B85E2C">
      <w:pPr>
        <w:keepLines/>
        <w:numPr>
          <w:ilvl w:val="0"/>
          <w:numId w:val="12"/>
        </w:numPr>
        <w:pBdr>
          <w:left w:val="none" w:sz="0" w:space="4" w:color="auto"/>
        </w:pBdr>
        <w:spacing w:before="0"/>
        <w:ind w:left="1843" w:hanging="354"/>
        <w:rPr>
          <w:rFonts w:ascii="Times New Roman" w:eastAsia="Times New Roman" w:hAnsi="Times New Roman" w:cs="Times New Roman"/>
        </w:rPr>
      </w:pPr>
      <w:r>
        <w:t>from 6</w:t>
      </w:r>
      <w:r w:rsidR="00910515">
        <w:t xml:space="preserve"> </w:t>
      </w:r>
      <w:r>
        <w:t>pm on New Year’s Eve until midnight at the end of New Year’s Day.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107FB315" w14:textId="77777777" w:rsidTr="00367AF7">
        <w:tc>
          <w:tcPr>
            <w:tcW w:w="2136" w:type="dxa"/>
            <w:shd w:val="clear" w:color="auto" w:fill="4986A0"/>
            <w:tcMar>
              <w:top w:w="90" w:type="dxa"/>
              <w:left w:w="90" w:type="dxa"/>
              <w:bottom w:w="90" w:type="dxa"/>
              <w:right w:w="62" w:type="dxa"/>
            </w:tcMar>
            <w:hideMark/>
          </w:tcPr>
          <w:p w14:paraId="581CE674" w14:textId="77777777" w:rsidR="00890B60" w:rsidRDefault="00890B60" w:rsidP="00B85E2C">
            <w:pPr>
              <w:keepNext/>
              <w:keepLines/>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67C1CA6D" w14:textId="77777777" w:rsidR="00890B60" w:rsidRDefault="00890B60" w:rsidP="00B85E2C">
            <w:pPr>
              <w:keepNext/>
              <w:keepLines/>
              <w:spacing w:line="240" w:lineRule="auto"/>
              <w:rPr>
                <w:color w:val="000000"/>
              </w:rPr>
            </w:pPr>
            <w:r>
              <w:rPr>
                <w:b/>
                <w:bCs/>
                <w:color w:val="FFFFFF"/>
              </w:rPr>
              <w:t>Maximum charge</w:t>
            </w:r>
          </w:p>
        </w:tc>
      </w:tr>
      <w:tr w:rsidR="00890B60" w14:paraId="3A733DD5" w14:textId="77777777" w:rsidTr="00367AF7">
        <w:tc>
          <w:tcPr>
            <w:tcW w:w="2136" w:type="dxa"/>
            <w:shd w:val="clear" w:color="auto" w:fill="F2F2F2"/>
            <w:tcMar>
              <w:top w:w="90" w:type="dxa"/>
              <w:left w:w="90" w:type="dxa"/>
              <w:bottom w:w="90" w:type="dxa"/>
              <w:right w:w="62" w:type="dxa"/>
            </w:tcMar>
            <w:hideMark/>
          </w:tcPr>
          <w:p w14:paraId="0E05ED4C" w14:textId="77777777" w:rsidR="00890B60" w:rsidRDefault="00890B60" w:rsidP="00B85E2C">
            <w:pPr>
              <w:keepNext/>
              <w:keepLines/>
              <w:spacing w:before="0"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146D26B9" w14:textId="6697BDF1" w:rsidR="00890B60" w:rsidRPr="00074768" w:rsidRDefault="00890B60" w:rsidP="00B85E2C">
            <w:pPr>
              <w:keepNext/>
              <w:keepLines/>
              <w:spacing w:before="0" w:line="240" w:lineRule="auto"/>
              <w:rPr>
                <w:color w:val="000000"/>
              </w:rPr>
            </w:pPr>
            <w:r w:rsidRPr="00074768">
              <w:rPr>
                <w:color w:val="000000"/>
              </w:rPr>
              <w:t>$</w:t>
            </w:r>
            <w:r w:rsidR="00090F92" w:rsidRPr="00074768">
              <w:rPr>
                <w:color w:val="000000"/>
              </w:rPr>
              <w:t>7</w:t>
            </w:r>
            <w:r w:rsidRPr="00074768">
              <w:rPr>
                <w:color w:val="000000"/>
              </w:rPr>
              <w:t>.</w:t>
            </w:r>
            <w:r w:rsidR="00F34271" w:rsidRPr="00074768">
              <w:rPr>
                <w:color w:val="000000"/>
              </w:rPr>
              <w:t>8</w:t>
            </w:r>
            <w:r w:rsidRPr="00074768">
              <w:rPr>
                <w:color w:val="000000"/>
              </w:rPr>
              <w:t>0</w:t>
            </w:r>
          </w:p>
        </w:tc>
      </w:tr>
      <w:tr w:rsidR="00890B60" w14:paraId="1D08419D" w14:textId="77777777" w:rsidTr="00367AF7">
        <w:tc>
          <w:tcPr>
            <w:tcW w:w="2136" w:type="dxa"/>
            <w:shd w:val="clear" w:color="auto" w:fill="E3E4E4"/>
            <w:tcMar>
              <w:top w:w="90" w:type="dxa"/>
              <w:left w:w="90" w:type="dxa"/>
              <w:bottom w:w="90" w:type="dxa"/>
              <w:right w:w="62" w:type="dxa"/>
            </w:tcMar>
            <w:hideMark/>
          </w:tcPr>
          <w:p w14:paraId="7217D7D0" w14:textId="388D141D" w:rsidR="00890B60" w:rsidRDefault="00890B60" w:rsidP="00B85E2C">
            <w:pPr>
              <w:keepNext/>
              <w:keepLines/>
              <w:spacing w:before="0" w:line="240" w:lineRule="auto"/>
              <w:rPr>
                <w:color w:val="000000"/>
              </w:rPr>
            </w:pPr>
            <w:r>
              <w:rPr>
                <w:color w:val="000000"/>
              </w:rPr>
              <w:t xml:space="preserve">Distance </w:t>
            </w:r>
            <w:r w:rsidR="00910515">
              <w:rPr>
                <w:color w:val="000000"/>
              </w:rPr>
              <w:t>r</w:t>
            </w:r>
            <w:r>
              <w:rPr>
                <w:color w:val="000000"/>
              </w:rPr>
              <w:t>ate</w:t>
            </w:r>
          </w:p>
        </w:tc>
        <w:tc>
          <w:tcPr>
            <w:tcW w:w="4971" w:type="dxa"/>
            <w:shd w:val="clear" w:color="auto" w:fill="E3E4E4"/>
            <w:tcMar>
              <w:top w:w="90" w:type="dxa"/>
              <w:left w:w="90" w:type="dxa"/>
              <w:bottom w:w="90" w:type="dxa"/>
              <w:right w:w="62" w:type="dxa"/>
            </w:tcMar>
            <w:hideMark/>
          </w:tcPr>
          <w:p w14:paraId="17BF32B0" w14:textId="16406D9C" w:rsidR="00890B60" w:rsidRDefault="00890B60" w:rsidP="00B85E2C">
            <w:pPr>
              <w:keepNext/>
              <w:keepLines/>
              <w:spacing w:before="0" w:line="240" w:lineRule="auto"/>
              <w:rPr>
                <w:color w:val="000000"/>
              </w:rPr>
            </w:pPr>
            <w:r w:rsidRPr="00074768">
              <w:rPr>
                <w:color w:val="000000"/>
              </w:rPr>
              <w:t>$2.</w:t>
            </w:r>
            <w:r w:rsidR="005B7ED0" w:rsidRPr="00074768">
              <w:rPr>
                <w:color w:val="000000"/>
              </w:rPr>
              <w:t>4</w:t>
            </w:r>
            <w:r w:rsidR="00F34271" w:rsidRPr="00074768">
              <w:rPr>
                <w:color w:val="000000"/>
              </w:rPr>
              <w:t>93</w:t>
            </w:r>
            <w:r>
              <w:rPr>
                <w:color w:val="000000"/>
              </w:rPr>
              <w:t xml:space="preserve"> per kilometre while the vehicle speed is greater than 21 kmph</w:t>
            </w:r>
          </w:p>
        </w:tc>
      </w:tr>
      <w:tr w:rsidR="00890B60" w14:paraId="2660CA07" w14:textId="77777777" w:rsidTr="00367AF7">
        <w:tc>
          <w:tcPr>
            <w:tcW w:w="2136" w:type="dxa"/>
            <w:shd w:val="clear" w:color="auto" w:fill="F2F2F2"/>
            <w:tcMar>
              <w:top w:w="90" w:type="dxa"/>
              <w:left w:w="90" w:type="dxa"/>
              <w:bottom w:w="90" w:type="dxa"/>
              <w:right w:w="62" w:type="dxa"/>
            </w:tcMar>
            <w:hideMark/>
          </w:tcPr>
          <w:p w14:paraId="60C9D5F0" w14:textId="174976E7" w:rsidR="00890B60" w:rsidRDefault="00890B60" w:rsidP="00B85E2C">
            <w:pPr>
              <w:keepNext/>
              <w:keepLines/>
              <w:spacing w:before="0" w:line="240" w:lineRule="auto"/>
              <w:rPr>
                <w:color w:val="000000"/>
              </w:rPr>
            </w:pPr>
            <w:r>
              <w:rPr>
                <w:color w:val="000000"/>
              </w:rPr>
              <w:t xml:space="preserve">Detention </w:t>
            </w:r>
            <w:r w:rsidR="00910515">
              <w:rPr>
                <w:color w:val="000000"/>
              </w:rPr>
              <w:t>r</w:t>
            </w:r>
            <w:r>
              <w:rPr>
                <w:color w:val="000000"/>
              </w:rPr>
              <w:t>ate</w:t>
            </w:r>
          </w:p>
        </w:tc>
        <w:tc>
          <w:tcPr>
            <w:tcW w:w="4971" w:type="dxa"/>
            <w:shd w:val="clear" w:color="auto" w:fill="F2F2F2"/>
            <w:tcMar>
              <w:top w:w="90" w:type="dxa"/>
              <w:left w:w="90" w:type="dxa"/>
              <w:bottom w:w="90" w:type="dxa"/>
              <w:right w:w="62" w:type="dxa"/>
            </w:tcMar>
            <w:hideMark/>
          </w:tcPr>
          <w:p w14:paraId="3A2130FA" w14:textId="74AF2C23" w:rsidR="00890B60" w:rsidRDefault="00890B60" w:rsidP="00B85E2C">
            <w:pPr>
              <w:keepNext/>
              <w:keepLines/>
              <w:spacing w:before="0" w:line="240" w:lineRule="auto"/>
              <w:rPr>
                <w:color w:val="000000"/>
              </w:rPr>
            </w:pPr>
            <w:r w:rsidRPr="00074768">
              <w:rPr>
                <w:color w:val="000000"/>
              </w:rPr>
              <w:t>$0.</w:t>
            </w:r>
            <w:r w:rsidR="00090F92" w:rsidRPr="00074768">
              <w:rPr>
                <w:color w:val="000000"/>
              </w:rPr>
              <w:t>8</w:t>
            </w:r>
            <w:r w:rsidR="00F34271" w:rsidRPr="00074768">
              <w:rPr>
                <w:color w:val="000000"/>
              </w:rPr>
              <w:t>72</w:t>
            </w:r>
            <w:r>
              <w:rPr>
                <w:color w:val="000000"/>
              </w:rPr>
              <w:t xml:space="preserve"> per minute (</w:t>
            </w:r>
            <w:r w:rsidRPr="00074768">
              <w:rPr>
                <w:color w:val="000000"/>
              </w:rPr>
              <w:t>$</w:t>
            </w:r>
            <w:r w:rsidR="005B7ED0" w:rsidRPr="00074768">
              <w:rPr>
                <w:color w:val="000000"/>
              </w:rPr>
              <w:t>5</w:t>
            </w:r>
            <w:r w:rsidR="00F34271" w:rsidRPr="00074768">
              <w:rPr>
                <w:color w:val="000000"/>
              </w:rPr>
              <w:t>2</w:t>
            </w:r>
            <w:r w:rsidRPr="00074768">
              <w:rPr>
                <w:color w:val="000000"/>
              </w:rPr>
              <w:t>.</w:t>
            </w:r>
            <w:r w:rsidR="00F34271" w:rsidRPr="00074768">
              <w:rPr>
                <w:color w:val="000000"/>
              </w:rPr>
              <w:t>32</w:t>
            </w:r>
            <w:r>
              <w:rPr>
                <w:color w:val="000000"/>
              </w:rPr>
              <w:t xml:space="preserve"> per hour) while the vehicle speed is less than 21 kmph</w:t>
            </w:r>
          </w:p>
        </w:tc>
      </w:tr>
    </w:tbl>
    <w:p w14:paraId="6A3334E6" w14:textId="77777777" w:rsidR="00890B60" w:rsidRDefault="00890B60" w:rsidP="00D7353E">
      <w:pPr>
        <w:numPr>
          <w:ilvl w:val="1"/>
          <w:numId w:val="13"/>
        </w:numPr>
        <w:tabs>
          <w:tab w:val="left" w:pos="1440"/>
        </w:tabs>
        <w:spacing w:before="240" w:after="0"/>
        <w:ind w:left="1440" w:hanging="720"/>
      </w:pPr>
      <w:r>
        <w:t xml:space="preserve">Fare calculation devices must be programmed to automatically select the correct tariff for the relevant time and date. Manual selection of tariffs is not permitted. </w:t>
      </w:r>
    </w:p>
    <w:p w14:paraId="49814AE6" w14:textId="77777777" w:rsidR="00890B60" w:rsidRDefault="00890B60" w:rsidP="00D94A7C">
      <w:pPr>
        <w:keepNext/>
        <w:keepLines/>
        <w:numPr>
          <w:ilvl w:val="0"/>
          <w:numId w:val="14"/>
        </w:numPr>
        <w:pBdr>
          <w:left w:val="none" w:sz="0" w:space="21" w:color="auto"/>
        </w:pBdr>
        <w:spacing w:before="240" w:after="0"/>
        <w:ind w:hanging="720"/>
        <w:rPr>
          <w:b/>
          <w:bCs/>
        </w:rPr>
      </w:pPr>
      <w:r>
        <w:rPr>
          <w:b/>
          <w:bCs/>
        </w:rPr>
        <w:t>Maximum hiring rates – ‘time and distance’ tariff structure</w:t>
      </w:r>
    </w:p>
    <w:p w14:paraId="00233040" w14:textId="77777777" w:rsidR="00890B60" w:rsidRDefault="00890B60" w:rsidP="00D94A7C">
      <w:pPr>
        <w:keepNext/>
        <w:keepLines/>
        <w:numPr>
          <w:ilvl w:val="1"/>
          <w:numId w:val="14"/>
        </w:numPr>
        <w:spacing w:before="240" w:after="0"/>
        <w:ind w:hanging="720"/>
      </w:pPr>
      <w:r>
        <w:t xml:space="preserve">If using ‘time </w:t>
      </w:r>
      <w:r>
        <w:rPr>
          <w:b/>
          <w:bCs/>
        </w:rPr>
        <w:t>and</w:t>
      </w:r>
      <w:r>
        <w:t xml:space="preserve"> distance’ tariffs, the hiring rates that must be computed and displayed by the fare calculation device used for applicable unbooked services can be to a maximum of the following charges:</w:t>
      </w:r>
    </w:p>
    <w:p w14:paraId="60FEC0CB" w14:textId="77777777" w:rsidR="00890B60" w:rsidRDefault="00890B60" w:rsidP="00B85E2C">
      <w:pPr>
        <w:pStyle w:val="Heading3"/>
        <w:ind w:firstLine="720"/>
      </w:pPr>
      <w:r>
        <w:t>TARIFF ONE – DAY TARIFF</w:t>
      </w:r>
    </w:p>
    <w:p w14:paraId="1F1E73B2" w14:textId="3C0A6CB8" w:rsidR="00890B60" w:rsidRPr="00D94A7C" w:rsidRDefault="00890B60" w:rsidP="00B85E2C">
      <w:pPr>
        <w:keepLines/>
        <w:spacing w:before="240" w:after="240"/>
        <w:ind w:left="1440"/>
        <w:rPr>
          <w:b/>
          <w:bCs/>
        </w:rPr>
      </w:pPr>
      <w:r>
        <w:t>Tariff One rates apply as the maximum rates between 9</w:t>
      </w:r>
      <w:r w:rsidR="00B85E2C">
        <w:t xml:space="preserve"> </w:t>
      </w:r>
      <w:r>
        <w:t>am and 5</w:t>
      </w:r>
      <w:r w:rsidR="00B85E2C">
        <w:t xml:space="preserve"> </w:t>
      </w:r>
      <w:r>
        <w:t>pm, excluding times when Tariff Three maximum rates apply.</w:t>
      </w:r>
      <w:r>
        <w:rPr>
          <w:b/>
          <w:bCs/>
        </w:rPr>
        <w:t xml:space="preserve">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3F5F2672" w14:textId="77777777" w:rsidTr="00367AF7">
        <w:tc>
          <w:tcPr>
            <w:tcW w:w="2136" w:type="dxa"/>
            <w:shd w:val="clear" w:color="auto" w:fill="4986A0"/>
            <w:tcMar>
              <w:top w:w="90" w:type="dxa"/>
              <w:left w:w="90" w:type="dxa"/>
              <w:bottom w:w="90" w:type="dxa"/>
              <w:right w:w="62" w:type="dxa"/>
            </w:tcMar>
            <w:hideMark/>
          </w:tcPr>
          <w:p w14:paraId="64BE0A71" w14:textId="77777777" w:rsidR="00890B60" w:rsidRDefault="00890B60" w:rsidP="00B85E2C">
            <w:pPr>
              <w:keepLines/>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69A378D3" w14:textId="77777777" w:rsidR="00890B60" w:rsidRDefault="00890B60" w:rsidP="00B85E2C">
            <w:pPr>
              <w:keepLines/>
              <w:spacing w:line="240" w:lineRule="auto"/>
              <w:rPr>
                <w:color w:val="000000"/>
              </w:rPr>
            </w:pPr>
            <w:r>
              <w:rPr>
                <w:b/>
                <w:bCs/>
                <w:color w:val="FFFFFF"/>
              </w:rPr>
              <w:t>Maximum charge</w:t>
            </w:r>
          </w:p>
        </w:tc>
      </w:tr>
      <w:tr w:rsidR="00890B60" w14:paraId="1E1CC979" w14:textId="77777777" w:rsidTr="00367AF7">
        <w:tc>
          <w:tcPr>
            <w:tcW w:w="2136" w:type="dxa"/>
            <w:shd w:val="clear" w:color="auto" w:fill="F2F2F2"/>
            <w:tcMar>
              <w:top w:w="90" w:type="dxa"/>
              <w:left w:w="90" w:type="dxa"/>
              <w:bottom w:w="90" w:type="dxa"/>
              <w:right w:w="62" w:type="dxa"/>
            </w:tcMar>
            <w:hideMark/>
          </w:tcPr>
          <w:p w14:paraId="4052BD8E" w14:textId="77777777" w:rsidR="00890B60" w:rsidRDefault="00890B60" w:rsidP="00B85E2C">
            <w:pPr>
              <w:keepLines/>
              <w:spacing w:before="0"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413EB7C5" w14:textId="44A586C5" w:rsidR="00890B60" w:rsidRDefault="00890B60" w:rsidP="00B85E2C">
            <w:pPr>
              <w:keepLines/>
              <w:spacing w:before="0" w:line="240" w:lineRule="auto"/>
              <w:rPr>
                <w:color w:val="000000"/>
              </w:rPr>
            </w:pPr>
            <w:r w:rsidRPr="00205660">
              <w:rPr>
                <w:color w:val="000000"/>
              </w:rPr>
              <w:t>$</w:t>
            </w:r>
            <w:r w:rsidR="005B7ED0" w:rsidRPr="00205660">
              <w:rPr>
                <w:color w:val="000000"/>
              </w:rPr>
              <w:t>5</w:t>
            </w:r>
            <w:r w:rsidRPr="00205660">
              <w:rPr>
                <w:color w:val="000000"/>
              </w:rPr>
              <w:t>.</w:t>
            </w:r>
            <w:r w:rsidR="00F34271" w:rsidRPr="00205660">
              <w:rPr>
                <w:color w:val="000000"/>
              </w:rPr>
              <w:t>25</w:t>
            </w:r>
            <w:r>
              <w:rPr>
                <w:color w:val="000000"/>
              </w:rPr>
              <w:t xml:space="preserve"> </w:t>
            </w:r>
          </w:p>
        </w:tc>
      </w:tr>
      <w:tr w:rsidR="00890B60" w14:paraId="71B7F1CE" w14:textId="77777777" w:rsidTr="00367AF7">
        <w:tc>
          <w:tcPr>
            <w:tcW w:w="2136" w:type="dxa"/>
            <w:shd w:val="clear" w:color="auto" w:fill="E3E4E4"/>
            <w:tcMar>
              <w:top w:w="90" w:type="dxa"/>
              <w:left w:w="90" w:type="dxa"/>
              <w:bottom w:w="90" w:type="dxa"/>
              <w:right w:w="62" w:type="dxa"/>
            </w:tcMar>
            <w:hideMark/>
          </w:tcPr>
          <w:p w14:paraId="5169F6AE" w14:textId="786331A3" w:rsidR="00890B60" w:rsidRDefault="00890B60" w:rsidP="00B85E2C">
            <w:pPr>
              <w:keepLines/>
              <w:spacing w:before="0" w:line="240" w:lineRule="auto"/>
              <w:rPr>
                <w:color w:val="000000"/>
              </w:rPr>
            </w:pPr>
            <w:r>
              <w:rPr>
                <w:color w:val="000000"/>
              </w:rPr>
              <w:t xml:space="preserve">Distance </w:t>
            </w:r>
            <w:r w:rsidR="00C8184C">
              <w:rPr>
                <w:color w:val="000000"/>
              </w:rPr>
              <w:t>r</w:t>
            </w:r>
            <w:r>
              <w:rPr>
                <w:color w:val="000000"/>
              </w:rPr>
              <w:t>ate</w:t>
            </w:r>
          </w:p>
        </w:tc>
        <w:tc>
          <w:tcPr>
            <w:tcW w:w="4971" w:type="dxa"/>
            <w:shd w:val="clear" w:color="auto" w:fill="E3E4E4"/>
            <w:tcMar>
              <w:top w:w="90" w:type="dxa"/>
              <w:left w:w="90" w:type="dxa"/>
              <w:bottom w:w="90" w:type="dxa"/>
              <w:right w:w="62" w:type="dxa"/>
            </w:tcMar>
            <w:hideMark/>
          </w:tcPr>
          <w:p w14:paraId="6929553D" w14:textId="2DA49A67" w:rsidR="00890B60" w:rsidRDefault="00890B60" w:rsidP="00B85E2C">
            <w:pPr>
              <w:keepLines/>
              <w:spacing w:before="0" w:line="240" w:lineRule="auto"/>
              <w:rPr>
                <w:color w:val="000000"/>
              </w:rPr>
            </w:pPr>
            <w:r w:rsidRPr="00205660">
              <w:rPr>
                <w:color w:val="000000"/>
              </w:rPr>
              <w:t>$1.</w:t>
            </w:r>
            <w:r w:rsidR="005B7ED0" w:rsidRPr="00205660">
              <w:rPr>
                <w:color w:val="000000"/>
              </w:rPr>
              <w:t>6</w:t>
            </w:r>
            <w:r w:rsidR="00F34271" w:rsidRPr="00205660">
              <w:rPr>
                <w:color w:val="000000"/>
              </w:rPr>
              <w:t>85</w:t>
            </w:r>
            <w:r>
              <w:rPr>
                <w:color w:val="000000"/>
              </w:rPr>
              <w:t xml:space="preserve"> per kilometre at all times </w:t>
            </w:r>
          </w:p>
        </w:tc>
      </w:tr>
      <w:tr w:rsidR="00890B60" w14:paraId="3DD2195E" w14:textId="77777777" w:rsidTr="00367AF7">
        <w:tc>
          <w:tcPr>
            <w:tcW w:w="2136" w:type="dxa"/>
            <w:shd w:val="clear" w:color="auto" w:fill="F2F2F2"/>
            <w:tcMar>
              <w:top w:w="90" w:type="dxa"/>
              <w:left w:w="90" w:type="dxa"/>
              <w:bottom w:w="90" w:type="dxa"/>
              <w:right w:w="62" w:type="dxa"/>
            </w:tcMar>
            <w:hideMark/>
          </w:tcPr>
          <w:p w14:paraId="38C45436" w14:textId="1074437D" w:rsidR="00890B60" w:rsidRDefault="00890B60" w:rsidP="00B85E2C">
            <w:pPr>
              <w:keepLines/>
              <w:spacing w:before="0" w:line="240" w:lineRule="auto"/>
              <w:rPr>
                <w:color w:val="000000"/>
              </w:rPr>
            </w:pPr>
            <w:r>
              <w:rPr>
                <w:color w:val="000000"/>
              </w:rPr>
              <w:t xml:space="preserve">Duration </w:t>
            </w:r>
            <w:r w:rsidR="00C8184C">
              <w:rPr>
                <w:color w:val="000000"/>
              </w:rPr>
              <w:t>r</w:t>
            </w:r>
            <w:r>
              <w:rPr>
                <w:color w:val="000000"/>
              </w:rPr>
              <w:t>ate</w:t>
            </w:r>
          </w:p>
        </w:tc>
        <w:tc>
          <w:tcPr>
            <w:tcW w:w="4971" w:type="dxa"/>
            <w:shd w:val="clear" w:color="auto" w:fill="F2F2F2"/>
            <w:tcMar>
              <w:top w:w="90" w:type="dxa"/>
              <w:left w:w="90" w:type="dxa"/>
              <w:bottom w:w="90" w:type="dxa"/>
              <w:right w:w="62" w:type="dxa"/>
            </w:tcMar>
            <w:hideMark/>
          </w:tcPr>
          <w:p w14:paraId="5EDF7681" w14:textId="682077A9" w:rsidR="00890B60" w:rsidRDefault="00890B60" w:rsidP="00B85E2C">
            <w:pPr>
              <w:keepLines/>
              <w:spacing w:before="0" w:line="240" w:lineRule="auto"/>
              <w:rPr>
                <w:color w:val="000000"/>
              </w:rPr>
            </w:pPr>
            <w:r w:rsidRPr="00205660">
              <w:rPr>
                <w:color w:val="000000"/>
              </w:rPr>
              <w:t>$0.</w:t>
            </w:r>
            <w:r w:rsidR="005B7ED0" w:rsidRPr="00205660">
              <w:rPr>
                <w:color w:val="000000"/>
              </w:rPr>
              <w:t>4</w:t>
            </w:r>
            <w:r w:rsidR="00D44B41" w:rsidRPr="00205660">
              <w:rPr>
                <w:color w:val="000000"/>
              </w:rPr>
              <w:t>33</w:t>
            </w:r>
            <w:r>
              <w:rPr>
                <w:color w:val="000000"/>
              </w:rPr>
              <w:t xml:space="preserve"> per minute at all times</w:t>
            </w:r>
          </w:p>
        </w:tc>
      </w:tr>
    </w:tbl>
    <w:p w14:paraId="4023F135" w14:textId="77777777" w:rsidR="00890B60" w:rsidRDefault="00890B60" w:rsidP="00890B60"/>
    <w:p w14:paraId="3DE951B9" w14:textId="77777777" w:rsidR="00890B60" w:rsidRDefault="00890B60" w:rsidP="00B85E2C">
      <w:pPr>
        <w:pStyle w:val="Heading3"/>
        <w:ind w:firstLine="720"/>
      </w:pPr>
      <w:r>
        <w:lastRenderedPageBreak/>
        <w:t>TARIFF TWO – OVERNIGHT TARIFF</w:t>
      </w:r>
    </w:p>
    <w:p w14:paraId="3AF10D62" w14:textId="426FCEDF" w:rsidR="00890B60" w:rsidRDefault="00890B60" w:rsidP="00B85E2C">
      <w:pPr>
        <w:keepLines/>
        <w:spacing w:before="240" w:after="240"/>
        <w:ind w:left="1440"/>
      </w:pPr>
      <w:r>
        <w:t>Tariff Two rates apply as the maximum rates between 5</w:t>
      </w:r>
      <w:r w:rsidR="00C8184C">
        <w:t xml:space="preserve"> </w:t>
      </w:r>
      <w:r>
        <w:t>pm and 9</w:t>
      </w:r>
      <w:r w:rsidR="00C8184C">
        <w:t xml:space="preserve"> </w:t>
      </w:r>
      <w:r>
        <w:t xml:space="preserve">am, excluding times when Tariff Three maximum rates apply. </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29DF5FEE" w14:textId="77777777" w:rsidTr="00367AF7">
        <w:tc>
          <w:tcPr>
            <w:tcW w:w="2136" w:type="dxa"/>
            <w:shd w:val="clear" w:color="auto" w:fill="4986A0"/>
            <w:tcMar>
              <w:top w:w="90" w:type="dxa"/>
              <w:left w:w="90" w:type="dxa"/>
              <w:bottom w:w="90" w:type="dxa"/>
              <w:right w:w="62" w:type="dxa"/>
            </w:tcMar>
            <w:hideMark/>
          </w:tcPr>
          <w:p w14:paraId="4C9B4703" w14:textId="77777777" w:rsidR="00890B60" w:rsidRDefault="00890B60" w:rsidP="00B85E2C">
            <w:pPr>
              <w:keepNext/>
              <w:keepLines/>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7C0012D5" w14:textId="77777777" w:rsidR="00890B60" w:rsidRDefault="00890B60" w:rsidP="00B85E2C">
            <w:pPr>
              <w:keepNext/>
              <w:keepLines/>
              <w:spacing w:line="240" w:lineRule="auto"/>
              <w:rPr>
                <w:color w:val="000000"/>
              </w:rPr>
            </w:pPr>
            <w:r>
              <w:rPr>
                <w:b/>
                <w:bCs/>
                <w:color w:val="FFFFFF"/>
              </w:rPr>
              <w:t>Maximum charge</w:t>
            </w:r>
          </w:p>
        </w:tc>
      </w:tr>
      <w:tr w:rsidR="00890B60" w14:paraId="449C38D8" w14:textId="77777777" w:rsidTr="00367AF7">
        <w:tc>
          <w:tcPr>
            <w:tcW w:w="2136" w:type="dxa"/>
            <w:shd w:val="clear" w:color="auto" w:fill="F2F2F2"/>
            <w:tcMar>
              <w:top w:w="90" w:type="dxa"/>
              <w:left w:w="90" w:type="dxa"/>
              <w:bottom w:w="90" w:type="dxa"/>
              <w:right w:w="62" w:type="dxa"/>
            </w:tcMar>
            <w:hideMark/>
          </w:tcPr>
          <w:p w14:paraId="796FEC53" w14:textId="77777777" w:rsidR="00890B60" w:rsidRDefault="00890B60" w:rsidP="00B85E2C">
            <w:pPr>
              <w:keepNext/>
              <w:keepLines/>
              <w:spacing w:before="0"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55CA1533" w14:textId="6C73433D" w:rsidR="00890B60" w:rsidRDefault="00890B60" w:rsidP="00B85E2C">
            <w:pPr>
              <w:keepNext/>
              <w:keepLines/>
              <w:spacing w:before="0" w:line="240" w:lineRule="auto"/>
              <w:rPr>
                <w:color w:val="000000"/>
              </w:rPr>
            </w:pPr>
            <w:r w:rsidRPr="00205660">
              <w:rPr>
                <w:color w:val="000000"/>
              </w:rPr>
              <w:t>$</w:t>
            </w:r>
            <w:r w:rsidR="00F34271" w:rsidRPr="00205660">
              <w:rPr>
                <w:color w:val="000000"/>
              </w:rPr>
              <w:t>6.55</w:t>
            </w:r>
          </w:p>
        </w:tc>
      </w:tr>
      <w:tr w:rsidR="00890B60" w14:paraId="498FCD60" w14:textId="77777777" w:rsidTr="00367AF7">
        <w:tc>
          <w:tcPr>
            <w:tcW w:w="2136" w:type="dxa"/>
            <w:shd w:val="clear" w:color="auto" w:fill="E3E4E4"/>
            <w:tcMar>
              <w:top w:w="90" w:type="dxa"/>
              <w:left w:w="90" w:type="dxa"/>
              <w:bottom w:w="90" w:type="dxa"/>
              <w:right w:w="62" w:type="dxa"/>
            </w:tcMar>
            <w:hideMark/>
          </w:tcPr>
          <w:p w14:paraId="383D7EDA" w14:textId="574DBCE5" w:rsidR="00890B60" w:rsidRDefault="00890B60" w:rsidP="00B85E2C">
            <w:pPr>
              <w:keepNext/>
              <w:keepLines/>
              <w:spacing w:before="0" w:line="240" w:lineRule="auto"/>
              <w:rPr>
                <w:color w:val="000000"/>
              </w:rPr>
            </w:pPr>
            <w:r>
              <w:rPr>
                <w:color w:val="000000"/>
              </w:rPr>
              <w:t xml:space="preserve">Distance </w:t>
            </w:r>
            <w:r w:rsidR="00C8184C">
              <w:rPr>
                <w:color w:val="000000"/>
              </w:rPr>
              <w:t>r</w:t>
            </w:r>
            <w:r>
              <w:rPr>
                <w:color w:val="000000"/>
              </w:rPr>
              <w:t>ate</w:t>
            </w:r>
          </w:p>
        </w:tc>
        <w:tc>
          <w:tcPr>
            <w:tcW w:w="4971" w:type="dxa"/>
            <w:shd w:val="clear" w:color="auto" w:fill="E3E4E4"/>
            <w:tcMar>
              <w:top w:w="90" w:type="dxa"/>
              <w:left w:w="90" w:type="dxa"/>
              <w:bottom w:w="90" w:type="dxa"/>
              <w:right w:w="62" w:type="dxa"/>
            </w:tcMar>
            <w:hideMark/>
          </w:tcPr>
          <w:p w14:paraId="2A383681" w14:textId="27D70AF0" w:rsidR="00890B60" w:rsidRDefault="00890B60" w:rsidP="00B85E2C">
            <w:pPr>
              <w:keepNext/>
              <w:keepLines/>
              <w:spacing w:before="0" w:line="240" w:lineRule="auto"/>
              <w:rPr>
                <w:color w:val="000000"/>
              </w:rPr>
            </w:pPr>
            <w:r w:rsidRPr="00205660">
              <w:rPr>
                <w:color w:val="000000"/>
              </w:rPr>
              <w:t>$</w:t>
            </w:r>
            <w:r w:rsidR="00F34271" w:rsidRPr="00205660">
              <w:rPr>
                <w:color w:val="000000"/>
              </w:rPr>
              <w:t>1.871</w:t>
            </w:r>
            <w:r>
              <w:rPr>
                <w:color w:val="000000"/>
              </w:rPr>
              <w:t xml:space="preserve"> per kilometre at all times </w:t>
            </w:r>
          </w:p>
        </w:tc>
      </w:tr>
      <w:tr w:rsidR="00890B60" w14:paraId="63F3ACF0" w14:textId="77777777" w:rsidTr="00367AF7">
        <w:tc>
          <w:tcPr>
            <w:tcW w:w="2136" w:type="dxa"/>
            <w:shd w:val="clear" w:color="auto" w:fill="F2F2F2"/>
            <w:tcMar>
              <w:top w:w="90" w:type="dxa"/>
              <w:left w:w="90" w:type="dxa"/>
              <w:bottom w:w="90" w:type="dxa"/>
              <w:right w:w="62" w:type="dxa"/>
            </w:tcMar>
            <w:hideMark/>
          </w:tcPr>
          <w:p w14:paraId="2CC6C5E6" w14:textId="5C5476A8" w:rsidR="00890B60" w:rsidRDefault="00890B60" w:rsidP="00B85E2C">
            <w:pPr>
              <w:keepNext/>
              <w:keepLines/>
              <w:spacing w:before="0" w:line="240" w:lineRule="auto"/>
              <w:rPr>
                <w:color w:val="000000"/>
              </w:rPr>
            </w:pPr>
            <w:r>
              <w:rPr>
                <w:color w:val="000000"/>
              </w:rPr>
              <w:t xml:space="preserve">Duration </w:t>
            </w:r>
            <w:r w:rsidR="00C8184C">
              <w:rPr>
                <w:color w:val="000000"/>
              </w:rPr>
              <w:t>r</w:t>
            </w:r>
            <w:r>
              <w:rPr>
                <w:color w:val="000000"/>
              </w:rPr>
              <w:t>ate</w:t>
            </w:r>
          </w:p>
        </w:tc>
        <w:tc>
          <w:tcPr>
            <w:tcW w:w="4971" w:type="dxa"/>
            <w:shd w:val="clear" w:color="auto" w:fill="F2F2F2"/>
            <w:tcMar>
              <w:top w:w="90" w:type="dxa"/>
              <w:left w:w="90" w:type="dxa"/>
              <w:bottom w:w="90" w:type="dxa"/>
              <w:right w:w="62" w:type="dxa"/>
            </w:tcMar>
            <w:hideMark/>
          </w:tcPr>
          <w:p w14:paraId="60A2E337" w14:textId="7BB0D960" w:rsidR="00890B60" w:rsidRDefault="00890B60" w:rsidP="00B85E2C">
            <w:pPr>
              <w:keepNext/>
              <w:keepLines/>
              <w:spacing w:before="0" w:line="240" w:lineRule="auto"/>
              <w:rPr>
                <w:color w:val="000000"/>
              </w:rPr>
            </w:pPr>
            <w:r w:rsidRPr="00205660">
              <w:rPr>
                <w:color w:val="000000"/>
              </w:rPr>
              <w:t>$0.</w:t>
            </w:r>
            <w:r w:rsidR="00F34271" w:rsidRPr="00205660">
              <w:rPr>
                <w:color w:val="000000"/>
              </w:rPr>
              <w:t>476</w:t>
            </w:r>
            <w:r>
              <w:rPr>
                <w:color w:val="000000"/>
              </w:rPr>
              <w:t xml:space="preserve"> per minute at all times</w:t>
            </w:r>
          </w:p>
        </w:tc>
      </w:tr>
    </w:tbl>
    <w:p w14:paraId="04BC6E34" w14:textId="77777777" w:rsidR="00B85E2C" w:rsidRDefault="00B85E2C" w:rsidP="008D228B">
      <w:pPr>
        <w:pStyle w:val="Heading3"/>
        <w:spacing w:after="0"/>
        <w:ind w:firstLine="720"/>
      </w:pPr>
    </w:p>
    <w:p w14:paraId="73C101CD" w14:textId="5BD13A74" w:rsidR="00890B60" w:rsidRDefault="00890B60" w:rsidP="00826308">
      <w:pPr>
        <w:pStyle w:val="Heading3"/>
        <w:spacing w:before="0"/>
        <w:ind w:firstLine="720"/>
      </w:pPr>
      <w:r>
        <w:t>TARIFF THREE – PEAK TARIFF</w:t>
      </w:r>
    </w:p>
    <w:p w14:paraId="4E6F0737" w14:textId="77777777" w:rsidR="00890B60" w:rsidRDefault="00890B60" w:rsidP="00826308">
      <w:pPr>
        <w:keepLines/>
        <w:spacing w:before="240"/>
        <w:ind w:left="1440"/>
      </w:pPr>
      <w:r>
        <w:t>Tariff Three rates apply as maximum rates:</w:t>
      </w:r>
    </w:p>
    <w:p w14:paraId="147498A2" w14:textId="2BC66BC0" w:rsidR="00890B60" w:rsidRDefault="00890B60" w:rsidP="00826308">
      <w:pPr>
        <w:keepLines/>
        <w:numPr>
          <w:ilvl w:val="0"/>
          <w:numId w:val="15"/>
        </w:numPr>
        <w:pBdr>
          <w:left w:val="none" w:sz="0" w:space="4" w:color="auto"/>
        </w:pBdr>
        <w:spacing w:after="0"/>
        <w:ind w:left="1843" w:hanging="353"/>
        <w:rPr>
          <w:rFonts w:ascii="Times New Roman" w:eastAsia="Times New Roman" w:hAnsi="Times New Roman" w:cs="Times New Roman"/>
        </w:rPr>
      </w:pPr>
      <w:r>
        <w:t>from 10</w:t>
      </w:r>
      <w:r w:rsidR="00C8184C">
        <w:t xml:space="preserve"> </w:t>
      </w:r>
      <w:r>
        <w:t>pm Friday to 4</w:t>
      </w:r>
      <w:r w:rsidR="00C8184C">
        <w:t xml:space="preserve"> </w:t>
      </w:r>
      <w:r>
        <w:t>am Saturday;</w:t>
      </w:r>
    </w:p>
    <w:p w14:paraId="5810358C" w14:textId="769C1FE6" w:rsidR="00890B60" w:rsidRDefault="00890B60" w:rsidP="00826308">
      <w:pPr>
        <w:keepLines/>
        <w:numPr>
          <w:ilvl w:val="0"/>
          <w:numId w:val="15"/>
        </w:numPr>
        <w:pBdr>
          <w:left w:val="none" w:sz="0" w:space="4" w:color="auto"/>
        </w:pBdr>
        <w:spacing w:before="0" w:after="0"/>
        <w:ind w:left="1843" w:hanging="353"/>
        <w:rPr>
          <w:rFonts w:ascii="Times New Roman" w:eastAsia="Times New Roman" w:hAnsi="Times New Roman" w:cs="Times New Roman"/>
        </w:rPr>
      </w:pPr>
      <w:r>
        <w:t>from 10</w:t>
      </w:r>
      <w:r w:rsidR="00C8184C">
        <w:t xml:space="preserve"> </w:t>
      </w:r>
      <w:r>
        <w:t>pm Saturday to 4</w:t>
      </w:r>
      <w:r w:rsidR="00C8184C">
        <w:t xml:space="preserve"> </w:t>
      </w:r>
      <w:r>
        <w:t>am Sunday;</w:t>
      </w:r>
    </w:p>
    <w:p w14:paraId="00E32CA1" w14:textId="77777777" w:rsidR="00890B60" w:rsidRDefault="00890B60" w:rsidP="00826308">
      <w:pPr>
        <w:keepLines/>
        <w:numPr>
          <w:ilvl w:val="0"/>
          <w:numId w:val="15"/>
        </w:numPr>
        <w:pBdr>
          <w:left w:val="none" w:sz="0" w:space="4" w:color="auto"/>
        </w:pBdr>
        <w:spacing w:before="0" w:after="0"/>
        <w:ind w:left="1843" w:hanging="353"/>
        <w:rPr>
          <w:rFonts w:ascii="Times New Roman" w:eastAsia="Times New Roman" w:hAnsi="Times New Roman" w:cs="Times New Roman"/>
        </w:rPr>
      </w:pPr>
      <w:r>
        <w:t>all day on Christmas Day;</w:t>
      </w:r>
    </w:p>
    <w:p w14:paraId="2633DE21" w14:textId="2F58E03A" w:rsidR="00890B60" w:rsidRDefault="00890B60" w:rsidP="00826308">
      <w:pPr>
        <w:keepLines/>
        <w:numPr>
          <w:ilvl w:val="0"/>
          <w:numId w:val="15"/>
        </w:numPr>
        <w:pBdr>
          <w:left w:val="none" w:sz="0" w:space="4" w:color="auto"/>
        </w:pBdr>
        <w:spacing w:before="0" w:after="0"/>
        <w:ind w:left="1843" w:hanging="353"/>
        <w:rPr>
          <w:rFonts w:ascii="Times New Roman" w:eastAsia="Times New Roman" w:hAnsi="Times New Roman" w:cs="Times New Roman"/>
        </w:rPr>
      </w:pPr>
      <w:r>
        <w:t>all day on Boxing Day</w:t>
      </w:r>
    </w:p>
    <w:p w14:paraId="2EDD4FF6" w14:textId="6005AFAE" w:rsidR="00890B60" w:rsidRDefault="00890B60" w:rsidP="00826308">
      <w:pPr>
        <w:keepLines/>
        <w:numPr>
          <w:ilvl w:val="0"/>
          <w:numId w:val="15"/>
        </w:numPr>
        <w:pBdr>
          <w:left w:val="none" w:sz="0" w:space="4" w:color="auto"/>
        </w:pBdr>
        <w:spacing w:before="0"/>
        <w:ind w:left="1843" w:hanging="354"/>
        <w:rPr>
          <w:rFonts w:ascii="Times New Roman" w:eastAsia="Times New Roman" w:hAnsi="Times New Roman" w:cs="Times New Roman"/>
        </w:rPr>
      </w:pPr>
      <w:r>
        <w:t>from 6</w:t>
      </w:r>
      <w:r w:rsidR="00C8184C">
        <w:t xml:space="preserve"> </w:t>
      </w:r>
      <w:r>
        <w:t>pm on New Year’s Eve until midnight at the end of New Year’s Day.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14:paraId="4FA4F76B" w14:textId="77777777" w:rsidTr="00367AF7">
        <w:tc>
          <w:tcPr>
            <w:tcW w:w="2136" w:type="dxa"/>
            <w:shd w:val="clear" w:color="auto" w:fill="4986A0"/>
            <w:tcMar>
              <w:top w:w="90" w:type="dxa"/>
              <w:left w:w="90" w:type="dxa"/>
              <w:bottom w:w="90" w:type="dxa"/>
              <w:right w:w="62" w:type="dxa"/>
            </w:tcMar>
            <w:hideMark/>
          </w:tcPr>
          <w:p w14:paraId="7B5169A4" w14:textId="77777777" w:rsidR="00890B60" w:rsidRDefault="00890B60" w:rsidP="00826308">
            <w:pPr>
              <w:keepNext/>
              <w:keepLines/>
              <w:spacing w:line="240" w:lineRule="auto"/>
              <w:rPr>
                <w:color w:val="000000"/>
              </w:rPr>
            </w:pPr>
            <w:r>
              <w:rPr>
                <w:b/>
                <w:bCs/>
                <w:color w:val="FFFFFF"/>
              </w:rPr>
              <w:t>Fare component</w:t>
            </w:r>
          </w:p>
        </w:tc>
        <w:tc>
          <w:tcPr>
            <w:tcW w:w="4971" w:type="dxa"/>
            <w:shd w:val="clear" w:color="auto" w:fill="4986A0"/>
            <w:tcMar>
              <w:top w:w="90" w:type="dxa"/>
              <w:left w:w="90" w:type="dxa"/>
              <w:bottom w:w="90" w:type="dxa"/>
              <w:right w:w="62" w:type="dxa"/>
            </w:tcMar>
            <w:hideMark/>
          </w:tcPr>
          <w:p w14:paraId="7D4EB5E4" w14:textId="77777777" w:rsidR="00890B60" w:rsidRDefault="00890B60" w:rsidP="00826308">
            <w:pPr>
              <w:keepNext/>
              <w:keepLines/>
              <w:spacing w:line="240" w:lineRule="auto"/>
              <w:rPr>
                <w:color w:val="000000"/>
              </w:rPr>
            </w:pPr>
            <w:r>
              <w:rPr>
                <w:b/>
                <w:bCs/>
                <w:color w:val="FFFFFF"/>
              </w:rPr>
              <w:t>Maximum charge</w:t>
            </w:r>
          </w:p>
        </w:tc>
      </w:tr>
      <w:tr w:rsidR="00890B60" w14:paraId="0AFA2079" w14:textId="77777777" w:rsidTr="00367AF7">
        <w:tc>
          <w:tcPr>
            <w:tcW w:w="2136" w:type="dxa"/>
            <w:shd w:val="clear" w:color="auto" w:fill="F2F2F2"/>
            <w:tcMar>
              <w:top w:w="90" w:type="dxa"/>
              <w:left w:w="90" w:type="dxa"/>
              <w:bottom w:w="90" w:type="dxa"/>
              <w:right w:w="62" w:type="dxa"/>
            </w:tcMar>
            <w:hideMark/>
          </w:tcPr>
          <w:p w14:paraId="06B4AD00" w14:textId="77777777" w:rsidR="00890B60" w:rsidRDefault="00890B60" w:rsidP="00826308">
            <w:pPr>
              <w:keepNext/>
              <w:keepLines/>
              <w:spacing w:before="0" w:line="240" w:lineRule="auto"/>
              <w:rPr>
                <w:color w:val="000000"/>
              </w:rPr>
            </w:pPr>
            <w:r>
              <w:rPr>
                <w:color w:val="000000"/>
              </w:rPr>
              <w:t>Flagfall</w:t>
            </w:r>
          </w:p>
        </w:tc>
        <w:tc>
          <w:tcPr>
            <w:tcW w:w="4971" w:type="dxa"/>
            <w:shd w:val="clear" w:color="auto" w:fill="F2F2F2"/>
            <w:tcMar>
              <w:top w:w="90" w:type="dxa"/>
              <w:left w:w="90" w:type="dxa"/>
              <w:bottom w:w="90" w:type="dxa"/>
              <w:right w:w="62" w:type="dxa"/>
            </w:tcMar>
            <w:hideMark/>
          </w:tcPr>
          <w:p w14:paraId="5C5D8668" w14:textId="1B6D95E0" w:rsidR="00890B60" w:rsidRDefault="00890B60" w:rsidP="00826308">
            <w:pPr>
              <w:keepNext/>
              <w:keepLines/>
              <w:spacing w:before="0" w:line="240" w:lineRule="auto"/>
              <w:rPr>
                <w:color w:val="000000"/>
              </w:rPr>
            </w:pPr>
            <w:r w:rsidRPr="00205660">
              <w:rPr>
                <w:color w:val="000000"/>
              </w:rPr>
              <w:t>$</w:t>
            </w:r>
            <w:r w:rsidR="00090F92" w:rsidRPr="00205660">
              <w:rPr>
                <w:color w:val="000000"/>
              </w:rPr>
              <w:t>7</w:t>
            </w:r>
            <w:r w:rsidRPr="00205660">
              <w:rPr>
                <w:color w:val="000000"/>
              </w:rPr>
              <w:t>.</w:t>
            </w:r>
            <w:r w:rsidR="00F34271" w:rsidRPr="00205660">
              <w:rPr>
                <w:color w:val="000000"/>
              </w:rPr>
              <w:t>8</w:t>
            </w:r>
            <w:r w:rsidRPr="00205660">
              <w:rPr>
                <w:color w:val="000000"/>
              </w:rPr>
              <w:t>0</w:t>
            </w:r>
          </w:p>
        </w:tc>
      </w:tr>
      <w:tr w:rsidR="00890B60" w14:paraId="4F94EF69" w14:textId="77777777" w:rsidTr="00367AF7">
        <w:tc>
          <w:tcPr>
            <w:tcW w:w="2136" w:type="dxa"/>
            <w:shd w:val="clear" w:color="auto" w:fill="E3E4E4"/>
            <w:tcMar>
              <w:top w:w="90" w:type="dxa"/>
              <w:left w:w="90" w:type="dxa"/>
              <w:bottom w:w="90" w:type="dxa"/>
              <w:right w:w="62" w:type="dxa"/>
            </w:tcMar>
            <w:hideMark/>
          </w:tcPr>
          <w:p w14:paraId="38BC6985" w14:textId="7F9ED8B3" w:rsidR="00890B60" w:rsidRDefault="00890B60" w:rsidP="00826308">
            <w:pPr>
              <w:keepNext/>
              <w:keepLines/>
              <w:spacing w:before="0" w:line="240" w:lineRule="auto"/>
              <w:rPr>
                <w:color w:val="000000"/>
              </w:rPr>
            </w:pPr>
            <w:r>
              <w:rPr>
                <w:color w:val="000000"/>
              </w:rPr>
              <w:t xml:space="preserve">Distance </w:t>
            </w:r>
            <w:r w:rsidR="008D228B">
              <w:rPr>
                <w:color w:val="000000"/>
              </w:rPr>
              <w:t>r</w:t>
            </w:r>
            <w:r>
              <w:rPr>
                <w:color w:val="000000"/>
              </w:rPr>
              <w:t>ate</w:t>
            </w:r>
          </w:p>
        </w:tc>
        <w:tc>
          <w:tcPr>
            <w:tcW w:w="4971" w:type="dxa"/>
            <w:shd w:val="clear" w:color="auto" w:fill="E3E4E4"/>
            <w:tcMar>
              <w:top w:w="90" w:type="dxa"/>
              <w:left w:w="90" w:type="dxa"/>
              <w:bottom w:w="90" w:type="dxa"/>
              <w:right w:w="62" w:type="dxa"/>
            </w:tcMar>
            <w:hideMark/>
          </w:tcPr>
          <w:p w14:paraId="2F28E98F" w14:textId="64B2AD16" w:rsidR="00890B60" w:rsidRDefault="00890B60" w:rsidP="00826308">
            <w:pPr>
              <w:keepNext/>
              <w:keepLines/>
              <w:spacing w:before="0" w:line="240" w:lineRule="auto"/>
              <w:rPr>
                <w:color w:val="000000"/>
              </w:rPr>
            </w:pPr>
            <w:r w:rsidRPr="00205660">
              <w:rPr>
                <w:color w:val="000000"/>
              </w:rPr>
              <w:t>$</w:t>
            </w:r>
            <w:r w:rsidR="002C2AE5" w:rsidRPr="00205660">
              <w:rPr>
                <w:color w:val="000000"/>
              </w:rPr>
              <w:t>2.</w:t>
            </w:r>
            <w:r w:rsidR="00F34271" w:rsidRPr="00205660">
              <w:rPr>
                <w:color w:val="000000"/>
              </w:rPr>
              <w:t>07</w:t>
            </w:r>
            <w:r w:rsidR="00370773" w:rsidRPr="00205660">
              <w:rPr>
                <w:color w:val="000000"/>
              </w:rPr>
              <w:t>0</w:t>
            </w:r>
            <w:r>
              <w:rPr>
                <w:color w:val="000000"/>
              </w:rPr>
              <w:t xml:space="preserve"> per kilometre at all times </w:t>
            </w:r>
          </w:p>
        </w:tc>
      </w:tr>
      <w:tr w:rsidR="00890B60" w14:paraId="5300A2A4" w14:textId="77777777" w:rsidTr="00367AF7">
        <w:tc>
          <w:tcPr>
            <w:tcW w:w="2136" w:type="dxa"/>
            <w:shd w:val="clear" w:color="auto" w:fill="F2F2F2"/>
            <w:tcMar>
              <w:top w:w="90" w:type="dxa"/>
              <w:left w:w="90" w:type="dxa"/>
              <w:bottom w:w="90" w:type="dxa"/>
              <w:right w:w="62" w:type="dxa"/>
            </w:tcMar>
            <w:hideMark/>
          </w:tcPr>
          <w:p w14:paraId="1FB16E88" w14:textId="0BEC3DBF" w:rsidR="00890B60" w:rsidRDefault="00890B60" w:rsidP="00826308">
            <w:pPr>
              <w:keepNext/>
              <w:keepLines/>
              <w:spacing w:before="0" w:line="240" w:lineRule="auto"/>
              <w:rPr>
                <w:color w:val="000000"/>
              </w:rPr>
            </w:pPr>
            <w:r>
              <w:rPr>
                <w:color w:val="000000"/>
              </w:rPr>
              <w:t xml:space="preserve">Duration </w:t>
            </w:r>
            <w:r w:rsidR="008D228B">
              <w:rPr>
                <w:color w:val="000000"/>
              </w:rPr>
              <w:t>r</w:t>
            </w:r>
            <w:r>
              <w:rPr>
                <w:color w:val="000000"/>
              </w:rPr>
              <w:t>ate</w:t>
            </w:r>
          </w:p>
        </w:tc>
        <w:tc>
          <w:tcPr>
            <w:tcW w:w="4971" w:type="dxa"/>
            <w:shd w:val="clear" w:color="auto" w:fill="F2F2F2"/>
            <w:tcMar>
              <w:top w:w="90" w:type="dxa"/>
              <w:left w:w="90" w:type="dxa"/>
              <w:bottom w:w="90" w:type="dxa"/>
              <w:right w:w="62" w:type="dxa"/>
            </w:tcMar>
            <w:hideMark/>
          </w:tcPr>
          <w:p w14:paraId="74EA13A5" w14:textId="4DC77001" w:rsidR="00890B60" w:rsidRDefault="00890B60" w:rsidP="00826308">
            <w:pPr>
              <w:keepNext/>
              <w:keepLines/>
              <w:spacing w:before="0" w:line="240" w:lineRule="auto"/>
              <w:rPr>
                <w:color w:val="000000"/>
              </w:rPr>
            </w:pPr>
            <w:r w:rsidRPr="00205660">
              <w:rPr>
                <w:color w:val="000000"/>
              </w:rPr>
              <w:t>$0.</w:t>
            </w:r>
            <w:r w:rsidR="00F34271" w:rsidRPr="00205660">
              <w:rPr>
                <w:color w:val="000000"/>
              </w:rPr>
              <w:t>513</w:t>
            </w:r>
            <w:r>
              <w:rPr>
                <w:color w:val="000000"/>
              </w:rPr>
              <w:t xml:space="preserve"> per minute at all times </w:t>
            </w:r>
          </w:p>
        </w:tc>
      </w:tr>
    </w:tbl>
    <w:p w14:paraId="0969899D" w14:textId="77777777" w:rsidR="00890B60" w:rsidRDefault="00890B60" w:rsidP="00826308">
      <w:pPr>
        <w:numPr>
          <w:ilvl w:val="1"/>
          <w:numId w:val="16"/>
        </w:numPr>
        <w:tabs>
          <w:tab w:val="left" w:pos="1440"/>
        </w:tabs>
        <w:spacing w:before="240"/>
        <w:ind w:left="1440" w:hanging="720"/>
      </w:pPr>
      <w:r>
        <w:t xml:space="preserve">Fare calculation devices must be programmed to automatically select the correct tariff for the relevant time and date. Manual selection of tariffs is not permitted. </w:t>
      </w:r>
    </w:p>
    <w:p w14:paraId="30D0F745" w14:textId="77777777" w:rsidR="00890B60" w:rsidRPr="00A05AA8" w:rsidRDefault="00890B60" w:rsidP="00B96031">
      <w:pPr>
        <w:keepNext/>
        <w:numPr>
          <w:ilvl w:val="0"/>
          <w:numId w:val="17"/>
        </w:numPr>
        <w:pBdr>
          <w:left w:val="none" w:sz="0" w:space="21" w:color="auto"/>
        </w:pBdr>
        <w:spacing w:before="240" w:after="0"/>
        <w:ind w:hanging="720"/>
        <w:rPr>
          <w:b/>
          <w:bCs/>
        </w:rPr>
      </w:pPr>
      <w:r w:rsidRPr="00A05AA8">
        <w:rPr>
          <w:b/>
          <w:bCs/>
        </w:rPr>
        <w:lastRenderedPageBreak/>
        <w:t>CPV Service Levy Recovery Fee</w:t>
      </w:r>
      <w:r w:rsidRPr="00A05AA8">
        <w:rPr>
          <w:rFonts w:ascii="Arial" w:eastAsia="Arial" w:hAnsi="Arial" w:cs="Arial"/>
          <w:sz w:val="18"/>
          <w:szCs w:val="18"/>
          <w:vertAlign w:val="superscript"/>
        </w:rPr>
        <w:footnoteReference w:id="8"/>
      </w:r>
      <w:r w:rsidRPr="00A05AA8">
        <w:rPr>
          <w:b/>
          <w:bCs/>
        </w:rPr>
        <w:t xml:space="preserve"> </w:t>
      </w:r>
    </w:p>
    <w:p w14:paraId="5BAAE47C" w14:textId="086C24F4" w:rsidR="00890B60" w:rsidRPr="00A05AA8" w:rsidRDefault="00890B60" w:rsidP="00D7353E">
      <w:pPr>
        <w:numPr>
          <w:ilvl w:val="1"/>
          <w:numId w:val="17"/>
        </w:numPr>
        <w:spacing w:before="240" w:after="0"/>
        <w:ind w:hanging="720"/>
      </w:pPr>
      <w:r w:rsidRPr="00A05AA8">
        <w:t>The driver of an unbooked commercial passenger vehicle may charge the hirer a CPV Service Levy Recovery Fee of up to the maximum charge</w:t>
      </w:r>
      <w:r w:rsidR="004A7283">
        <w:t>.</w:t>
      </w:r>
      <w:r w:rsidR="001D4D61">
        <w:rPr>
          <w:rStyle w:val="FootnoteReference"/>
        </w:rPr>
        <w:footnoteReference w:id="9"/>
      </w:r>
    </w:p>
    <w:p w14:paraId="460C61C2" w14:textId="646B98BF" w:rsidR="00890B60" w:rsidRPr="00A05AA8" w:rsidRDefault="00890B60" w:rsidP="00D7353E">
      <w:pPr>
        <w:numPr>
          <w:ilvl w:val="1"/>
          <w:numId w:val="17"/>
        </w:numPr>
        <w:spacing w:before="240" w:after="0"/>
        <w:ind w:hanging="720"/>
      </w:pPr>
      <w:r w:rsidRPr="00A05AA8">
        <w:t xml:space="preserve">The maximum charge for a CPV Service Levy Recovery Fee is equal to the amount of the levy for a commercial passenger vehicle service transaction as provided for in the </w:t>
      </w:r>
      <w:r w:rsidRPr="00A05AA8">
        <w:rPr>
          <w:i/>
          <w:iCs/>
        </w:rPr>
        <w:t>Commercial Passenger Vehicle Industry Act 2017</w:t>
      </w:r>
      <w:r>
        <w:t xml:space="preserve"> </w:t>
      </w:r>
      <w:r w:rsidRPr="00A05AA8">
        <w:t>or regulations made thereunder,</w:t>
      </w:r>
      <w:r w:rsidRPr="00A05AA8">
        <w:rPr>
          <w:rFonts w:ascii="Arial" w:eastAsia="Arial" w:hAnsi="Arial" w:cs="Arial"/>
          <w:sz w:val="18"/>
          <w:szCs w:val="18"/>
          <w:vertAlign w:val="superscript"/>
        </w:rPr>
        <w:footnoteReference w:id="10"/>
      </w:r>
      <w:r w:rsidRPr="00A05AA8">
        <w:t xml:space="preserve"> plus 10 per cent GST.</w:t>
      </w:r>
    </w:p>
    <w:p w14:paraId="640F1ADA" w14:textId="77777777" w:rsidR="00890B60" w:rsidRPr="00A05AA8" w:rsidRDefault="00890B60" w:rsidP="00D7353E">
      <w:pPr>
        <w:numPr>
          <w:ilvl w:val="1"/>
          <w:numId w:val="17"/>
        </w:numPr>
        <w:spacing w:before="240" w:after="0"/>
        <w:ind w:hanging="720"/>
      </w:pPr>
      <w:r w:rsidRPr="00A05AA8">
        <w:t xml:space="preserve">If applied, the CPV Service Levy Recovery Fee is to be itemised as a charge on the receipt provided to the hirer. </w:t>
      </w:r>
    </w:p>
    <w:p w14:paraId="3286130F"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t>High Occupancy Fee</w:t>
      </w:r>
    </w:p>
    <w:p w14:paraId="5C95F592" w14:textId="77777777" w:rsidR="00890B60" w:rsidRPr="00A05AA8" w:rsidRDefault="00890B60" w:rsidP="00D7353E">
      <w:pPr>
        <w:numPr>
          <w:ilvl w:val="1"/>
          <w:numId w:val="17"/>
        </w:numPr>
        <w:spacing w:before="240" w:after="0"/>
        <w:ind w:hanging="720"/>
      </w:pPr>
      <w:r w:rsidRPr="00A05AA8">
        <w:t>A high occupancy fee must not be charged if the unbooked commercial passenger vehicle does not have the capacity for the carriage of five or more passengers in fixed seats. ‘Fixed seats’ does not include positions for the carriage of persons in wheelchairs.</w:t>
      </w:r>
    </w:p>
    <w:p w14:paraId="60B4057C" w14:textId="442E865A" w:rsidR="00962470" w:rsidRDefault="00962470" w:rsidP="00962470">
      <w:pPr>
        <w:numPr>
          <w:ilvl w:val="1"/>
          <w:numId w:val="17"/>
        </w:numPr>
        <w:spacing w:before="240" w:after="0"/>
        <w:ind w:hanging="720"/>
      </w:pPr>
      <w:r>
        <w:t xml:space="preserve">A high occupancy fee of up to </w:t>
      </w:r>
      <w:r w:rsidRPr="00715470">
        <w:t>$17.</w:t>
      </w:r>
      <w:r w:rsidR="00F34271" w:rsidRPr="00715470">
        <w:t>80</w:t>
      </w:r>
      <w:r>
        <w:t xml:space="preserve"> may be charged when:</w:t>
      </w:r>
    </w:p>
    <w:p w14:paraId="75434C2C" w14:textId="77777777" w:rsidR="00962470" w:rsidRPr="000C5B99" w:rsidRDefault="00962470" w:rsidP="00962470">
      <w:pPr>
        <w:numPr>
          <w:ilvl w:val="2"/>
          <w:numId w:val="32"/>
        </w:numPr>
        <w:spacing w:before="240" w:after="0"/>
      </w:pPr>
      <w:r w:rsidRPr="000C5B99">
        <w:t>the vehicle has been hired for the carriage of five or more passengers, or</w:t>
      </w:r>
    </w:p>
    <w:p w14:paraId="31CE23EE" w14:textId="77777777" w:rsidR="00962470" w:rsidRPr="000C5B99" w:rsidRDefault="00962470" w:rsidP="00962470">
      <w:pPr>
        <w:numPr>
          <w:ilvl w:val="2"/>
          <w:numId w:val="32"/>
        </w:numPr>
        <w:spacing w:before="240" w:after="0"/>
        <w:ind w:left="2160" w:hanging="720"/>
      </w:pPr>
      <w:r w:rsidRPr="000C5B99">
        <w:t>a vehicle larger than a standard taxi is required, regardless of the number of passengers to be carried except where the vehicle has been hired for the carriage of a person(s) who uses a wheelchair or other mobility aid.</w:t>
      </w:r>
    </w:p>
    <w:p w14:paraId="55B2429C" w14:textId="6FD60581" w:rsidR="00890B60" w:rsidRDefault="00890B60" w:rsidP="00D7353E">
      <w:pPr>
        <w:numPr>
          <w:ilvl w:val="1"/>
          <w:numId w:val="17"/>
        </w:numPr>
        <w:spacing w:before="240" w:after="0"/>
        <w:ind w:hanging="720"/>
      </w:pPr>
      <w:r w:rsidRPr="00A05AA8">
        <w:t>For the purposes of clause 6.2</w:t>
      </w:r>
      <w:r w:rsidR="002617C1">
        <w:t>.1</w:t>
      </w:r>
      <w:r w:rsidRPr="00A05AA8">
        <w:t xml:space="preserve"> above, children under the age of five years are not to be calculated as a passenger.</w:t>
      </w:r>
    </w:p>
    <w:p w14:paraId="3EEDB75A" w14:textId="169F4142" w:rsidR="00962470" w:rsidRPr="00A05AA8" w:rsidRDefault="00886582" w:rsidP="00D7353E">
      <w:pPr>
        <w:numPr>
          <w:ilvl w:val="1"/>
          <w:numId w:val="17"/>
        </w:numPr>
        <w:spacing w:before="240" w:after="0"/>
        <w:ind w:hanging="720"/>
      </w:pPr>
      <w:r>
        <w:t>For the purposes of clause 6.2.2, a standard taxi means a taxi with seating for up to four passengers and includes station wagon type vehicles</w:t>
      </w:r>
      <w:r w:rsidR="00250CB4">
        <w:t>.</w:t>
      </w:r>
    </w:p>
    <w:p w14:paraId="32B24033" w14:textId="77777777" w:rsidR="00890B60" w:rsidRPr="00A05AA8" w:rsidRDefault="00890B60" w:rsidP="00D7353E">
      <w:pPr>
        <w:keepNext/>
        <w:numPr>
          <w:ilvl w:val="0"/>
          <w:numId w:val="17"/>
        </w:numPr>
        <w:pBdr>
          <w:left w:val="none" w:sz="0" w:space="21" w:color="auto"/>
        </w:pBdr>
        <w:spacing w:before="240" w:after="0"/>
        <w:ind w:hanging="720"/>
        <w:rPr>
          <w:b/>
          <w:bCs/>
        </w:rPr>
      </w:pPr>
      <w:r w:rsidRPr="00A05AA8">
        <w:rPr>
          <w:b/>
          <w:bCs/>
        </w:rPr>
        <w:lastRenderedPageBreak/>
        <w:t>CityLink and EastLink Tolls</w:t>
      </w:r>
    </w:p>
    <w:p w14:paraId="7B55C315" w14:textId="1291C163" w:rsidR="00890B60" w:rsidRPr="00A05AA8" w:rsidRDefault="00890B60" w:rsidP="00D7353E">
      <w:pPr>
        <w:numPr>
          <w:ilvl w:val="1"/>
          <w:numId w:val="17"/>
        </w:numPr>
        <w:spacing w:before="240" w:after="0"/>
        <w:ind w:hanging="720"/>
      </w:pPr>
      <w:r w:rsidRPr="00A05AA8">
        <w:t xml:space="preserve">The driver of an unbooked commercial passenger vehicle carrying a passenger or parcel on a toll road (CityLink or EastLink), providing an applicable unbooked service, is authorised to charge the hirer an amount up to the appropriate toll payable by the driver for using the section(s) of that toll road to provide the applicable unbooked service (as published from time to time in the Victorian Government Gazette in accordance with the </w:t>
      </w:r>
      <w:r w:rsidRPr="00A05AA8">
        <w:rPr>
          <w:i/>
          <w:iCs/>
        </w:rPr>
        <w:t>Melbourne City Link Act 1995</w:t>
      </w:r>
      <w:r>
        <w:t xml:space="preserve"> </w:t>
      </w:r>
      <w:r w:rsidRPr="00A05AA8">
        <w:t xml:space="preserve">or the </w:t>
      </w:r>
      <w:r w:rsidRPr="00A05AA8">
        <w:rPr>
          <w:i/>
          <w:iCs/>
        </w:rPr>
        <w:t>EastLink Project Act 2004</w:t>
      </w:r>
      <w:r>
        <w:t xml:space="preserve"> </w:t>
      </w:r>
      <w:r w:rsidRPr="00A05AA8">
        <w:t>as applicable).</w:t>
      </w:r>
    </w:p>
    <w:p w14:paraId="242A05AD" w14:textId="64A94941" w:rsidR="00890B60" w:rsidRPr="00A05AA8" w:rsidRDefault="00890B60" w:rsidP="00D7353E">
      <w:pPr>
        <w:numPr>
          <w:ilvl w:val="1"/>
          <w:numId w:val="17"/>
        </w:numPr>
        <w:spacing w:before="240" w:after="0"/>
        <w:ind w:hanging="720"/>
      </w:pPr>
      <w:r w:rsidRPr="00A05AA8">
        <w:t>Hirers must be given the choice of using or not using a toll road if a toll road is one of the route options available for that trip.</w:t>
      </w:r>
    </w:p>
    <w:p w14:paraId="7B2879DD"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t xml:space="preserve">Airport Taxi Rank Fee </w:t>
      </w:r>
    </w:p>
    <w:p w14:paraId="5AD80014" w14:textId="620A5C75" w:rsidR="00890B60" w:rsidRPr="00A05AA8" w:rsidRDefault="00890B60" w:rsidP="00D7353E">
      <w:pPr>
        <w:numPr>
          <w:ilvl w:val="1"/>
          <w:numId w:val="17"/>
        </w:numPr>
        <w:spacing w:before="240" w:after="0"/>
        <w:ind w:hanging="720"/>
      </w:pPr>
      <w:r w:rsidRPr="00A05AA8">
        <w:rPr>
          <w:b/>
          <w:bCs/>
        </w:rPr>
        <w:t xml:space="preserve">Melbourne Airport </w:t>
      </w:r>
      <w:r>
        <w:rPr>
          <w:b/>
          <w:bCs/>
        </w:rPr>
        <w:t>t</w:t>
      </w:r>
      <w:r w:rsidRPr="00A05AA8">
        <w:rPr>
          <w:b/>
          <w:bCs/>
        </w:rPr>
        <w:t xml:space="preserve">axi </w:t>
      </w:r>
      <w:r>
        <w:rPr>
          <w:b/>
          <w:bCs/>
        </w:rPr>
        <w:t>r</w:t>
      </w:r>
      <w:r w:rsidRPr="00A05AA8">
        <w:rPr>
          <w:b/>
          <w:bCs/>
        </w:rPr>
        <w:t xml:space="preserve">ank </w:t>
      </w:r>
      <w:r>
        <w:rPr>
          <w:b/>
          <w:bCs/>
        </w:rPr>
        <w:t>f</w:t>
      </w:r>
      <w:r w:rsidRPr="00A05AA8">
        <w:rPr>
          <w:b/>
          <w:bCs/>
        </w:rPr>
        <w:t>ee</w:t>
      </w:r>
      <w:r w:rsidRPr="00A05AA8">
        <w:t>. The driver of an unbooked commercial passenger vehicle who accepts a hiring from the Melbourne Airport taxi rank, after that driver has paid for the use of the Melbourne Airport taxi rank queuing facilities and/or waiting bays, is authorised to charge the hirer an Airport Taxi Rank Fee of an amount up to the Melbourne Airport Access Fee payable by the driver for using that taxi rank as published from time to time by Melbourne Airport in a daily newspaper generally circulating in Victoria and on Melbourne Airport’s website.</w:t>
      </w:r>
    </w:p>
    <w:p w14:paraId="2B87F594" w14:textId="4289F11C" w:rsidR="00890B60" w:rsidRPr="00A05AA8" w:rsidRDefault="00890B60" w:rsidP="00D7353E">
      <w:pPr>
        <w:numPr>
          <w:ilvl w:val="1"/>
          <w:numId w:val="17"/>
        </w:numPr>
        <w:spacing w:before="240" w:after="0"/>
        <w:ind w:hanging="720"/>
      </w:pPr>
      <w:r w:rsidRPr="00A05AA8">
        <w:rPr>
          <w:b/>
          <w:bCs/>
        </w:rPr>
        <w:t>Avalon Airport taxi rank fee</w:t>
      </w:r>
      <w:r w:rsidRPr="00A05AA8">
        <w:t xml:space="preserve">. The driver of an unbooked commercial passenger vehicle who accepts a hiring from the Avalon Airport taxi rank, after that driver has paid for the use of the Avalon Airport taxi rank queuing facilities and/or waiting bays, is authorised to charge the hirer an Airport Taxi Rank Fee of an amount up to the Avalon Airport Taxi Rank Fee payable by the driver for using that taxi rank as published from time to time by Avalon Airport in a daily newspaper generally circulating in Victoria and on Avalon Airport’s website. </w:t>
      </w:r>
    </w:p>
    <w:p w14:paraId="19E50157" w14:textId="77777777" w:rsidR="00890B60" w:rsidRPr="00A05AA8" w:rsidRDefault="00890B60" w:rsidP="00D7353E">
      <w:pPr>
        <w:numPr>
          <w:ilvl w:val="0"/>
          <w:numId w:val="17"/>
        </w:numPr>
        <w:pBdr>
          <w:left w:val="none" w:sz="0" w:space="21" w:color="auto"/>
        </w:pBdr>
        <w:spacing w:before="240" w:after="0"/>
        <w:ind w:hanging="720"/>
        <w:rPr>
          <w:b/>
          <w:bCs/>
        </w:rPr>
      </w:pPr>
      <w:r w:rsidRPr="00A05AA8">
        <w:rPr>
          <w:b/>
          <w:bCs/>
        </w:rPr>
        <w:t>Cleaning fee</w:t>
      </w:r>
    </w:p>
    <w:p w14:paraId="01712087" w14:textId="77777777" w:rsidR="00890B60" w:rsidRPr="00A05AA8" w:rsidRDefault="00890B60" w:rsidP="00D7353E">
      <w:pPr>
        <w:numPr>
          <w:ilvl w:val="1"/>
          <w:numId w:val="17"/>
        </w:numPr>
        <w:spacing w:before="240" w:after="0"/>
        <w:ind w:hanging="720"/>
      </w:pPr>
      <w:r w:rsidRPr="00A05AA8">
        <w:t xml:space="preserve">The driver of an unbooked commercial passenger vehicle may charge a reasonable cleaning fee of up to a maximum of </w:t>
      </w:r>
      <w:r w:rsidRPr="001E175D">
        <w:t>$120</w:t>
      </w:r>
      <w:r w:rsidRPr="00A05AA8">
        <w:t xml:space="preserve"> if a passenger soils the vehicle with food, drink or bodily fluids.</w:t>
      </w:r>
    </w:p>
    <w:p w14:paraId="6BF99E2D" w14:textId="77777777" w:rsidR="00890B60" w:rsidRPr="00A05AA8" w:rsidRDefault="00890B60" w:rsidP="00D7353E">
      <w:pPr>
        <w:numPr>
          <w:ilvl w:val="1"/>
          <w:numId w:val="17"/>
        </w:numPr>
        <w:spacing w:before="240" w:after="0"/>
        <w:ind w:hanging="720"/>
      </w:pPr>
      <w:r w:rsidRPr="00A05AA8">
        <w:t>If applied, the cleaning fee should be itemised as a charge on the receipt provided to the hirer.</w:t>
      </w:r>
    </w:p>
    <w:p w14:paraId="62361AF5" w14:textId="7CB4A743" w:rsidR="00890B60" w:rsidRPr="00A05AA8" w:rsidRDefault="00890B60" w:rsidP="00B96031">
      <w:pPr>
        <w:keepNext/>
        <w:keepLines/>
        <w:numPr>
          <w:ilvl w:val="0"/>
          <w:numId w:val="17"/>
        </w:numPr>
        <w:pBdr>
          <w:left w:val="none" w:sz="0" w:space="15" w:color="auto"/>
        </w:pBdr>
        <w:spacing w:before="240" w:after="0"/>
        <w:ind w:hanging="720"/>
        <w:rPr>
          <w:b/>
          <w:bCs/>
        </w:rPr>
      </w:pPr>
      <w:r w:rsidRPr="00A05AA8">
        <w:rPr>
          <w:b/>
          <w:bCs/>
        </w:rPr>
        <w:lastRenderedPageBreak/>
        <w:t xml:space="preserve">Further </w:t>
      </w:r>
      <w:r w:rsidR="00A23D04">
        <w:rPr>
          <w:b/>
          <w:bCs/>
        </w:rPr>
        <w:t>c</w:t>
      </w:r>
      <w:r w:rsidRPr="00A05AA8">
        <w:rPr>
          <w:b/>
          <w:bCs/>
        </w:rPr>
        <w:t>onditions</w:t>
      </w:r>
    </w:p>
    <w:p w14:paraId="50B52310" w14:textId="6FB3D889" w:rsidR="00890B60" w:rsidRDefault="00890B60" w:rsidP="007E6A2C">
      <w:pPr>
        <w:keepLines/>
        <w:numPr>
          <w:ilvl w:val="1"/>
          <w:numId w:val="17"/>
        </w:numPr>
        <w:spacing w:before="240" w:after="0"/>
        <w:ind w:hanging="720"/>
      </w:pPr>
      <w:r w:rsidRPr="00A05AA8">
        <w:t>Fees or charges which are not permitted include:</w:t>
      </w:r>
    </w:p>
    <w:p w14:paraId="500EF288" w14:textId="0974F256" w:rsidR="00890B60" w:rsidRPr="00803C84" w:rsidRDefault="00890B60" w:rsidP="007E6A2C">
      <w:pPr>
        <w:pStyle w:val="ListParagraph"/>
        <w:keepLines/>
        <w:numPr>
          <w:ilvl w:val="2"/>
          <w:numId w:val="29"/>
        </w:numPr>
        <w:spacing w:after="240"/>
        <w:ind w:left="2342" w:hanging="924"/>
      </w:pPr>
      <w:r w:rsidRPr="00803C84">
        <w:t>any additional charge for the carriage of goods or luggage accompanied by a passenger</w:t>
      </w:r>
      <w:r w:rsidR="009212B0">
        <w:t xml:space="preserve"> except where clause 6.2.2 applies</w:t>
      </w:r>
      <w:r w:rsidRPr="00803C84">
        <w:t>; and</w:t>
      </w:r>
    </w:p>
    <w:p w14:paraId="687B1D73" w14:textId="77777777" w:rsidR="00890B60" w:rsidRDefault="00890B60" w:rsidP="007E6A2C">
      <w:pPr>
        <w:pStyle w:val="ListParagraph"/>
        <w:keepLines/>
        <w:numPr>
          <w:ilvl w:val="2"/>
          <w:numId w:val="29"/>
        </w:numPr>
        <w:spacing w:before="240"/>
        <w:ind w:left="2342" w:hanging="924"/>
      </w:pPr>
      <w:r w:rsidRPr="00803C84">
        <w:t xml:space="preserve">any charge that would result in a person with a disability paying more than an able-bodied person would for the same service. </w:t>
      </w:r>
    </w:p>
    <w:p w14:paraId="5625C102" w14:textId="77777777" w:rsidR="00890B60" w:rsidRDefault="00890B60" w:rsidP="00890B60">
      <w:pPr>
        <w:pStyle w:val="Heading1"/>
        <w:rPr>
          <w:rFonts w:eastAsia="Tahoma" w:cs="Tahoma"/>
          <w:color w:val="D50032"/>
          <w:szCs w:val="40"/>
        </w:rPr>
        <w:sectPr w:rsidR="00890B60" w:rsidSect="00890B60">
          <w:footerReference w:type="default" r:id="rId35"/>
          <w:pgSz w:w="11906" w:h="16838" w:code="9"/>
          <w:pgMar w:top="1134" w:right="1134" w:bottom="1134" w:left="1134" w:header="709" w:footer="692" w:gutter="0"/>
          <w:cols w:space="708"/>
          <w:docGrid w:linePitch="360"/>
        </w:sectPr>
      </w:pPr>
      <w:bookmarkStart w:id="25" w:name="_Toc109042433"/>
    </w:p>
    <w:p w14:paraId="016A49B7" w14:textId="047B7664" w:rsidR="00890B60" w:rsidRDefault="00890B60" w:rsidP="00890B60">
      <w:pPr>
        <w:pStyle w:val="Heading1"/>
        <w:rPr>
          <w:szCs w:val="40"/>
        </w:rPr>
      </w:pPr>
      <w:bookmarkStart w:id="26" w:name="_Toc113273978"/>
      <w:bookmarkStart w:id="27" w:name="_Toc203998989"/>
      <w:r>
        <w:rPr>
          <w:rFonts w:eastAsia="Tahoma" w:cs="Tahoma"/>
          <w:color w:val="D50032"/>
          <w:szCs w:val="40"/>
        </w:rPr>
        <w:lastRenderedPageBreak/>
        <w:t>Schedule 2</w:t>
      </w:r>
      <w:r w:rsidR="006F4C38">
        <w:t>: Maximum fares in Large Regional areas</w:t>
      </w:r>
      <w:bookmarkEnd w:id="25"/>
      <w:bookmarkEnd w:id="26"/>
      <w:bookmarkEnd w:id="27"/>
    </w:p>
    <w:p w14:paraId="52CAC45D" w14:textId="73AAFA01" w:rsidR="006F4C38" w:rsidRDefault="00F176F9" w:rsidP="00890B60">
      <w:bookmarkStart w:id="28" w:name="_Toc203998990"/>
      <w:r w:rsidRPr="00956B01">
        <w:rPr>
          <w:rStyle w:val="Heading2Char"/>
        </w:rPr>
        <w:t>Maximum charges to apply from 23 September</w:t>
      </w:r>
      <w:bookmarkEnd w:id="28"/>
      <w:r w:rsidR="00AF3C63">
        <w:rPr>
          <w:rStyle w:val="Heading2Char"/>
        </w:rPr>
        <w:t xml:space="preserve"> 2025</w:t>
      </w:r>
    </w:p>
    <w:p w14:paraId="659A98BE" w14:textId="79B042E8" w:rsidR="00890B60" w:rsidRPr="00A05AA8" w:rsidRDefault="00046E54" w:rsidP="00890B60">
      <w:r>
        <w:t>The maximum charges</w:t>
      </w:r>
      <w:r w:rsidR="0040072A">
        <w:t xml:space="preserve"> in this Schedule</w:t>
      </w:r>
      <w:r>
        <w:t xml:space="preserve"> were originally determined by the commission in the Essential Services Commission 202</w:t>
      </w:r>
      <w:r w:rsidR="0071690C">
        <w:t>4</w:t>
      </w:r>
      <w:r>
        <w:t xml:space="preserve">, </w:t>
      </w:r>
      <w:r w:rsidRPr="00F61210">
        <w:rPr>
          <w:i/>
          <w:iCs/>
        </w:rPr>
        <w:t xml:space="preserve">Determination of Maximum Charges for Unbooked Commercial Passenger Vehicle Services (from </w:t>
      </w:r>
      <w:r w:rsidR="0071690C" w:rsidRPr="00F61210">
        <w:rPr>
          <w:i/>
          <w:iCs/>
        </w:rPr>
        <w:t>23</w:t>
      </w:r>
      <w:r w:rsidRPr="00F61210">
        <w:rPr>
          <w:i/>
          <w:iCs/>
        </w:rPr>
        <w:t xml:space="preserve"> September 202</w:t>
      </w:r>
      <w:r w:rsidR="0071690C" w:rsidRPr="00F61210">
        <w:rPr>
          <w:i/>
          <w:iCs/>
        </w:rPr>
        <w:t>4</w:t>
      </w:r>
      <w:r w:rsidRPr="00F61210">
        <w:rPr>
          <w:i/>
          <w:iCs/>
        </w:rPr>
        <w:t>)</w:t>
      </w:r>
      <w:r w:rsidR="009B4048">
        <w:t xml:space="preserve">. These charges </w:t>
      </w:r>
      <w:r>
        <w:t>have been adjusted in accordance with the annual maximum charges adjustment mechanism provided in th</w:t>
      </w:r>
      <w:r w:rsidR="00394116">
        <w:t>e</w:t>
      </w:r>
      <w:r>
        <w:t xml:space="preserve"> determination. </w:t>
      </w:r>
      <w:r w:rsidR="00890B60" w:rsidRPr="00A05AA8">
        <w:t xml:space="preserve">The maximum charges in this Schedule apply </w:t>
      </w:r>
      <w:r w:rsidR="00890B60" w:rsidRPr="00490F68">
        <w:t xml:space="preserve">from </w:t>
      </w:r>
      <w:r w:rsidR="0071690C" w:rsidRPr="00490F68">
        <w:t>23</w:t>
      </w:r>
      <w:r w:rsidR="00890B60" w:rsidRPr="00490F68">
        <w:t> </w:t>
      </w:r>
      <w:r w:rsidR="0071690C" w:rsidRPr="00490F68">
        <w:t>Septem</w:t>
      </w:r>
      <w:r w:rsidR="000C2F71" w:rsidRPr="00490F68">
        <w:t xml:space="preserve">ber </w:t>
      </w:r>
      <w:r w:rsidR="00890B60" w:rsidRPr="00490F68">
        <w:t>202</w:t>
      </w:r>
      <w:r w:rsidR="0071690C" w:rsidRPr="00490F68">
        <w:t>5</w:t>
      </w:r>
      <w:r w:rsidR="00890B60" w:rsidRPr="00490F68">
        <w:t xml:space="preserve"> for applicable unbooked services supplied by or within the commercial passenger</w:t>
      </w:r>
      <w:r w:rsidR="00890B60" w:rsidRPr="00A05AA8">
        <w:t xml:space="preserve"> vehicle industry that begin in the Large Regional areas of the Urban and Large Regional </w:t>
      </w:r>
      <w:r w:rsidR="00890B60">
        <w:t>Z</w:t>
      </w:r>
      <w:r w:rsidR="00890B60" w:rsidRPr="00A05AA8">
        <w:t xml:space="preserve">one. For the purposes of this </w:t>
      </w:r>
      <w:r w:rsidR="0060282C">
        <w:t>S</w:t>
      </w:r>
      <w:r w:rsidR="00890B60" w:rsidRPr="00A05AA8">
        <w:t xml:space="preserve">chedule, the Large Regional areas are all areas of the Urban and Large Regional </w:t>
      </w:r>
      <w:r w:rsidR="00890B60">
        <w:t>Z</w:t>
      </w:r>
      <w:r w:rsidR="00890B60" w:rsidRPr="00A05AA8">
        <w:t>one, except the east urban area, including Geelong, Ballarat and Bendigo SA3s as defined in the Australian Statistical Geography Standard 2011. All charges are GST inclusive.</w:t>
      </w:r>
    </w:p>
    <w:p w14:paraId="36DB064F" w14:textId="071226FE" w:rsidR="00FB349C" w:rsidRPr="009420A6" w:rsidRDefault="00890B60" w:rsidP="009420A6">
      <w:pPr>
        <w:numPr>
          <w:ilvl w:val="0"/>
          <w:numId w:val="18"/>
        </w:numPr>
        <w:pBdr>
          <w:left w:val="none" w:sz="0" w:space="21" w:color="auto"/>
        </w:pBdr>
        <w:spacing w:before="240" w:after="0"/>
        <w:ind w:hanging="720"/>
        <w:rPr>
          <w:b/>
          <w:bCs/>
        </w:rPr>
      </w:pPr>
      <w:r w:rsidRPr="00A05AA8">
        <w:rPr>
          <w:b/>
          <w:bCs/>
        </w:rPr>
        <w:t>Definitions</w:t>
      </w:r>
    </w:p>
    <w:p w14:paraId="6CFE9185" w14:textId="77777777" w:rsidR="00890B60" w:rsidRDefault="00890B60" w:rsidP="00F47900">
      <w:pPr>
        <w:numPr>
          <w:ilvl w:val="0"/>
          <w:numId w:val="19"/>
        </w:numPr>
        <w:spacing w:before="240" w:after="0"/>
        <w:ind w:left="1440" w:hanging="720"/>
      </w:pPr>
      <w:r w:rsidRPr="00A05AA8">
        <w:t>The term ‘hirer’ includes an agent or agency representing the passenger/s or hirer/s.</w:t>
      </w:r>
    </w:p>
    <w:p w14:paraId="4B61C245" w14:textId="77777777" w:rsidR="006F793B" w:rsidRPr="00A05AA8" w:rsidRDefault="006F793B" w:rsidP="006F793B">
      <w:pPr>
        <w:numPr>
          <w:ilvl w:val="0"/>
          <w:numId w:val="19"/>
        </w:numPr>
        <w:spacing w:before="240" w:after="0"/>
        <w:ind w:left="1440" w:hanging="720"/>
      </w:pPr>
      <w:r>
        <w:t>The ‘Large Regional areas’ are all areas of the Urban and Large Regional Zone, except the Urban area, including Geelong, Ballarat and Bendigo SA3s as defined in the Australian Statistical Geography Standard 2011.</w:t>
      </w:r>
    </w:p>
    <w:p w14:paraId="7D21979E" w14:textId="77777777" w:rsidR="00890B60" w:rsidRPr="00A05AA8" w:rsidRDefault="00890B60" w:rsidP="00D7353E">
      <w:pPr>
        <w:numPr>
          <w:ilvl w:val="0"/>
          <w:numId w:val="20"/>
        </w:numPr>
        <w:pBdr>
          <w:left w:val="none" w:sz="0" w:space="21" w:color="auto"/>
        </w:pBdr>
        <w:spacing w:before="240" w:after="0"/>
        <w:ind w:hanging="720"/>
        <w:rPr>
          <w:b/>
          <w:bCs/>
        </w:rPr>
      </w:pPr>
      <w:r w:rsidRPr="00A05AA8">
        <w:rPr>
          <w:b/>
          <w:bCs/>
        </w:rPr>
        <w:t xml:space="preserve">Maximum hiring rates on fare calculation device  </w:t>
      </w:r>
    </w:p>
    <w:p w14:paraId="0CC295CB" w14:textId="77777777" w:rsidR="00890B60" w:rsidRPr="00A05AA8" w:rsidRDefault="00890B60" w:rsidP="00D7353E">
      <w:pPr>
        <w:numPr>
          <w:ilvl w:val="1"/>
          <w:numId w:val="20"/>
        </w:numPr>
        <w:spacing w:before="240" w:after="0"/>
        <w:ind w:hanging="720"/>
      </w:pPr>
      <w:r w:rsidRPr="00A05AA8">
        <w:t xml:space="preserve">The maximum hiring rates may be based on either ‘time </w:t>
      </w:r>
      <w:r w:rsidRPr="00A05AA8">
        <w:rPr>
          <w:b/>
          <w:bCs/>
        </w:rPr>
        <w:t>or</w:t>
      </w:r>
      <w:r w:rsidRPr="00A05AA8">
        <w:t xml:space="preserve"> distance’ tariffs (clause 3) or ‘time </w:t>
      </w:r>
      <w:r w:rsidRPr="00A05AA8">
        <w:rPr>
          <w:b/>
          <w:bCs/>
        </w:rPr>
        <w:t>and</w:t>
      </w:r>
      <w:r w:rsidRPr="00A05AA8">
        <w:t xml:space="preserve"> distance’ tariffs (clause 4).</w:t>
      </w:r>
    </w:p>
    <w:p w14:paraId="1FF936EF" w14:textId="3DE62406" w:rsidR="00890B60" w:rsidRPr="00A05AA8" w:rsidRDefault="00890B60" w:rsidP="00D7353E">
      <w:pPr>
        <w:numPr>
          <w:ilvl w:val="1"/>
          <w:numId w:val="20"/>
        </w:numPr>
        <w:spacing w:before="240" w:after="0"/>
        <w:ind w:hanging="720"/>
      </w:pPr>
      <w:r w:rsidRPr="00A05AA8">
        <w:t xml:space="preserve">For the purpose of calculating fares for applicable unbooked services, fare calculation devices should only be programmed with </w:t>
      </w:r>
      <w:r w:rsidR="007F5D0A">
        <w:t>tariffs that are consistent with either</w:t>
      </w:r>
      <w:r w:rsidRPr="00A05AA8">
        <w:t xml:space="preserve"> the tariffs in clause 3 or those in clause 4.</w:t>
      </w:r>
    </w:p>
    <w:p w14:paraId="36BD2C6B" w14:textId="77777777" w:rsidR="00890B60" w:rsidRPr="00A05AA8" w:rsidRDefault="00890B60" w:rsidP="00D7353E">
      <w:pPr>
        <w:numPr>
          <w:ilvl w:val="1"/>
          <w:numId w:val="20"/>
        </w:numPr>
        <w:spacing w:before="240" w:after="0"/>
        <w:ind w:hanging="720"/>
      </w:pPr>
      <w:r w:rsidRPr="00A05AA8">
        <w:t xml:space="preserve">The fare sticker in the vehicle must clearly indicate whether the ‘time </w:t>
      </w:r>
      <w:r w:rsidRPr="00A05AA8">
        <w:rPr>
          <w:b/>
          <w:bCs/>
        </w:rPr>
        <w:t xml:space="preserve">or </w:t>
      </w:r>
      <w:r w:rsidRPr="00A05AA8">
        <w:t xml:space="preserve">distance’ tariff structure (clause 3) or ‘time </w:t>
      </w:r>
      <w:r w:rsidRPr="00A05AA8">
        <w:rPr>
          <w:b/>
          <w:bCs/>
        </w:rPr>
        <w:t>and</w:t>
      </w:r>
      <w:r w:rsidRPr="00A05AA8">
        <w:t xml:space="preserve"> distance’ tariff structure (clause 4) applies.</w:t>
      </w:r>
    </w:p>
    <w:p w14:paraId="125DC430" w14:textId="77777777" w:rsidR="00890B60" w:rsidRPr="00A05AA8" w:rsidRDefault="00890B60" w:rsidP="001F626A">
      <w:pPr>
        <w:keepNext/>
        <w:numPr>
          <w:ilvl w:val="0"/>
          <w:numId w:val="20"/>
        </w:numPr>
        <w:pBdr>
          <w:left w:val="none" w:sz="0" w:space="21" w:color="auto"/>
        </w:pBdr>
        <w:spacing w:before="240" w:after="0"/>
        <w:ind w:hanging="720"/>
        <w:rPr>
          <w:b/>
          <w:bCs/>
        </w:rPr>
      </w:pPr>
      <w:r w:rsidRPr="00A05AA8">
        <w:rPr>
          <w:b/>
          <w:bCs/>
        </w:rPr>
        <w:t>Maximum hiring rates – ‘time or distance’ tariff structure</w:t>
      </w:r>
    </w:p>
    <w:p w14:paraId="323C2B92" w14:textId="77777777" w:rsidR="00890B60" w:rsidRPr="00A05AA8" w:rsidRDefault="00890B60" w:rsidP="00D7353E">
      <w:pPr>
        <w:numPr>
          <w:ilvl w:val="1"/>
          <w:numId w:val="20"/>
        </w:numPr>
        <w:spacing w:before="240" w:after="0"/>
        <w:ind w:hanging="720"/>
      </w:pPr>
      <w:r w:rsidRPr="00A05AA8">
        <w:t xml:space="preserve">If using ‘time </w:t>
      </w:r>
      <w:r w:rsidRPr="00A05AA8">
        <w:rPr>
          <w:b/>
          <w:bCs/>
        </w:rPr>
        <w:t>or</w:t>
      </w:r>
      <w:r w:rsidRPr="00A05AA8">
        <w:t xml:space="preserve"> distance’ tariffs, the hiring rates that must be computed and displayed by the fare calculation device used for applicable unbooked services can be to a maximum of the following charges:</w:t>
      </w:r>
    </w:p>
    <w:p w14:paraId="107BDD61" w14:textId="77777777" w:rsidR="00890B60" w:rsidRPr="00A05AA8" w:rsidRDefault="00890B60" w:rsidP="009948EC">
      <w:pPr>
        <w:pStyle w:val="Heading3"/>
        <w:ind w:firstLine="720"/>
      </w:pPr>
      <w:r w:rsidRPr="00A05AA8">
        <w:lastRenderedPageBreak/>
        <w:t>TARIFF ONE – STANDARD TARIFF</w:t>
      </w:r>
    </w:p>
    <w:p w14:paraId="7AE88AA8" w14:textId="77777777" w:rsidR="00890B60" w:rsidRPr="00A05AA8" w:rsidRDefault="00890B60" w:rsidP="00890B60">
      <w:pPr>
        <w:ind w:left="1418"/>
      </w:pPr>
      <w:r w:rsidRPr="00A05AA8">
        <w:t>Tariff One rates apply as the maximum rates at all times except circumstances when Tariff Two maximum rates may apply.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08B07D90" w14:textId="77777777" w:rsidTr="00367AF7">
        <w:tc>
          <w:tcPr>
            <w:tcW w:w="2136" w:type="dxa"/>
            <w:shd w:val="clear" w:color="auto" w:fill="4986A0"/>
            <w:tcMar>
              <w:top w:w="90" w:type="dxa"/>
              <w:left w:w="90" w:type="dxa"/>
              <w:bottom w:w="90" w:type="dxa"/>
              <w:right w:w="62" w:type="dxa"/>
            </w:tcMar>
            <w:hideMark/>
          </w:tcPr>
          <w:p w14:paraId="461C469E" w14:textId="77777777" w:rsidR="00890B60" w:rsidRPr="007E735A" w:rsidRDefault="00890B60" w:rsidP="00367AF7">
            <w:pPr>
              <w:spacing w:line="240" w:lineRule="auto"/>
              <w:rPr>
                <w:color w:val="FFFFFF" w:themeColor="background1"/>
              </w:rPr>
            </w:pPr>
            <w:r w:rsidRPr="007E735A">
              <w:rPr>
                <w:b/>
                <w:bCs/>
                <w:color w:val="FFFFFF" w:themeColor="background1"/>
              </w:rPr>
              <w:t>Fare component</w:t>
            </w:r>
          </w:p>
        </w:tc>
        <w:tc>
          <w:tcPr>
            <w:tcW w:w="4971" w:type="dxa"/>
            <w:shd w:val="clear" w:color="auto" w:fill="4986A0"/>
            <w:tcMar>
              <w:top w:w="90" w:type="dxa"/>
              <w:left w:w="90" w:type="dxa"/>
              <w:bottom w:w="90" w:type="dxa"/>
              <w:right w:w="62" w:type="dxa"/>
            </w:tcMar>
            <w:hideMark/>
          </w:tcPr>
          <w:p w14:paraId="45CDF157" w14:textId="77777777" w:rsidR="00890B60" w:rsidRPr="007E735A" w:rsidRDefault="00890B60" w:rsidP="00367AF7">
            <w:pPr>
              <w:spacing w:line="240" w:lineRule="auto"/>
              <w:rPr>
                <w:color w:val="FFFFFF" w:themeColor="background1"/>
              </w:rPr>
            </w:pPr>
            <w:r w:rsidRPr="007E735A">
              <w:rPr>
                <w:b/>
                <w:bCs/>
                <w:color w:val="FFFFFF" w:themeColor="background1"/>
              </w:rPr>
              <w:t>Maximum charge</w:t>
            </w:r>
          </w:p>
        </w:tc>
      </w:tr>
      <w:tr w:rsidR="00890B60" w:rsidRPr="00A05AA8" w14:paraId="20995150" w14:textId="77777777" w:rsidTr="00367AF7">
        <w:tc>
          <w:tcPr>
            <w:tcW w:w="2136" w:type="dxa"/>
            <w:shd w:val="clear" w:color="auto" w:fill="F2F2F2"/>
            <w:tcMar>
              <w:top w:w="90" w:type="dxa"/>
              <w:left w:w="90" w:type="dxa"/>
              <w:bottom w:w="90" w:type="dxa"/>
              <w:right w:w="62" w:type="dxa"/>
            </w:tcMar>
            <w:hideMark/>
          </w:tcPr>
          <w:p w14:paraId="75CDA073" w14:textId="77777777" w:rsidR="00890B60" w:rsidRPr="00A05AA8" w:rsidRDefault="00890B60" w:rsidP="00826308">
            <w:pPr>
              <w:spacing w:before="0" w:line="240" w:lineRule="auto"/>
            </w:pPr>
            <w:r w:rsidRPr="00A05AA8">
              <w:t>Flagfall</w:t>
            </w:r>
          </w:p>
        </w:tc>
        <w:tc>
          <w:tcPr>
            <w:tcW w:w="4971" w:type="dxa"/>
            <w:shd w:val="clear" w:color="auto" w:fill="F2F2F2"/>
            <w:tcMar>
              <w:top w:w="90" w:type="dxa"/>
              <w:left w:w="90" w:type="dxa"/>
              <w:bottom w:w="90" w:type="dxa"/>
              <w:right w:w="62" w:type="dxa"/>
            </w:tcMar>
            <w:hideMark/>
          </w:tcPr>
          <w:p w14:paraId="6C91633F" w14:textId="11F0E6AB" w:rsidR="00890B60" w:rsidRPr="00A05AA8" w:rsidRDefault="00890B60" w:rsidP="00826308">
            <w:pPr>
              <w:spacing w:before="0" w:line="240" w:lineRule="auto"/>
            </w:pPr>
            <w:r w:rsidRPr="00F97BD6">
              <w:t>$4.</w:t>
            </w:r>
            <w:r w:rsidR="00F34271" w:rsidRPr="00F97BD6">
              <w:t>5</w:t>
            </w:r>
            <w:r w:rsidR="007F5D0A" w:rsidRPr="00F97BD6">
              <w:t>0</w:t>
            </w:r>
          </w:p>
        </w:tc>
      </w:tr>
      <w:tr w:rsidR="00890B60" w:rsidRPr="00A05AA8" w14:paraId="351A684D" w14:textId="77777777" w:rsidTr="00367AF7">
        <w:tc>
          <w:tcPr>
            <w:tcW w:w="2136" w:type="dxa"/>
            <w:shd w:val="clear" w:color="auto" w:fill="E3E4E4"/>
            <w:tcMar>
              <w:top w:w="90" w:type="dxa"/>
              <w:left w:w="90" w:type="dxa"/>
              <w:bottom w:w="90" w:type="dxa"/>
              <w:right w:w="62" w:type="dxa"/>
            </w:tcMar>
            <w:hideMark/>
          </w:tcPr>
          <w:p w14:paraId="34D1336B" w14:textId="76303421" w:rsidR="00890B60" w:rsidRPr="00A05AA8" w:rsidRDefault="00890B60" w:rsidP="00826308">
            <w:pPr>
              <w:spacing w:before="0" w:line="240" w:lineRule="auto"/>
            </w:pPr>
            <w:r w:rsidRPr="00A05AA8">
              <w:t xml:space="preserve">Distance </w:t>
            </w:r>
            <w:r w:rsidR="00782A6D">
              <w:t>r</w:t>
            </w:r>
            <w:r w:rsidRPr="00A05AA8">
              <w:t>ate</w:t>
            </w:r>
          </w:p>
        </w:tc>
        <w:tc>
          <w:tcPr>
            <w:tcW w:w="4971" w:type="dxa"/>
            <w:shd w:val="clear" w:color="auto" w:fill="E3E4E4"/>
            <w:tcMar>
              <w:top w:w="90" w:type="dxa"/>
              <w:left w:w="90" w:type="dxa"/>
              <w:bottom w:w="90" w:type="dxa"/>
              <w:right w:w="62" w:type="dxa"/>
            </w:tcMar>
            <w:hideMark/>
          </w:tcPr>
          <w:p w14:paraId="58AE630A" w14:textId="2A7D0252" w:rsidR="00890B60" w:rsidRPr="00A05AA8" w:rsidRDefault="00890B60" w:rsidP="00826308">
            <w:pPr>
              <w:spacing w:before="0" w:line="240" w:lineRule="auto"/>
            </w:pPr>
            <w:r w:rsidRPr="00F97BD6">
              <w:t>$2.</w:t>
            </w:r>
            <w:r w:rsidR="00F34271" w:rsidRPr="00F97BD6">
              <w:t>308</w:t>
            </w:r>
            <w:r>
              <w:t xml:space="preserve"> </w:t>
            </w:r>
            <w:r w:rsidRPr="00A05AA8">
              <w:t>per kilometre while the vehicle speed is greater than 21 kmph</w:t>
            </w:r>
          </w:p>
        </w:tc>
      </w:tr>
      <w:tr w:rsidR="00890B60" w:rsidRPr="00A05AA8" w14:paraId="0715F672" w14:textId="77777777" w:rsidTr="00367AF7">
        <w:tc>
          <w:tcPr>
            <w:tcW w:w="2136" w:type="dxa"/>
            <w:shd w:val="clear" w:color="auto" w:fill="F2F2F2"/>
            <w:tcMar>
              <w:top w:w="90" w:type="dxa"/>
              <w:left w:w="90" w:type="dxa"/>
              <w:bottom w:w="90" w:type="dxa"/>
              <w:right w:w="62" w:type="dxa"/>
            </w:tcMar>
            <w:hideMark/>
          </w:tcPr>
          <w:p w14:paraId="51201A81" w14:textId="324CC93B" w:rsidR="00890B60" w:rsidRPr="00A05AA8" w:rsidRDefault="00890B60" w:rsidP="00826308">
            <w:pPr>
              <w:spacing w:before="0" w:line="240" w:lineRule="auto"/>
            </w:pPr>
            <w:r w:rsidRPr="00A05AA8">
              <w:t xml:space="preserve">Detention </w:t>
            </w:r>
            <w:r w:rsidR="00782A6D">
              <w:t>r</w:t>
            </w:r>
            <w:r w:rsidRPr="00A05AA8">
              <w:t>ate</w:t>
            </w:r>
          </w:p>
        </w:tc>
        <w:tc>
          <w:tcPr>
            <w:tcW w:w="4971" w:type="dxa"/>
            <w:shd w:val="clear" w:color="auto" w:fill="F2F2F2"/>
            <w:tcMar>
              <w:top w:w="90" w:type="dxa"/>
              <w:left w:w="90" w:type="dxa"/>
              <w:bottom w:w="90" w:type="dxa"/>
              <w:right w:w="62" w:type="dxa"/>
            </w:tcMar>
            <w:hideMark/>
          </w:tcPr>
          <w:p w14:paraId="57A59A1C" w14:textId="46740540" w:rsidR="00890B60" w:rsidRPr="00A05AA8" w:rsidRDefault="00890B60" w:rsidP="00826308">
            <w:pPr>
              <w:spacing w:before="0" w:line="240" w:lineRule="auto"/>
            </w:pPr>
            <w:r w:rsidRPr="00F97BD6">
              <w:t>$0.</w:t>
            </w:r>
            <w:r w:rsidR="00F34271" w:rsidRPr="00F97BD6">
              <w:t>808</w:t>
            </w:r>
            <w:r>
              <w:t xml:space="preserve"> </w:t>
            </w:r>
            <w:r w:rsidRPr="00A05AA8">
              <w:t xml:space="preserve">per minute </w:t>
            </w:r>
            <w:r w:rsidRPr="00F97BD6">
              <w:t>($4</w:t>
            </w:r>
            <w:r w:rsidR="00F34271" w:rsidRPr="00F97BD6">
              <w:t>8</w:t>
            </w:r>
            <w:r w:rsidRPr="00F97BD6">
              <w:t>.</w:t>
            </w:r>
            <w:r w:rsidR="00F34271" w:rsidRPr="00F97BD6">
              <w:t>48</w:t>
            </w:r>
            <w:r>
              <w:t xml:space="preserve"> </w:t>
            </w:r>
            <w:r w:rsidRPr="00A05AA8">
              <w:t>per hour) while the vehicle speed is less than 21 kmph</w:t>
            </w:r>
          </w:p>
        </w:tc>
      </w:tr>
    </w:tbl>
    <w:p w14:paraId="709C37D2" w14:textId="77777777" w:rsidR="00890B60" w:rsidRPr="00A05AA8" w:rsidRDefault="00890B60" w:rsidP="00826308">
      <w:pPr>
        <w:spacing w:after="0"/>
      </w:pPr>
    </w:p>
    <w:p w14:paraId="34166D46" w14:textId="77777777" w:rsidR="00890B60" w:rsidRPr="00A05AA8" w:rsidRDefault="00890B60" w:rsidP="009948EC">
      <w:pPr>
        <w:pStyle w:val="Heading3"/>
        <w:ind w:firstLine="720"/>
      </w:pPr>
      <w:r w:rsidRPr="00A05AA8">
        <w:t xml:space="preserve">TARIFF TWO – HIGH OCCUPANCY TARIFF </w:t>
      </w:r>
    </w:p>
    <w:p w14:paraId="5B6AE52E" w14:textId="77777777" w:rsidR="00890B60" w:rsidRDefault="00890B60" w:rsidP="00D7353E">
      <w:pPr>
        <w:numPr>
          <w:ilvl w:val="1"/>
          <w:numId w:val="21"/>
        </w:numPr>
        <w:tabs>
          <w:tab w:val="left" w:pos="1440"/>
        </w:tabs>
        <w:spacing w:before="240" w:after="0"/>
        <w:ind w:left="1440" w:hanging="720"/>
      </w:pPr>
      <w:r w:rsidRPr="00A05AA8">
        <w:t>Tariff Two must not be charged if the unbooked commercial passenger vehicle does not have the capacity for the carriage of five or more passengers in fixed seats. ‘Fixed seats’ does not include positions for the carriage of persons in wheelchairs.</w:t>
      </w:r>
    </w:p>
    <w:p w14:paraId="4AC6ACAB" w14:textId="77777777" w:rsidR="00CE5836" w:rsidRDefault="00CE5836" w:rsidP="00CE5836">
      <w:pPr>
        <w:numPr>
          <w:ilvl w:val="1"/>
          <w:numId w:val="21"/>
        </w:numPr>
        <w:tabs>
          <w:tab w:val="left" w:pos="1440"/>
        </w:tabs>
        <w:spacing w:before="240" w:after="240"/>
        <w:ind w:left="1440" w:hanging="720"/>
      </w:pPr>
      <w:r w:rsidRPr="00A05AA8">
        <w:t>Tariff Two may only be charged when</w:t>
      </w:r>
      <w:r>
        <w:t>:</w:t>
      </w:r>
      <w:r w:rsidRPr="00A05AA8">
        <w:t xml:space="preserve"> </w:t>
      </w:r>
    </w:p>
    <w:p w14:paraId="42DAFE47" w14:textId="77777777" w:rsidR="00CE5836" w:rsidRPr="000C5B99" w:rsidRDefault="00CE5836" w:rsidP="00CE5836">
      <w:pPr>
        <w:numPr>
          <w:ilvl w:val="2"/>
          <w:numId w:val="33"/>
        </w:numPr>
        <w:tabs>
          <w:tab w:val="left" w:pos="1440"/>
        </w:tabs>
        <w:spacing w:before="240" w:after="240"/>
      </w:pPr>
      <w:r w:rsidRPr="000C5B99">
        <w:t>the vehicle has been hired for the carriage of five or more passengers, or</w:t>
      </w:r>
    </w:p>
    <w:p w14:paraId="669BC8C7" w14:textId="51D1066B" w:rsidR="007F5D0A" w:rsidRPr="00A05AA8" w:rsidRDefault="00CE5836" w:rsidP="00FE2B2D">
      <w:pPr>
        <w:numPr>
          <w:ilvl w:val="2"/>
          <w:numId w:val="33"/>
        </w:numPr>
        <w:tabs>
          <w:tab w:val="left" w:pos="1440"/>
        </w:tabs>
        <w:spacing w:before="240" w:after="240"/>
        <w:ind w:left="2160" w:hanging="720"/>
      </w:pPr>
      <w:r w:rsidRPr="000C5B99">
        <w:t xml:space="preserve">a vehicle larger than a standard taxi is required, regardless of the number of passengers to be carried, except where the vehicle has been hired for the carriage of a person(s) who uses a wheelchair or other mobility aid. </w:t>
      </w:r>
    </w:p>
    <w:p w14:paraId="2EE6EBE1" w14:textId="6B0DCD9A" w:rsidR="00890B60" w:rsidRPr="00A05AA8" w:rsidRDefault="005C2474" w:rsidP="00D7353E">
      <w:pPr>
        <w:numPr>
          <w:ilvl w:val="1"/>
          <w:numId w:val="21"/>
        </w:numPr>
        <w:tabs>
          <w:tab w:val="left" w:pos="1440"/>
        </w:tabs>
        <w:spacing w:before="240" w:after="240"/>
        <w:ind w:left="1440" w:hanging="720"/>
      </w:pPr>
      <w:r w:rsidRPr="00A05AA8">
        <w:t>For the purposes of clause 3.3</w:t>
      </w:r>
      <w:r>
        <w:t>.1</w:t>
      </w:r>
      <w:r w:rsidRPr="00A05AA8">
        <w:t xml:space="preserve"> above, children under the age of five years are not to be calculated as a passenger</w:t>
      </w:r>
      <w:r w:rsidR="00C02C2F">
        <w:t>.</w:t>
      </w:r>
    </w:p>
    <w:p w14:paraId="593AFDEB" w14:textId="383AD6E8" w:rsidR="00CE5836" w:rsidRPr="00A05AA8" w:rsidRDefault="00890B60" w:rsidP="00C9383F">
      <w:pPr>
        <w:numPr>
          <w:ilvl w:val="1"/>
          <w:numId w:val="21"/>
        </w:numPr>
        <w:tabs>
          <w:tab w:val="left" w:pos="1440"/>
        </w:tabs>
        <w:spacing w:before="240" w:after="240"/>
        <w:ind w:left="1440" w:hanging="720"/>
      </w:pPr>
      <w:r w:rsidRPr="00A05AA8">
        <w:t xml:space="preserve">For </w:t>
      </w:r>
      <w:r w:rsidR="00C02C2F">
        <w:t>the purposes of clause 3.3.2 above, a standard taxi means a taxi with seating for up to four passengers and includes station wagon type vehicles.</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009662BC" w14:textId="77777777" w:rsidTr="00367AF7">
        <w:tc>
          <w:tcPr>
            <w:tcW w:w="2136" w:type="dxa"/>
            <w:shd w:val="clear" w:color="auto" w:fill="4986A0"/>
            <w:tcMar>
              <w:top w:w="90" w:type="dxa"/>
              <w:left w:w="90" w:type="dxa"/>
              <w:bottom w:w="90" w:type="dxa"/>
              <w:right w:w="62" w:type="dxa"/>
            </w:tcMar>
            <w:hideMark/>
          </w:tcPr>
          <w:p w14:paraId="07BA76F1" w14:textId="77777777" w:rsidR="00890B60" w:rsidRPr="007E735A" w:rsidRDefault="00890B60" w:rsidP="00367AF7">
            <w:pPr>
              <w:keepNext/>
              <w:spacing w:line="240" w:lineRule="auto"/>
              <w:rPr>
                <w:color w:val="FFFFFF" w:themeColor="background1"/>
              </w:rPr>
            </w:pPr>
            <w:r w:rsidRPr="007E735A">
              <w:rPr>
                <w:b/>
                <w:bCs/>
                <w:color w:val="FFFFFF" w:themeColor="background1"/>
              </w:rPr>
              <w:lastRenderedPageBreak/>
              <w:t>Fare component</w:t>
            </w:r>
          </w:p>
        </w:tc>
        <w:tc>
          <w:tcPr>
            <w:tcW w:w="4971" w:type="dxa"/>
            <w:shd w:val="clear" w:color="auto" w:fill="4986A0"/>
            <w:tcMar>
              <w:top w:w="90" w:type="dxa"/>
              <w:left w:w="90" w:type="dxa"/>
              <w:bottom w:w="90" w:type="dxa"/>
              <w:right w:w="62" w:type="dxa"/>
            </w:tcMar>
            <w:hideMark/>
          </w:tcPr>
          <w:p w14:paraId="1771B76C" w14:textId="77777777" w:rsidR="00890B60" w:rsidRPr="007E735A" w:rsidRDefault="00890B60" w:rsidP="00367AF7">
            <w:pPr>
              <w:keepNext/>
              <w:spacing w:line="240" w:lineRule="auto"/>
              <w:rPr>
                <w:color w:val="FFFFFF" w:themeColor="background1"/>
              </w:rPr>
            </w:pPr>
            <w:r w:rsidRPr="007E735A">
              <w:rPr>
                <w:b/>
                <w:bCs/>
                <w:color w:val="FFFFFF" w:themeColor="background1"/>
              </w:rPr>
              <w:t>Maximum charge</w:t>
            </w:r>
          </w:p>
        </w:tc>
      </w:tr>
      <w:tr w:rsidR="00890B60" w:rsidRPr="00A05AA8" w14:paraId="744E493D" w14:textId="77777777" w:rsidTr="00367AF7">
        <w:tc>
          <w:tcPr>
            <w:tcW w:w="2136" w:type="dxa"/>
            <w:shd w:val="clear" w:color="auto" w:fill="F2F2F2"/>
            <w:tcMar>
              <w:top w:w="90" w:type="dxa"/>
              <w:left w:w="90" w:type="dxa"/>
              <w:bottom w:w="90" w:type="dxa"/>
              <w:right w:w="62" w:type="dxa"/>
            </w:tcMar>
            <w:hideMark/>
          </w:tcPr>
          <w:p w14:paraId="24567820" w14:textId="77777777" w:rsidR="00890B60" w:rsidRPr="00A05AA8" w:rsidRDefault="00890B60" w:rsidP="00826308">
            <w:pPr>
              <w:keepNext/>
              <w:spacing w:before="0" w:line="240" w:lineRule="auto"/>
            </w:pPr>
            <w:r w:rsidRPr="00A05AA8">
              <w:t>Flagfall</w:t>
            </w:r>
          </w:p>
        </w:tc>
        <w:tc>
          <w:tcPr>
            <w:tcW w:w="4971" w:type="dxa"/>
            <w:shd w:val="clear" w:color="auto" w:fill="F2F2F2"/>
            <w:tcMar>
              <w:top w:w="90" w:type="dxa"/>
              <w:left w:w="90" w:type="dxa"/>
              <w:bottom w:w="90" w:type="dxa"/>
              <w:right w:w="62" w:type="dxa"/>
            </w:tcMar>
            <w:hideMark/>
          </w:tcPr>
          <w:p w14:paraId="244B3573" w14:textId="78117D31" w:rsidR="00890B60" w:rsidRPr="00A05AA8" w:rsidRDefault="00890B60" w:rsidP="00826308">
            <w:pPr>
              <w:keepNext/>
              <w:spacing w:before="0" w:line="240" w:lineRule="auto"/>
            </w:pPr>
            <w:r w:rsidRPr="0053125B">
              <w:t>$4.</w:t>
            </w:r>
            <w:r w:rsidR="00F34271" w:rsidRPr="0053125B">
              <w:t>5</w:t>
            </w:r>
            <w:r w:rsidR="00C02C2F" w:rsidRPr="0053125B">
              <w:t>0</w:t>
            </w:r>
          </w:p>
        </w:tc>
      </w:tr>
      <w:tr w:rsidR="00890B60" w:rsidRPr="00A05AA8" w14:paraId="0EE5E081" w14:textId="77777777" w:rsidTr="00367AF7">
        <w:tc>
          <w:tcPr>
            <w:tcW w:w="2136" w:type="dxa"/>
            <w:shd w:val="clear" w:color="auto" w:fill="E3E4E4"/>
            <w:tcMar>
              <w:top w:w="90" w:type="dxa"/>
              <w:left w:w="90" w:type="dxa"/>
              <w:bottom w:w="90" w:type="dxa"/>
              <w:right w:w="62" w:type="dxa"/>
            </w:tcMar>
            <w:hideMark/>
          </w:tcPr>
          <w:p w14:paraId="7A5CA427" w14:textId="46D09DFF" w:rsidR="00890B60" w:rsidRPr="00A05AA8" w:rsidRDefault="00890B60" w:rsidP="00826308">
            <w:pPr>
              <w:keepNext/>
              <w:spacing w:before="0" w:line="240" w:lineRule="auto"/>
            </w:pPr>
            <w:r w:rsidRPr="00A05AA8">
              <w:t xml:space="preserve">Distance </w:t>
            </w:r>
            <w:r w:rsidR="00AE5AA7">
              <w:t>r</w:t>
            </w:r>
            <w:r w:rsidRPr="00A05AA8">
              <w:t>ate</w:t>
            </w:r>
          </w:p>
        </w:tc>
        <w:tc>
          <w:tcPr>
            <w:tcW w:w="4971" w:type="dxa"/>
            <w:shd w:val="clear" w:color="auto" w:fill="E3E4E4"/>
            <w:tcMar>
              <w:top w:w="90" w:type="dxa"/>
              <w:left w:w="90" w:type="dxa"/>
              <w:bottom w:w="90" w:type="dxa"/>
              <w:right w:w="62" w:type="dxa"/>
            </w:tcMar>
            <w:hideMark/>
          </w:tcPr>
          <w:p w14:paraId="4F125F7B" w14:textId="2883C5F1" w:rsidR="00890B60" w:rsidRPr="00A05AA8" w:rsidRDefault="00890B60" w:rsidP="00826308">
            <w:pPr>
              <w:keepNext/>
              <w:spacing w:before="0" w:line="240" w:lineRule="auto"/>
            </w:pPr>
            <w:r w:rsidRPr="0053125B">
              <w:t>$3.</w:t>
            </w:r>
            <w:r w:rsidR="00F34271" w:rsidRPr="0053125B">
              <w:t>512</w:t>
            </w:r>
            <w:r>
              <w:t xml:space="preserve"> </w:t>
            </w:r>
            <w:r w:rsidRPr="00A05AA8">
              <w:t>per kilometre while the vehicle speed is greater than 21 kmph</w:t>
            </w:r>
          </w:p>
        </w:tc>
      </w:tr>
      <w:tr w:rsidR="00890B60" w:rsidRPr="00A05AA8" w14:paraId="4A949DFE" w14:textId="77777777" w:rsidTr="00367AF7">
        <w:tc>
          <w:tcPr>
            <w:tcW w:w="2136" w:type="dxa"/>
            <w:shd w:val="clear" w:color="auto" w:fill="F2F2F2"/>
            <w:tcMar>
              <w:top w:w="90" w:type="dxa"/>
              <w:left w:w="90" w:type="dxa"/>
              <w:bottom w:w="90" w:type="dxa"/>
              <w:right w:w="62" w:type="dxa"/>
            </w:tcMar>
            <w:hideMark/>
          </w:tcPr>
          <w:p w14:paraId="23E28124" w14:textId="4C4A1701" w:rsidR="00890B60" w:rsidRPr="00A05AA8" w:rsidRDefault="00890B60" w:rsidP="00826308">
            <w:pPr>
              <w:keepNext/>
              <w:spacing w:before="0" w:line="240" w:lineRule="auto"/>
            </w:pPr>
            <w:r w:rsidRPr="00A05AA8">
              <w:t xml:space="preserve">Detention </w:t>
            </w:r>
            <w:r w:rsidR="00AE5AA7">
              <w:t>r</w:t>
            </w:r>
            <w:r w:rsidRPr="00A05AA8">
              <w:t>ate</w:t>
            </w:r>
          </w:p>
        </w:tc>
        <w:tc>
          <w:tcPr>
            <w:tcW w:w="4971" w:type="dxa"/>
            <w:shd w:val="clear" w:color="auto" w:fill="F2F2F2"/>
            <w:tcMar>
              <w:top w:w="90" w:type="dxa"/>
              <w:left w:w="90" w:type="dxa"/>
              <w:bottom w:w="90" w:type="dxa"/>
              <w:right w:w="62" w:type="dxa"/>
            </w:tcMar>
            <w:hideMark/>
          </w:tcPr>
          <w:p w14:paraId="43811878" w14:textId="3EE7D241" w:rsidR="00890B60" w:rsidRPr="00A05AA8" w:rsidRDefault="00890B60" w:rsidP="00826308">
            <w:pPr>
              <w:keepNext/>
              <w:spacing w:before="0" w:line="240" w:lineRule="auto"/>
            </w:pPr>
            <w:r w:rsidRPr="0053125B">
              <w:t>$1.</w:t>
            </w:r>
            <w:r w:rsidR="00F34271" w:rsidRPr="0053125B">
              <w:t>229</w:t>
            </w:r>
            <w:r>
              <w:t xml:space="preserve"> </w:t>
            </w:r>
            <w:r w:rsidRPr="00A05AA8">
              <w:t>per minute (</w:t>
            </w:r>
            <w:r w:rsidRPr="0053125B">
              <w:t>$</w:t>
            </w:r>
            <w:r w:rsidR="00C02C2F" w:rsidRPr="0053125B">
              <w:t>7</w:t>
            </w:r>
            <w:r w:rsidR="00F34271" w:rsidRPr="0053125B">
              <w:t>3</w:t>
            </w:r>
            <w:r w:rsidR="00C02C2F" w:rsidRPr="0053125B">
              <w:t>.</w:t>
            </w:r>
            <w:r w:rsidR="00F34271" w:rsidRPr="0053125B">
              <w:t>74</w:t>
            </w:r>
            <w:r>
              <w:t xml:space="preserve"> </w:t>
            </w:r>
            <w:r w:rsidRPr="00A05AA8">
              <w:t>per hour) while the vehicle speed is less than 21 kmph</w:t>
            </w:r>
          </w:p>
        </w:tc>
      </w:tr>
    </w:tbl>
    <w:p w14:paraId="427DF06A" w14:textId="77777777" w:rsidR="00890B60" w:rsidRPr="00A05AA8" w:rsidRDefault="00890B60" w:rsidP="00890B60"/>
    <w:p w14:paraId="747CF5DC" w14:textId="77777777" w:rsidR="00890B60" w:rsidRPr="00A05AA8" w:rsidRDefault="00890B60" w:rsidP="00D7353E">
      <w:pPr>
        <w:numPr>
          <w:ilvl w:val="0"/>
          <w:numId w:val="22"/>
        </w:numPr>
        <w:pBdr>
          <w:left w:val="none" w:sz="0" w:space="21" w:color="auto"/>
        </w:pBdr>
        <w:spacing w:before="240" w:after="0"/>
        <w:ind w:hanging="720"/>
        <w:rPr>
          <w:b/>
          <w:bCs/>
        </w:rPr>
      </w:pPr>
      <w:r w:rsidRPr="00A05AA8">
        <w:rPr>
          <w:b/>
          <w:bCs/>
        </w:rPr>
        <w:t>Maximum hiring rates – ‘time and distance’ tariff structure</w:t>
      </w:r>
    </w:p>
    <w:p w14:paraId="4EBD5BF1" w14:textId="2831EC94" w:rsidR="00890B60" w:rsidRPr="00A05AA8" w:rsidRDefault="00890B60" w:rsidP="009948EC">
      <w:pPr>
        <w:numPr>
          <w:ilvl w:val="1"/>
          <w:numId w:val="22"/>
        </w:numPr>
        <w:spacing w:before="240" w:after="0"/>
        <w:ind w:hanging="720"/>
      </w:pPr>
      <w:r w:rsidRPr="00A05AA8">
        <w:t xml:space="preserve">If using ‘time </w:t>
      </w:r>
      <w:r w:rsidRPr="00A05AA8">
        <w:rPr>
          <w:b/>
          <w:bCs/>
        </w:rPr>
        <w:t>and</w:t>
      </w:r>
      <w:r w:rsidRPr="00A05AA8">
        <w:t xml:space="preserve"> distance’ tariffs the hiring rates that must be computed and displayed by the fare calculation device used for applicable unbooked services can be to a maximum of the following charges:</w:t>
      </w:r>
    </w:p>
    <w:p w14:paraId="517D0B09" w14:textId="77777777" w:rsidR="00890B60" w:rsidRPr="00A05AA8" w:rsidRDefault="00890B60" w:rsidP="009948EC">
      <w:pPr>
        <w:pStyle w:val="Heading3"/>
        <w:ind w:firstLine="720"/>
      </w:pPr>
      <w:r w:rsidRPr="00A05AA8">
        <w:t>TARIFF ONE – STANDARD TARIFF</w:t>
      </w:r>
    </w:p>
    <w:p w14:paraId="451D33FB" w14:textId="77777777" w:rsidR="00890B60" w:rsidRPr="00A05AA8" w:rsidRDefault="00890B60" w:rsidP="00890B60">
      <w:pPr>
        <w:ind w:left="1418"/>
      </w:pPr>
      <w:r w:rsidRPr="00A05AA8">
        <w:t>Tariff One rates apply as the maximum rates at all times except circumstances when Tariff Two maximum rates may apply.</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6E6CEB37" w14:textId="77777777" w:rsidTr="00367AF7">
        <w:tc>
          <w:tcPr>
            <w:tcW w:w="2136" w:type="dxa"/>
            <w:shd w:val="clear" w:color="auto" w:fill="4986A0"/>
            <w:tcMar>
              <w:top w:w="90" w:type="dxa"/>
              <w:left w:w="90" w:type="dxa"/>
              <w:bottom w:w="90" w:type="dxa"/>
              <w:right w:w="62" w:type="dxa"/>
            </w:tcMar>
            <w:hideMark/>
          </w:tcPr>
          <w:p w14:paraId="0C600A9D" w14:textId="77777777" w:rsidR="00890B60" w:rsidRPr="007E735A" w:rsidRDefault="00890B60" w:rsidP="00367AF7">
            <w:pPr>
              <w:spacing w:line="240" w:lineRule="auto"/>
              <w:rPr>
                <w:color w:val="FFFFFF" w:themeColor="background1"/>
              </w:rPr>
            </w:pPr>
            <w:r w:rsidRPr="007E735A">
              <w:rPr>
                <w:b/>
                <w:bCs/>
                <w:color w:val="FFFFFF" w:themeColor="background1"/>
              </w:rPr>
              <w:t>Fare component</w:t>
            </w:r>
          </w:p>
        </w:tc>
        <w:tc>
          <w:tcPr>
            <w:tcW w:w="4971" w:type="dxa"/>
            <w:shd w:val="clear" w:color="auto" w:fill="4986A0"/>
            <w:tcMar>
              <w:top w:w="90" w:type="dxa"/>
              <w:left w:w="90" w:type="dxa"/>
              <w:bottom w:w="90" w:type="dxa"/>
              <w:right w:w="62" w:type="dxa"/>
            </w:tcMar>
            <w:hideMark/>
          </w:tcPr>
          <w:p w14:paraId="5B83E820" w14:textId="77777777" w:rsidR="00890B60" w:rsidRPr="007E735A" w:rsidRDefault="00890B60" w:rsidP="00367AF7">
            <w:pPr>
              <w:spacing w:line="240" w:lineRule="auto"/>
              <w:rPr>
                <w:color w:val="FFFFFF" w:themeColor="background1"/>
              </w:rPr>
            </w:pPr>
            <w:r w:rsidRPr="007E735A">
              <w:rPr>
                <w:b/>
                <w:bCs/>
                <w:color w:val="FFFFFF" w:themeColor="background1"/>
              </w:rPr>
              <w:t>Maximum charge</w:t>
            </w:r>
          </w:p>
        </w:tc>
      </w:tr>
      <w:tr w:rsidR="00890B60" w:rsidRPr="00A05AA8" w14:paraId="01F670D8" w14:textId="77777777" w:rsidTr="00367AF7">
        <w:tc>
          <w:tcPr>
            <w:tcW w:w="2136" w:type="dxa"/>
            <w:shd w:val="clear" w:color="auto" w:fill="F2F2F2"/>
            <w:tcMar>
              <w:top w:w="90" w:type="dxa"/>
              <w:left w:w="90" w:type="dxa"/>
              <w:bottom w:w="90" w:type="dxa"/>
              <w:right w:w="62" w:type="dxa"/>
            </w:tcMar>
            <w:hideMark/>
          </w:tcPr>
          <w:p w14:paraId="638883C8" w14:textId="77777777" w:rsidR="00890B60" w:rsidRPr="00A05AA8" w:rsidRDefault="00890B60" w:rsidP="00826308">
            <w:pPr>
              <w:spacing w:before="0" w:line="240" w:lineRule="auto"/>
            </w:pPr>
            <w:r w:rsidRPr="00A05AA8">
              <w:t>Flagfall</w:t>
            </w:r>
          </w:p>
        </w:tc>
        <w:tc>
          <w:tcPr>
            <w:tcW w:w="4971" w:type="dxa"/>
            <w:shd w:val="clear" w:color="auto" w:fill="F2F2F2"/>
            <w:tcMar>
              <w:top w:w="90" w:type="dxa"/>
              <w:left w:w="90" w:type="dxa"/>
              <w:bottom w:w="90" w:type="dxa"/>
              <w:right w:w="62" w:type="dxa"/>
            </w:tcMar>
            <w:hideMark/>
          </w:tcPr>
          <w:p w14:paraId="07347197" w14:textId="06E198C3" w:rsidR="00890B60" w:rsidRPr="00A05AA8" w:rsidRDefault="00890B60" w:rsidP="00826308">
            <w:pPr>
              <w:spacing w:before="0" w:line="240" w:lineRule="auto"/>
            </w:pPr>
            <w:r w:rsidRPr="0053125B">
              <w:t>$4.</w:t>
            </w:r>
            <w:r w:rsidR="00F34271" w:rsidRPr="0053125B">
              <w:t>5</w:t>
            </w:r>
            <w:r w:rsidR="009D7437" w:rsidRPr="0053125B">
              <w:t>0</w:t>
            </w:r>
          </w:p>
        </w:tc>
      </w:tr>
      <w:tr w:rsidR="00890B60" w:rsidRPr="00A05AA8" w14:paraId="3BCB7B3D" w14:textId="77777777" w:rsidTr="00367AF7">
        <w:tc>
          <w:tcPr>
            <w:tcW w:w="2136" w:type="dxa"/>
            <w:shd w:val="clear" w:color="auto" w:fill="E3E4E4"/>
            <w:tcMar>
              <w:top w:w="90" w:type="dxa"/>
              <w:left w:w="90" w:type="dxa"/>
              <w:bottom w:w="90" w:type="dxa"/>
              <w:right w:w="62" w:type="dxa"/>
            </w:tcMar>
            <w:hideMark/>
          </w:tcPr>
          <w:p w14:paraId="6653D0C7" w14:textId="51615342" w:rsidR="00890B60" w:rsidRPr="00A05AA8" w:rsidRDefault="00890B60" w:rsidP="00826308">
            <w:pPr>
              <w:spacing w:before="0" w:line="240" w:lineRule="auto"/>
            </w:pPr>
            <w:r w:rsidRPr="00A05AA8">
              <w:t xml:space="preserve">Distance </w:t>
            </w:r>
            <w:r w:rsidR="009F6287">
              <w:t>r</w:t>
            </w:r>
            <w:r w:rsidRPr="00A05AA8">
              <w:t>ate</w:t>
            </w:r>
          </w:p>
        </w:tc>
        <w:tc>
          <w:tcPr>
            <w:tcW w:w="4971" w:type="dxa"/>
            <w:shd w:val="clear" w:color="auto" w:fill="E3E4E4"/>
            <w:tcMar>
              <w:top w:w="90" w:type="dxa"/>
              <w:left w:w="90" w:type="dxa"/>
              <w:bottom w:w="90" w:type="dxa"/>
              <w:right w:w="62" w:type="dxa"/>
            </w:tcMar>
            <w:hideMark/>
          </w:tcPr>
          <w:p w14:paraId="387D58FC" w14:textId="0EBF8895" w:rsidR="00890B60" w:rsidRPr="00A05AA8" w:rsidRDefault="00890B60" w:rsidP="00826308">
            <w:pPr>
              <w:spacing w:before="0" w:line="240" w:lineRule="auto"/>
            </w:pPr>
            <w:r w:rsidRPr="0053125B">
              <w:t>$1.</w:t>
            </w:r>
            <w:r w:rsidR="009D7437" w:rsidRPr="0053125B">
              <w:t>8</w:t>
            </w:r>
            <w:r w:rsidR="00F34271" w:rsidRPr="0053125B">
              <w:t>7</w:t>
            </w:r>
            <w:r w:rsidR="009D7437" w:rsidRPr="0053125B">
              <w:t>5</w:t>
            </w:r>
            <w:r>
              <w:t xml:space="preserve"> </w:t>
            </w:r>
            <w:r w:rsidRPr="00A05AA8">
              <w:t xml:space="preserve">per kilometre at all times </w:t>
            </w:r>
          </w:p>
        </w:tc>
      </w:tr>
      <w:tr w:rsidR="00890B60" w:rsidRPr="00A05AA8" w14:paraId="536C27C4" w14:textId="77777777" w:rsidTr="00367AF7">
        <w:tc>
          <w:tcPr>
            <w:tcW w:w="2136" w:type="dxa"/>
            <w:shd w:val="clear" w:color="auto" w:fill="F2F2F2"/>
            <w:tcMar>
              <w:top w:w="90" w:type="dxa"/>
              <w:left w:w="90" w:type="dxa"/>
              <w:bottom w:w="90" w:type="dxa"/>
              <w:right w:w="62" w:type="dxa"/>
            </w:tcMar>
            <w:hideMark/>
          </w:tcPr>
          <w:p w14:paraId="084395C6" w14:textId="1DC3F946" w:rsidR="00890B60" w:rsidRPr="00A05AA8" w:rsidRDefault="00890B60" w:rsidP="00826308">
            <w:pPr>
              <w:spacing w:before="0" w:line="240" w:lineRule="auto"/>
            </w:pPr>
            <w:r w:rsidRPr="00A05AA8">
              <w:t xml:space="preserve">Duration </w:t>
            </w:r>
            <w:r w:rsidR="009F6287">
              <w:t>r</w:t>
            </w:r>
            <w:r w:rsidRPr="00A05AA8">
              <w:t>ate</w:t>
            </w:r>
          </w:p>
        </w:tc>
        <w:tc>
          <w:tcPr>
            <w:tcW w:w="4971" w:type="dxa"/>
            <w:shd w:val="clear" w:color="auto" w:fill="F2F2F2"/>
            <w:tcMar>
              <w:top w:w="90" w:type="dxa"/>
              <w:left w:w="90" w:type="dxa"/>
              <w:bottom w:w="90" w:type="dxa"/>
              <w:right w:w="62" w:type="dxa"/>
            </w:tcMar>
            <w:hideMark/>
          </w:tcPr>
          <w:p w14:paraId="23D592C4" w14:textId="56329A7C" w:rsidR="00890B60" w:rsidRPr="00A05AA8" w:rsidRDefault="00890B60" w:rsidP="00826308">
            <w:pPr>
              <w:spacing w:before="0" w:line="240" w:lineRule="auto"/>
            </w:pPr>
            <w:r w:rsidRPr="0053125B">
              <w:t>$0.</w:t>
            </w:r>
            <w:r w:rsidR="009D7437" w:rsidRPr="0053125B">
              <w:t>6</w:t>
            </w:r>
            <w:r w:rsidR="00F34271" w:rsidRPr="0053125B">
              <w:t>17</w:t>
            </w:r>
            <w:r w:rsidR="00F34271">
              <w:t xml:space="preserve"> </w:t>
            </w:r>
            <w:r w:rsidRPr="00A05AA8">
              <w:t xml:space="preserve">per minute at all times </w:t>
            </w:r>
          </w:p>
        </w:tc>
      </w:tr>
    </w:tbl>
    <w:p w14:paraId="773E7DBD" w14:textId="77777777" w:rsidR="00890B60" w:rsidRDefault="00890B60" w:rsidP="00890B60">
      <w:pPr>
        <w:sectPr w:rsidR="00890B60" w:rsidSect="00367AF7">
          <w:headerReference w:type="even" r:id="rId36"/>
          <w:headerReference w:type="default" r:id="rId37"/>
          <w:footerReference w:type="default" r:id="rId38"/>
          <w:headerReference w:type="first" r:id="rId39"/>
          <w:type w:val="continuous"/>
          <w:pgSz w:w="11906" w:h="16838" w:code="9"/>
          <w:pgMar w:top="1134" w:right="1134" w:bottom="1134" w:left="1134" w:header="709" w:footer="692" w:gutter="0"/>
          <w:cols w:space="708"/>
          <w:docGrid w:linePitch="360"/>
        </w:sectPr>
      </w:pPr>
    </w:p>
    <w:p w14:paraId="213A1916" w14:textId="77777777" w:rsidR="00890B60" w:rsidRPr="00A05AA8" w:rsidRDefault="00890B60" w:rsidP="006A02DF">
      <w:pPr>
        <w:pStyle w:val="Heading3"/>
        <w:ind w:firstLine="720"/>
      </w:pPr>
      <w:r w:rsidRPr="00A05AA8">
        <w:lastRenderedPageBreak/>
        <w:t xml:space="preserve">TARIFF TWO – HIGH OCCUPANCY TARIFF </w:t>
      </w:r>
    </w:p>
    <w:p w14:paraId="4CE11D3C" w14:textId="77777777" w:rsidR="00890B60" w:rsidRDefault="00890B60" w:rsidP="00D7353E">
      <w:pPr>
        <w:numPr>
          <w:ilvl w:val="1"/>
          <w:numId w:val="23"/>
        </w:numPr>
        <w:tabs>
          <w:tab w:val="left" w:pos="1440"/>
        </w:tabs>
        <w:spacing w:before="240" w:after="0"/>
        <w:ind w:left="1440" w:hanging="720"/>
      </w:pPr>
      <w:r w:rsidRPr="00A05AA8">
        <w:t>Tariff Two must not be charged if the unbooked commercial passenger vehicle does not have the capacity for the carriage of five or more passengers in fixed seats. ‘Fixed seats’ does not include positions for the carriage of persons in wheelchairs.</w:t>
      </w:r>
    </w:p>
    <w:p w14:paraId="6C1FAB98" w14:textId="77777777" w:rsidR="00175316" w:rsidRDefault="00175316" w:rsidP="00175316">
      <w:pPr>
        <w:numPr>
          <w:ilvl w:val="1"/>
          <w:numId w:val="23"/>
        </w:numPr>
        <w:tabs>
          <w:tab w:val="left" w:pos="1440"/>
        </w:tabs>
        <w:spacing w:before="240" w:after="240"/>
        <w:ind w:left="1440" w:hanging="720"/>
      </w:pPr>
      <w:r w:rsidRPr="00A05AA8">
        <w:t>Tariff Two may only be charged when</w:t>
      </w:r>
      <w:r>
        <w:t>:</w:t>
      </w:r>
    </w:p>
    <w:p w14:paraId="1606CB86" w14:textId="77777777" w:rsidR="00175316" w:rsidRPr="000C5B99" w:rsidRDefault="00175316" w:rsidP="00175316">
      <w:pPr>
        <w:numPr>
          <w:ilvl w:val="2"/>
          <w:numId w:val="34"/>
        </w:numPr>
        <w:tabs>
          <w:tab w:val="left" w:pos="1440"/>
        </w:tabs>
        <w:spacing w:before="240" w:after="240"/>
      </w:pPr>
      <w:r w:rsidRPr="000C5B99">
        <w:t xml:space="preserve">the vehicle has been hired for the carriage of five or more passengers, or </w:t>
      </w:r>
    </w:p>
    <w:p w14:paraId="1DBA9D56" w14:textId="77777777" w:rsidR="00175316" w:rsidRPr="007C7B25" w:rsidRDefault="00175316" w:rsidP="00175316">
      <w:pPr>
        <w:pStyle w:val="ListParagraph"/>
        <w:numPr>
          <w:ilvl w:val="2"/>
          <w:numId w:val="34"/>
        </w:numPr>
        <w:tabs>
          <w:tab w:val="left" w:pos="1440"/>
        </w:tabs>
        <w:spacing w:before="240" w:after="240"/>
        <w:ind w:left="2160" w:hanging="720"/>
      </w:pPr>
      <w:r w:rsidRPr="000C5B99">
        <w:t>a vehicle larger than a standard taxi is required, regardless of the number of passengers to be carried, except where the vehicle has been hired for the carriage of a person(s) who uses a wheelchair or other mobility aid.</w:t>
      </w:r>
    </w:p>
    <w:p w14:paraId="732B6222" w14:textId="5AB0CB26" w:rsidR="00890B60" w:rsidRPr="00A05AA8" w:rsidRDefault="00175316" w:rsidP="00D7353E">
      <w:pPr>
        <w:numPr>
          <w:ilvl w:val="1"/>
          <w:numId w:val="23"/>
        </w:numPr>
        <w:tabs>
          <w:tab w:val="left" w:pos="1440"/>
        </w:tabs>
        <w:spacing w:before="240" w:after="240"/>
        <w:ind w:left="1440" w:hanging="720"/>
      </w:pPr>
      <w:r>
        <w:t>Fo</w:t>
      </w:r>
      <w:r w:rsidRPr="00A05AA8">
        <w:t>r the purposes of clause 4.3</w:t>
      </w:r>
      <w:r>
        <w:t>.1</w:t>
      </w:r>
      <w:r w:rsidRPr="00A05AA8">
        <w:t xml:space="preserve"> above, children under the age of five years are not to be calculated as a passenger</w:t>
      </w:r>
      <w:r w:rsidR="00005B36">
        <w:t>.</w:t>
      </w:r>
    </w:p>
    <w:p w14:paraId="62609C4C" w14:textId="2AF6D75D" w:rsidR="00890B60" w:rsidRPr="00A05AA8" w:rsidRDefault="00890B60" w:rsidP="00D7353E">
      <w:pPr>
        <w:numPr>
          <w:ilvl w:val="1"/>
          <w:numId w:val="23"/>
        </w:numPr>
        <w:tabs>
          <w:tab w:val="left" w:pos="1440"/>
        </w:tabs>
        <w:spacing w:before="240" w:after="240"/>
        <w:ind w:left="1440" w:hanging="720"/>
      </w:pPr>
      <w:r w:rsidRPr="00A05AA8">
        <w:t>For the purposes of clause 4.3</w:t>
      </w:r>
      <w:r w:rsidR="00175316">
        <w:t>.</w:t>
      </w:r>
      <w:r w:rsidR="00005B36">
        <w:t>2</w:t>
      </w:r>
      <w:r w:rsidRPr="00A05AA8">
        <w:t xml:space="preserve"> above, </w:t>
      </w:r>
      <w:r w:rsidR="00005B36" w:rsidRPr="00005B36">
        <w:t>a standard taxi means a taxi with seating for up to four passengers and includes station wagon type vehicles</w:t>
      </w:r>
      <w:r w:rsidR="00005B36">
        <w:t>.</w:t>
      </w:r>
    </w:p>
    <w:tbl>
      <w:tblPr>
        <w:tblW w:w="0" w:type="auto"/>
        <w:tblInd w:w="1526" w:type="dxa"/>
        <w:tblCellMar>
          <w:left w:w="0" w:type="dxa"/>
          <w:right w:w="0" w:type="dxa"/>
        </w:tblCellMar>
        <w:tblLook w:val="04A0" w:firstRow="1" w:lastRow="0" w:firstColumn="1" w:lastColumn="0" w:noHBand="0" w:noVBand="1"/>
      </w:tblPr>
      <w:tblGrid>
        <w:gridCol w:w="2136"/>
        <w:gridCol w:w="4971"/>
      </w:tblGrid>
      <w:tr w:rsidR="00890B60" w:rsidRPr="00A05AA8" w14:paraId="299D6FEF" w14:textId="77777777" w:rsidTr="00367AF7">
        <w:tc>
          <w:tcPr>
            <w:tcW w:w="2136" w:type="dxa"/>
            <w:shd w:val="clear" w:color="auto" w:fill="4986A0"/>
            <w:tcMar>
              <w:top w:w="90" w:type="dxa"/>
              <w:left w:w="90" w:type="dxa"/>
              <w:bottom w:w="90" w:type="dxa"/>
              <w:right w:w="62" w:type="dxa"/>
            </w:tcMar>
            <w:hideMark/>
          </w:tcPr>
          <w:p w14:paraId="2F5909D2" w14:textId="77777777" w:rsidR="00890B60" w:rsidRPr="007E735A" w:rsidRDefault="00890B60" w:rsidP="00367AF7">
            <w:pPr>
              <w:keepNext/>
              <w:spacing w:line="240" w:lineRule="auto"/>
              <w:rPr>
                <w:color w:val="FFFFFF" w:themeColor="background1"/>
              </w:rPr>
            </w:pPr>
            <w:r w:rsidRPr="007E735A">
              <w:rPr>
                <w:b/>
                <w:bCs/>
                <w:color w:val="FFFFFF" w:themeColor="background1"/>
              </w:rPr>
              <w:t>Fare component</w:t>
            </w:r>
          </w:p>
        </w:tc>
        <w:tc>
          <w:tcPr>
            <w:tcW w:w="4971" w:type="dxa"/>
            <w:shd w:val="clear" w:color="auto" w:fill="4986A0"/>
            <w:tcMar>
              <w:top w:w="90" w:type="dxa"/>
              <w:left w:w="90" w:type="dxa"/>
              <w:bottom w:w="90" w:type="dxa"/>
              <w:right w:w="62" w:type="dxa"/>
            </w:tcMar>
            <w:hideMark/>
          </w:tcPr>
          <w:p w14:paraId="05DA7A96" w14:textId="77777777" w:rsidR="00890B60" w:rsidRPr="007E735A" w:rsidRDefault="00890B60" w:rsidP="00367AF7">
            <w:pPr>
              <w:keepNext/>
              <w:spacing w:line="240" w:lineRule="auto"/>
              <w:rPr>
                <w:color w:val="FFFFFF" w:themeColor="background1"/>
              </w:rPr>
            </w:pPr>
            <w:r w:rsidRPr="007E735A">
              <w:rPr>
                <w:b/>
                <w:bCs/>
                <w:color w:val="FFFFFF" w:themeColor="background1"/>
              </w:rPr>
              <w:t>Maximum charge</w:t>
            </w:r>
          </w:p>
        </w:tc>
      </w:tr>
      <w:tr w:rsidR="00890B60" w:rsidRPr="00A05AA8" w14:paraId="09D7700E" w14:textId="77777777" w:rsidTr="00367AF7">
        <w:tc>
          <w:tcPr>
            <w:tcW w:w="2136" w:type="dxa"/>
            <w:shd w:val="clear" w:color="auto" w:fill="F2F2F2"/>
            <w:tcMar>
              <w:top w:w="90" w:type="dxa"/>
              <w:left w:w="90" w:type="dxa"/>
              <w:bottom w:w="90" w:type="dxa"/>
              <w:right w:w="62" w:type="dxa"/>
            </w:tcMar>
            <w:hideMark/>
          </w:tcPr>
          <w:p w14:paraId="17DBFA72" w14:textId="77777777" w:rsidR="00890B60" w:rsidRPr="00A05AA8" w:rsidRDefault="00890B60" w:rsidP="00826308">
            <w:pPr>
              <w:keepNext/>
              <w:spacing w:before="0" w:line="240" w:lineRule="auto"/>
            </w:pPr>
            <w:r w:rsidRPr="00A05AA8">
              <w:t>Flagfall</w:t>
            </w:r>
          </w:p>
        </w:tc>
        <w:tc>
          <w:tcPr>
            <w:tcW w:w="4971" w:type="dxa"/>
            <w:shd w:val="clear" w:color="auto" w:fill="F2F2F2"/>
            <w:tcMar>
              <w:top w:w="90" w:type="dxa"/>
              <w:left w:w="90" w:type="dxa"/>
              <w:bottom w:w="90" w:type="dxa"/>
              <w:right w:w="62" w:type="dxa"/>
            </w:tcMar>
            <w:hideMark/>
          </w:tcPr>
          <w:p w14:paraId="6D2399FD" w14:textId="0EF8FA89" w:rsidR="00890B60" w:rsidRPr="00A05AA8" w:rsidRDefault="00890B60" w:rsidP="00826308">
            <w:pPr>
              <w:keepNext/>
              <w:spacing w:before="0" w:line="240" w:lineRule="auto"/>
            </w:pPr>
            <w:r w:rsidRPr="008A0D18">
              <w:t>$4.</w:t>
            </w:r>
            <w:r w:rsidR="00F34271" w:rsidRPr="008A0D18">
              <w:t>5</w:t>
            </w:r>
            <w:r w:rsidR="00005B36" w:rsidRPr="008A0D18">
              <w:t>0</w:t>
            </w:r>
          </w:p>
        </w:tc>
      </w:tr>
      <w:tr w:rsidR="00890B60" w:rsidRPr="00A05AA8" w14:paraId="493A3A31" w14:textId="77777777" w:rsidTr="00367AF7">
        <w:tc>
          <w:tcPr>
            <w:tcW w:w="2136" w:type="dxa"/>
            <w:shd w:val="clear" w:color="auto" w:fill="E3E4E4"/>
            <w:tcMar>
              <w:top w:w="90" w:type="dxa"/>
              <w:left w:w="90" w:type="dxa"/>
              <w:bottom w:w="90" w:type="dxa"/>
              <w:right w:w="62" w:type="dxa"/>
            </w:tcMar>
            <w:hideMark/>
          </w:tcPr>
          <w:p w14:paraId="28F2875A" w14:textId="023EB44C" w:rsidR="00890B60" w:rsidRPr="00A05AA8" w:rsidRDefault="00890B60" w:rsidP="00826308">
            <w:pPr>
              <w:keepNext/>
              <w:spacing w:before="0" w:line="240" w:lineRule="auto"/>
            </w:pPr>
            <w:r w:rsidRPr="00A05AA8">
              <w:t xml:space="preserve">Distance </w:t>
            </w:r>
            <w:r w:rsidR="009F6287">
              <w:t>r</w:t>
            </w:r>
            <w:r w:rsidRPr="00A05AA8">
              <w:t>ate</w:t>
            </w:r>
          </w:p>
        </w:tc>
        <w:tc>
          <w:tcPr>
            <w:tcW w:w="4971" w:type="dxa"/>
            <w:shd w:val="clear" w:color="auto" w:fill="E3E4E4"/>
            <w:tcMar>
              <w:top w:w="90" w:type="dxa"/>
              <w:left w:w="90" w:type="dxa"/>
              <w:bottom w:w="90" w:type="dxa"/>
              <w:right w:w="62" w:type="dxa"/>
            </w:tcMar>
            <w:hideMark/>
          </w:tcPr>
          <w:p w14:paraId="7B3F5F5C" w14:textId="65A06058" w:rsidR="00890B60" w:rsidRPr="00A05AA8" w:rsidRDefault="00890B60" w:rsidP="00826308">
            <w:pPr>
              <w:keepNext/>
              <w:spacing w:before="0" w:line="240" w:lineRule="auto"/>
            </w:pPr>
            <w:r w:rsidRPr="008A0D18">
              <w:t>$</w:t>
            </w:r>
            <w:r w:rsidR="00887F0A" w:rsidRPr="008A0D18">
              <w:t>3.</w:t>
            </w:r>
            <w:r w:rsidR="00F34271" w:rsidRPr="008A0D18">
              <w:t>111</w:t>
            </w:r>
            <w:r>
              <w:t xml:space="preserve"> </w:t>
            </w:r>
            <w:r w:rsidRPr="00A05AA8">
              <w:t xml:space="preserve">per kilometre at all times </w:t>
            </w:r>
          </w:p>
        </w:tc>
      </w:tr>
      <w:tr w:rsidR="00890B60" w:rsidRPr="00A05AA8" w14:paraId="3AFF12BC" w14:textId="77777777" w:rsidTr="00367AF7">
        <w:tc>
          <w:tcPr>
            <w:tcW w:w="2136" w:type="dxa"/>
            <w:shd w:val="clear" w:color="auto" w:fill="F2F2F2"/>
            <w:tcMar>
              <w:top w:w="90" w:type="dxa"/>
              <w:left w:w="90" w:type="dxa"/>
              <w:bottom w:w="90" w:type="dxa"/>
              <w:right w:w="62" w:type="dxa"/>
            </w:tcMar>
            <w:hideMark/>
          </w:tcPr>
          <w:p w14:paraId="59D747AF" w14:textId="3A976E20" w:rsidR="00890B60" w:rsidRPr="00A05AA8" w:rsidRDefault="00890B60" w:rsidP="00826308">
            <w:pPr>
              <w:keepNext/>
              <w:spacing w:before="0" w:line="240" w:lineRule="auto"/>
            </w:pPr>
            <w:r w:rsidRPr="00A05AA8">
              <w:t xml:space="preserve">Duration </w:t>
            </w:r>
            <w:r w:rsidR="009F6287">
              <w:t>r</w:t>
            </w:r>
            <w:r w:rsidRPr="00A05AA8">
              <w:t>ate</w:t>
            </w:r>
          </w:p>
        </w:tc>
        <w:tc>
          <w:tcPr>
            <w:tcW w:w="4971" w:type="dxa"/>
            <w:shd w:val="clear" w:color="auto" w:fill="F2F2F2"/>
            <w:tcMar>
              <w:top w:w="90" w:type="dxa"/>
              <w:left w:w="90" w:type="dxa"/>
              <w:bottom w:w="90" w:type="dxa"/>
              <w:right w:w="62" w:type="dxa"/>
            </w:tcMar>
            <w:hideMark/>
          </w:tcPr>
          <w:p w14:paraId="32E5F544" w14:textId="24074D42" w:rsidR="00890B60" w:rsidRPr="00A05AA8" w:rsidRDefault="00890B60" w:rsidP="00826308">
            <w:pPr>
              <w:keepNext/>
              <w:spacing w:before="0" w:line="240" w:lineRule="auto"/>
            </w:pPr>
            <w:r w:rsidRPr="008A0D18">
              <w:t>$0.</w:t>
            </w:r>
            <w:r w:rsidR="00D113F6" w:rsidRPr="008A0D18">
              <w:t>6</w:t>
            </w:r>
            <w:r w:rsidR="00887F0A" w:rsidRPr="008A0D18">
              <w:t>7</w:t>
            </w:r>
            <w:r w:rsidR="00F34271" w:rsidRPr="008A0D18">
              <w:t>4</w:t>
            </w:r>
            <w:r>
              <w:t xml:space="preserve"> </w:t>
            </w:r>
            <w:r w:rsidRPr="00A05AA8">
              <w:t xml:space="preserve">per minute at all times </w:t>
            </w:r>
          </w:p>
        </w:tc>
      </w:tr>
    </w:tbl>
    <w:p w14:paraId="667E98C0" w14:textId="77777777" w:rsidR="00890B60" w:rsidRPr="00A05AA8" w:rsidRDefault="00890B60" w:rsidP="001712AA">
      <w:pPr>
        <w:spacing w:before="0"/>
      </w:pPr>
    </w:p>
    <w:p w14:paraId="21B6F184" w14:textId="77777777" w:rsidR="00890B60" w:rsidRPr="00A05AA8" w:rsidRDefault="00890B60" w:rsidP="00D7353E">
      <w:pPr>
        <w:numPr>
          <w:ilvl w:val="0"/>
          <w:numId w:val="24"/>
        </w:numPr>
        <w:pBdr>
          <w:left w:val="none" w:sz="0" w:space="21" w:color="auto"/>
        </w:pBdr>
        <w:spacing w:before="240" w:after="0"/>
        <w:ind w:hanging="720"/>
        <w:rPr>
          <w:b/>
          <w:bCs/>
        </w:rPr>
      </w:pPr>
      <w:r w:rsidRPr="00A05AA8">
        <w:rPr>
          <w:b/>
          <w:bCs/>
        </w:rPr>
        <w:t>CPV Service Levy Recovery Fee</w:t>
      </w:r>
      <w:r w:rsidRPr="00A05AA8">
        <w:rPr>
          <w:rFonts w:ascii="Arial" w:eastAsia="Arial" w:hAnsi="Arial" w:cs="Arial"/>
          <w:sz w:val="18"/>
          <w:szCs w:val="18"/>
          <w:vertAlign w:val="superscript"/>
        </w:rPr>
        <w:footnoteReference w:id="11"/>
      </w:r>
    </w:p>
    <w:p w14:paraId="025C20C9" w14:textId="5E68830A" w:rsidR="00890B60" w:rsidRPr="00A05AA8" w:rsidRDefault="00890B60" w:rsidP="00D7353E">
      <w:pPr>
        <w:numPr>
          <w:ilvl w:val="1"/>
          <w:numId w:val="24"/>
        </w:numPr>
        <w:spacing w:before="240" w:after="0"/>
        <w:ind w:hanging="720"/>
      </w:pPr>
      <w:r w:rsidRPr="00A05AA8">
        <w:t>The driver of an unbooked commercial passenger vehicle may charge the hirer a CPV Service Levy Recovery Fee of up to the maximum charge</w:t>
      </w:r>
      <w:r w:rsidR="00F95FFD">
        <w:t>.</w:t>
      </w:r>
      <w:r w:rsidR="00887F0A">
        <w:rPr>
          <w:rStyle w:val="FootnoteReference"/>
        </w:rPr>
        <w:footnoteReference w:id="12"/>
      </w:r>
    </w:p>
    <w:p w14:paraId="23626B9B" w14:textId="77777777" w:rsidR="00890B60" w:rsidRPr="00A05AA8" w:rsidRDefault="00890B60" w:rsidP="00D7353E">
      <w:pPr>
        <w:numPr>
          <w:ilvl w:val="1"/>
          <w:numId w:val="24"/>
        </w:numPr>
        <w:spacing w:before="240" w:after="0"/>
        <w:ind w:hanging="720"/>
      </w:pPr>
      <w:r w:rsidRPr="00A05AA8">
        <w:t xml:space="preserve">The maximum charge for a CPV Service Levy Recovery Fee is equal to the amount of the levy for a commercial passenger vehicle service transaction as provided for in </w:t>
      </w:r>
      <w:r w:rsidRPr="00A05AA8">
        <w:lastRenderedPageBreak/>
        <w:t xml:space="preserve">the </w:t>
      </w:r>
      <w:r w:rsidRPr="00A05AA8">
        <w:rPr>
          <w:i/>
          <w:iCs/>
        </w:rPr>
        <w:t>Commercial Passenger Vehicle Industry Act 2017</w:t>
      </w:r>
      <w:r w:rsidRPr="00A05AA8">
        <w:t xml:space="preserve"> or regulations made thereunder,</w:t>
      </w:r>
      <w:r w:rsidRPr="00A05AA8">
        <w:rPr>
          <w:rFonts w:ascii="Arial" w:eastAsia="Arial" w:hAnsi="Arial" w:cs="Arial"/>
          <w:sz w:val="18"/>
          <w:szCs w:val="18"/>
          <w:vertAlign w:val="superscript"/>
        </w:rPr>
        <w:footnoteReference w:id="13"/>
      </w:r>
      <w:r w:rsidRPr="00A05AA8">
        <w:t xml:space="preserve"> plus 10 per cent GST</w:t>
      </w:r>
      <w:r>
        <w:t>.</w:t>
      </w:r>
    </w:p>
    <w:p w14:paraId="11C6CFB6" w14:textId="77777777" w:rsidR="00890B60" w:rsidRPr="00A05AA8" w:rsidRDefault="00890B60" w:rsidP="00D7353E">
      <w:pPr>
        <w:numPr>
          <w:ilvl w:val="1"/>
          <w:numId w:val="24"/>
        </w:numPr>
        <w:spacing w:before="240" w:after="0"/>
        <w:ind w:hanging="720"/>
      </w:pPr>
      <w:r w:rsidRPr="00A05AA8">
        <w:t xml:space="preserve">If applied, the CPV Service Levy Recovery Fee is to be itemised as a charge on the receipt provided to the hirer. </w:t>
      </w:r>
    </w:p>
    <w:p w14:paraId="131B3EA7" w14:textId="77777777" w:rsidR="00890B60" w:rsidRPr="00A05AA8" w:rsidRDefault="00890B60" w:rsidP="00D7353E">
      <w:pPr>
        <w:numPr>
          <w:ilvl w:val="0"/>
          <w:numId w:val="24"/>
        </w:numPr>
        <w:pBdr>
          <w:left w:val="none" w:sz="0" w:space="21" w:color="auto"/>
        </w:pBdr>
        <w:spacing w:before="240" w:after="0"/>
        <w:ind w:hanging="720"/>
        <w:rPr>
          <w:b/>
          <w:bCs/>
        </w:rPr>
      </w:pPr>
      <w:r w:rsidRPr="00A05AA8">
        <w:rPr>
          <w:b/>
          <w:bCs/>
        </w:rPr>
        <w:t>Late Night Fee</w:t>
      </w:r>
    </w:p>
    <w:p w14:paraId="173F55BA" w14:textId="5D29F611" w:rsidR="00890B60" w:rsidRPr="00A05AA8" w:rsidRDefault="00890B60" w:rsidP="00D7353E">
      <w:pPr>
        <w:numPr>
          <w:ilvl w:val="1"/>
          <w:numId w:val="24"/>
        </w:numPr>
        <w:spacing w:before="240" w:after="0"/>
        <w:ind w:hanging="720"/>
      </w:pPr>
      <w:r w:rsidRPr="00A05AA8">
        <w:t xml:space="preserve">A late night fee of up to </w:t>
      </w:r>
      <w:r w:rsidRPr="008A0D18">
        <w:t>$</w:t>
      </w:r>
      <w:r w:rsidR="00887F0A" w:rsidRPr="008A0D18">
        <w:t>4</w:t>
      </w:r>
      <w:r w:rsidRPr="008A0D18">
        <w:t>.</w:t>
      </w:r>
      <w:r w:rsidR="00F34271" w:rsidRPr="008A0D18">
        <w:t>30</w:t>
      </w:r>
      <w:r>
        <w:t xml:space="preserve"> </w:t>
      </w:r>
      <w:r w:rsidRPr="00A05AA8">
        <w:t>may be applied to hirings that commence between the hours of 7</w:t>
      </w:r>
      <w:r w:rsidR="0048014A">
        <w:t xml:space="preserve"> </w:t>
      </w:r>
      <w:r w:rsidRPr="00A05AA8">
        <w:t>pm on Friday and 6</w:t>
      </w:r>
      <w:r w:rsidR="0048014A">
        <w:t xml:space="preserve"> </w:t>
      </w:r>
      <w:r w:rsidRPr="00A05AA8">
        <w:t>am on Saturday, 7</w:t>
      </w:r>
      <w:r w:rsidR="0048014A">
        <w:t xml:space="preserve"> </w:t>
      </w:r>
      <w:r w:rsidRPr="00A05AA8">
        <w:t>pm on Saturday and 6</w:t>
      </w:r>
      <w:r w:rsidR="00075E35">
        <w:t xml:space="preserve"> </w:t>
      </w:r>
      <w:r w:rsidRPr="00A05AA8">
        <w:t>am on Sunday, and between the hours of midnight and 6</w:t>
      </w:r>
      <w:r w:rsidR="0048014A">
        <w:t xml:space="preserve"> </w:t>
      </w:r>
      <w:r w:rsidRPr="00A05AA8">
        <w:t>am on all other days. If applied, the late night fee must be entered and displayed on the fare calculation device at the commencement of the hiring.</w:t>
      </w:r>
    </w:p>
    <w:p w14:paraId="73C877DD" w14:textId="77777777" w:rsidR="00890B60" w:rsidRPr="00A05AA8" w:rsidRDefault="00890B60" w:rsidP="00D7353E">
      <w:pPr>
        <w:numPr>
          <w:ilvl w:val="0"/>
          <w:numId w:val="24"/>
        </w:numPr>
        <w:pBdr>
          <w:left w:val="none" w:sz="0" w:space="21" w:color="auto"/>
        </w:pBdr>
        <w:spacing w:before="240" w:after="0"/>
        <w:ind w:hanging="720"/>
        <w:rPr>
          <w:b/>
          <w:bCs/>
        </w:rPr>
      </w:pPr>
      <w:r w:rsidRPr="00A05AA8">
        <w:rPr>
          <w:b/>
          <w:bCs/>
        </w:rPr>
        <w:t>Holiday Surcharge</w:t>
      </w:r>
    </w:p>
    <w:p w14:paraId="6CAB5B6F" w14:textId="1AA13046" w:rsidR="00890B60" w:rsidRDefault="00890B60" w:rsidP="00D7353E">
      <w:pPr>
        <w:numPr>
          <w:ilvl w:val="1"/>
          <w:numId w:val="24"/>
        </w:numPr>
        <w:spacing w:before="240" w:after="0"/>
        <w:ind w:hanging="720"/>
      </w:pPr>
      <w:r w:rsidRPr="00A05AA8">
        <w:t xml:space="preserve">A holiday surcharge of up to </w:t>
      </w:r>
      <w:r w:rsidRPr="008A0D18">
        <w:t>$</w:t>
      </w:r>
      <w:r w:rsidR="00887F0A" w:rsidRPr="008A0D18">
        <w:t>5</w:t>
      </w:r>
      <w:r w:rsidRPr="008A0D18">
        <w:t>.</w:t>
      </w:r>
      <w:r w:rsidR="00F34271" w:rsidRPr="008A0D18">
        <w:t>25</w:t>
      </w:r>
      <w:r w:rsidR="00F34271">
        <w:t xml:space="preserve"> </w:t>
      </w:r>
      <w:r w:rsidRPr="00A05AA8">
        <w:t>may be applied:</w:t>
      </w:r>
    </w:p>
    <w:p w14:paraId="04DF9ECC" w14:textId="77777777" w:rsidR="00890B60" w:rsidRDefault="00890B60" w:rsidP="00D7353E">
      <w:pPr>
        <w:numPr>
          <w:ilvl w:val="2"/>
          <w:numId w:val="30"/>
        </w:numPr>
        <w:spacing w:before="240" w:after="0"/>
        <w:ind w:left="2127" w:hanging="709"/>
      </w:pPr>
      <w:r w:rsidRPr="00A05AA8">
        <w:t>all day on Christmas Day;</w:t>
      </w:r>
    </w:p>
    <w:p w14:paraId="11DBBA20" w14:textId="77777777" w:rsidR="00890B60" w:rsidRDefault="00890B60" w:rsidP="00D7353E">
      <w:pPr>
        <w:numPr>
          <w:ilvl w:val="2"/>
          <w:numId w:val="30"/>
        </w:numPr>
        <w:spacing w:before="240" w:after="0"/>
        <w:ind w:left="2127" w:hanging="709"/>
      </w:pPr>
      <w:r>
        <w:t>all day on Boxing Day;</w:t>
      </w:r>
    </w:p>
    <w:p w14:paraId="35801213" w14:textId="3CC2E7DF" w:rsidR="00890B60" w:rsidRPr="0013489D" w:rsidRDefault="00890B60" w:rsidP="00D7353E">
      <w:pPr>
        <w:pStyle w:val="ListParagraph"/>
        <w:numPr>
          <w:ilvl w:val="2"/>
          <w:numId w:val="30"/>
        </w:numPr>
        <w:ind w:left="2127" w:hanging="709"/>
      </w:pPr>
      <w:r w:rsidRPr="0013489D">
        <w:t>from 6</w:t>
      </w:r>
      <w:r w:rsidR="00B75A48">
        <w:t xml:space="preserve"> </w:t>
      </w:r>
      <w:r w:rsidRPr="0013489D">
        <w:t>pm on New Year’s Eve until midnight at the end of New Year’s Day;</w:t>
      </w:r>
    </w:p>
    <w:p w14:paraId="0D424270" w14:textId="138E1597" w:rsidR="00890B60" w:rsidRPr="0013489D" w:rsidRDefault="00890B60" w:rsidP="00D7353E">
      <w:pPr>
        <w:numPr>
          <w:ilvl w:val="2"/>
          <w:numId w:val="30"/>
        </w:numPr>
        <w:spacing w:before="240" w:after="0"/>
        <w:ind w:left="2127" w:hanging="709"/>
      </w:pPr>
      <w:r>
        <w:t>from 7</w:t>
      </w:r>
      <w:r w:rsidR="00B75A48">
        <w:t xml:space="preserve"> </w:t>
      </w:r>
      <w:r>
        <w:t>pm on the evenings prior to every other Victorian public holiday until 6</w:t>
      </w:r>
      <w:r w:rsidR="00B75A48">
        <w:t> </w:t>
      </w:r>
      <w:r>
        <w:t>am on the morning of the public holiday.</w:t>
      </w:r>
    </w:p>
    <w:p w14:paraId="41FB8CDE" w14:textId="174E1840" w:rsidR="00890B60" w:rsidRPr="00A05AA8" w:rsidRDefault="00890B60" w:rsidP="00D7353E">
      <w:pPr>
        <w:numPr>
          <w:ilvl w:val="1"/>
          <w:numId w:val="25"/>
        </w:numPr>
        <w:spacing w:before="240" w:after="0"/>
        <w:ind w:hanging="731"/>
      </w:pPr>
      <w:r w:rsidRPr="00A05AA8">
        <w:t xml:space="preserve">For the purposes of this clause, public holidays are defined as per the </w:t>
      </w:r>
      <w:r w:rsidRPr="00A05AA8">
        <w:rPr>
          <w:i/>
          <w:iCs/>
        </w:rPr>
        <w:t>Public Holidays Act 1993</w:t>
      </w:r>
      <w:r>
        <w:t xml:space="preserve"> </w:t>
      </w:r>
      <w:r w:rsidRPr="00A05AA8">
        <w:t xml:space="preserve">and: </w:t>
      </w:r>
    </w:p>
    <w:p w14:paraId="6A57F3BE" w14:textId="77777777" w:rsidR="00890B60" w:rsidRPr="00A05AA8" w:rsidRDefault="00890B60" w:rsidP="001F626A">
      <w:pPr>
        <w:numPr>
          <w:ilvl w:val="2"/>
          <w:numId w:val="26"/>
        </w:numPr>
        <w:spacing w:before="240" w:after="0"/>
        <w:ind w:left="1797" w:hanging="357"/>
      </w:pPr>
      <w:r w:rsidRPr="00A05AA8">
        <w:t>include:</w:t>
      </w:r>
    </w:p>
    <w:p w14:paraId="4B2EAAB9" w14:textId="2A051742" w:rsidR="00890B60" w:rsidRPr="00A05AA8" w:rsidRDefault="00890B60" w:rsidP="006B0C61">
      <w:pPr>
        <w:pBdr>
          <w:left w:val="none" w:sz="0" w:space="7" w:color="auto"/>
        </w:pBdr>
        <w:tabs>
          <w:tab w:val="left" w:pos="3680"/>
        </w:tabs>
        <w:spacing w:before="240" w:after="0"/>
        <w:ind w:left="2512" w:hanging="357"/>
        <w:rPr>
          <w:rFonts w:ascii="Times New Roman" w:eastAsia="Times New Roman" w:hAnsi="Times New Roman" w:cs="Times New Roman"/>
        </w:rPr>
      </w:pPr>
      <w:r>
        <w:t xml:space="preserve">a.   </w:t>
      </w:r>
      <w:r w:rsidRPr="008E7D2B">
        <w:rPr>
          <w:rStyle w:val="ListLettersChar"/>
        </w:rPr>
        <w:t>additional public holidays, as per Section 7 of the Public Holidays Act 1993; and</w:t>
      </w:r>
    </w:p>
    <w:p w14:paraId="585847DC" w14:textId="38EA58F5" w:rsidR="00890B60" w:rsidRPr="00A05AA8" w:rsidRDefault="00890B60" w:rsidP="00705AF2">
      <w:pPr>
        <w:pBdr>
          <w:left w:val="none" w:sz="0" w:space="7" w:color="auto"/>
        </w:pBdr>
        <w:tabs>
          <w:tab w:val="left" w:pos="3680"/>
        </w:tabs>
        <w:spacing w:before="240" w:after="0"/>
        <w:ind w:left="2512" w:hanging="357"/>
        <w:rPr>
          <w:rFonts w:ascii="Times New Roman" w:eastAsia="Times New Roman" w:hAnsi="Times New Roman" w:cs="Times New Roman"/>
        </w:rPr>
      </w:pPr>
      <w:r>
        <w:lastRenderedPageBreak/>
        <w:t xml:space="preserve">b.   </w:t>
      </w:r>
      <w:r w:rsidRPr="00A05AA8">
        <w:t xml:space="preserve">days that the Minister has appointed as a substitute holiday for Melbourne Cup Day for the relevant non-metropolitan Council, as per Section 8A of the </w:t>
      </w:r>
      <w:r w:rsidRPr="00A05AA8">
        <w:rPr>
          <w:i/>
          <w:iCs/>
        </w:rPr>
        <w:t>Public Holidays Act 1993</w:t>
      </w:r>
      <w:r w:rsidRPr="00A05AA8">
        <w:t>;</w:t>
      </w:r>
      <w:r w:rsidRPr="00A05AA8">
        <w:rPr>
          <w:rFonts w:ascii="Arial" w:eastAsia="Arial" w:hAnsi="Arial" w:cs="Arial"/>
          <w:sz w:val="18"/>
          <w:szCs w:val="18"/>
          <w:vertAlign w:val="superscript"/>
        </w:rPr>
        <w:footnoteReference w:id="14"/>
      </w:r>
    </w:p>
    <w:p w14:paraId="4DC995CB" w14:textId="77777777" w:rsidR="00890B60" w:rsidRPr="00A05AA8" w:rsidRDefault="00890B60" w:rsidP="001F626A">
      <w:pPr>
        <w:numPr>
          <w:ilvl w:val="2"/>
          <w:numId w:val="27"/>
        </w:numPr>
        <w:spacing w:before="240" w:after="0"/>
        <w:ind w:left="1797" w:hanging="357"/>
      </w:pPr>
      <w:r w:rsidRPr="00A05AA8">
        <w:t>exclude:</w:t>
      </w:r>
    </w:p>
    <w:p w14:paraId="4984628A" w14:textId="77777777" w:rsidR="00890B60" w:rsidRPr="00A05AA8" w:rsidRDefault="00890B60" w:rsidP="00FE1FD9">
      <w:pPr>
        <w:numPr>
          <w:ilvl w:val="3"/>
          <w:numId w:val="28"/>
        </w:numPr>
        <w:pBdr>
          <w:left w:val="none" w:sz="0" w:space="7" w:color="auto"/>
        </w:pBdr>
        <w:tabs>
          <w:tab w:val="left" w:pos="3680"/>
        </w:tabs>
        <w:spacing w:before="240" w:after="0"/>
        <w:ind w:left="2512" w:hanging="357"/>
        <w:rPr>
          <w:rFonts w:ascii="Times New Roman" w:eastAsia="Times New Roman" w:hAnsi="Times New Roman" w:cs="Times New Roman"/>
        </w:rPr>
      </w:pPr>
      <w:r w:rsidRPr="00A05AA8">
        <w:t>the Monday after 1 January (New Year’s Day) when New Year’s Day is a Saturday or Sunday;</w:t>
      </w:r>
    </w:p>
    <w:p w14:paraId="76C52125" w14:textId="77777777" w:rsidR="00890B60" w:rsidRPr="00A05AA8" w:rsidRDefault="00890B60" w:rsidP="00AC42A2">
      <w:pPr>
        <w:numPr>
          <w:ilvl w:val="3"/>
          <w:numId w:val="28"/>
        </w:numPr>
        <w:pBdr>
          <w:left w:val="none" w:sz="0" w:space="7" w:color="auto"/>
        </w:pBdr>
        <w:tabs>
          <w:tab w:val="left" w:pos="3680"/>
        </w:tabs>
        <w:spacing w:before="240" w:after="0"/>
        <w:ind w:left="2512" w:hanging="357"/>
        <w:rPr>
          <w:rFonts w:ascii="Times New Roman" w:eastAsia="Times New Roman" w:hAnsi="Times New Roman" w:cs="Times New Roman"/>
        </w:rPr>
      </w:pPr>
      <w:r w:rsidRPr="00A05AA8">
        <w:t>the Monday after Christmas Day when Christmas Day is a Saturday and the Tuesday after Christmas Day when Christmas Day is a Sunday; and</w:t>
      </w:r>
    </w:p>
    <w:p w14:paraId="0395808E" w14:textId="77777777" w:rsidR="00890B60" w:rsidRPr="00A05AA8" w:rsidRDefault="00890B60" w:rsidP="00AC42A2">
      <w:pPr>
        <w:numPr>
          <w:ilvl w:val="3"/>
          <w:numId w:val="28"/>
        </w:numPr>
        <w:pBdr>
          <w:left w:val="none" w:sz="0" w:space="7" w:color="auto"/>
        </w:pBdr>
        <w:tabs>
          <w:tab w:val="left" w:pos="3680"/>
        </w:tabs>
        <w:spacing w:before="240" w:after="0"/>
        <w:ind w:left="2512" w:hanging="357"/>
        <w:rPr>
          <w:rFonts w:ascii="Times New Roman" w:eastAsia="Times New Roman" w:hAnsi="Times New Roman" w:cs="Times New Roman"/>
        </w:rPr>
      </w:pPr>
      <w:r w:rsidRPr="00A05AA8">
        <w:t>the Monday after 26 December (Boxing Day) when Boxing Day is a Saturday and the Tuesday after Boxing Day when Boxing Day is a Sunday.</w:t>
      </w:r>
    </w:p>
    <w:p w14:paraId="197181A8" w14:textId="77777777" w:rsidR="00890B60" w:rsidRPr="00A05AA8" w:rsidRDefault="00890B60" w:rsidP="00D7353E">
      <w:pPr>
        <w:numPr>
          <w:ilvl w:val="1"/>
          <w:numId w:val="25"/>
        </w:numPr>
        <w:spacing w:before="240" w:after="0"/>
        <w:ind w:hanging="720"/>
      </w:pPr>
      <w:r w:rsidRPr="00A05AA8">
        <w:t>Where the Minister appoints a substitute public holiday for Melbourne Cup Day in a non-metropolitan Council, a holiday surcharge must not be charged in relation to Melbourne Cup Day in that non-metropolitan Council.</w:t>
      </w:r>
    </w:p>
    <w:p w14:paraId="3287DB1B" w14:textId="77777777" w:rsidR="00890B60" w:rsidRPr="00A05AA8" w:rsidRDefault="00890B60" w:rsidP="00D7353E">
      <w:pPr>
        <w:numPr>
          <w:ilvl w:val="1"/>
          <w:numId w:val="25"/>
        </w:numPr>
        <w:spacing w:before="240" w:after="0"/>
        <w:ind w:hanging="720"/>
      </w:pPr>
      <w:r w:rsidRPr="00A05AA8">
        <w:t>The late night fee must not be applied in addition to the holiday surcharge.</w:t>
      </w:r>
    </w:p>
    <w:p w14:paraId="20ED62D1" w14:textId="77777777" w:rsidR="00890B60" w:rsidRPr="00A05AA8" w:rsidRDefault="00890B60" w:rsidP="00D7353E">
      <w:pPr>
        <w:keepNext/>
        <w:numPr>
          <w:ilvl w:val="0"/>
          <w:numId w:val="30"/>
        </w:numPr>
        <w:pBdr>
          <w:left w:val="none" w:sz="0" w:space="21" w:color="auto"/>
        </w:pBdr>
        <w:spacing w:before="240" w:after="0"/>
        <w:ind w:hanging="720"/>
        <w:rPr>
          <w:b/>
          <w:bCs/>
        </w:rPr>
      </w:pPr>
      <w:r w:rsidRPr="00A05AA8">
        <w:rPr>
          <w:b/>
          <w:bCs/>
        </w:rPr>
        <w:t>CityLink and EastLink Tolls</w:t>
      </w:r>
    </w:p>
    <w:p w14:paraId="4DF4B4C1" w14:textId="375F16BB" w:rsidR="00890B60" w:rsidRPr="00A05AA8" w:rsidRDefault="00890B60" w:rsidP="00D7353E">
      <w:pPr>
        <w:numPr>
          <w:ilvl w:val="1"/>
          <w:numId w:val="30"/>
        </w:numPr>
        <w:spacing w:before="240" w:after="0"/>
        <w:ind w:hanging="720"/>
      </w:pPr>
      <w:r w:rsidRPr="00A05AA8">
        <w:t xml:space="preserve">The driver of an unbooked commercial passenger vehicle carrying a passenger or parcel on a toll road (CityLink or EastLink), providing an applicable unbooked service, is authorised to charge the hirer an amount up to the appropriate toll payable by the driver for using the section(s) of that toll road to provide the applicable unbooked service (as published from time to time in the Victorian Government Gazette in accordance with the </w:t>
      </w:r>
      <w:r w:rsidRPr="00A05AA8">
        <w:rPr>
          <w:i/>
          <w:iCs/>
        </w:rPr>
        <w:t>Melbourne City Link Act 1995</w:t>
      </w:r>
      <w:r>
        <w:t xml:space="preserve"> </w:t>
      </w:r>
      <w:r w:rsidRPr="00A05AA8">
        <w:t xml:space="preserve">or the </w:t>
      </w:r>
      <w:r w:rsidRPr="00A05AA8">
        <w:rPr>
          <w:i/>
          <w:iCs/>
        </w:rPr>
        <w:t>EastLink Project Act 2004</w:t>
      </w:r>
      <w:r>
        <w:t xml:space="preserve"> </w:t>
      </w:r>
      <w:r w:rsidRPr="00A05AA8">
        <w:t>as applicable).</w:t>
      </w:r>
    </w:p>
    <w:p w14:paraId="3FC73F3B" w14:textId="4CE0C6DD" w:rsidR="00890B60" w:rsidRPr="00A05AA8" w:rsidRDefault="00890B60" w:rsidP="00D7353E">
      <w:pPr>
        <w:numPr>
          <w:ilvl w:val="1"/>
          <w:numId w:val="30"/>
        </w:numPr>
        <w:spacing w:before="240" w:after="0"/>
        <w:ind w:hanging="720"/>
      </w:pPr>
      <w:r w:rsidRPr="00A05AA8">
        <w:t>Hirers must be given the choice of using or not using a toll road if a toll road is one of the route options available for that trip.</w:t>
      </w:r>
    </w:p>
    <w:p w14:paraId="59D1A295" w14:textId="77777777" w:rsidR="00890B60" w:rsidRPr="00A05AA8" w:rsidRDefault="00890B60" w:rsidP="001712AA">
      <w:pPr>
        <w:keepNext/>
        <w:keepLines/>
        <w:numPr>
          <w:ilvl w:val="0"/>
          <w:numId w:val="30"/>
        </w:numPr>
        <w:pBdr>
          <w:left w:val="none" w:sz="0" w:space="21" w:color="auto"/>
        </w:pBdr>
        <w:spacing w:before="240" w:after="0"/>
        <w:ind w:hanging="720"/>
        <w:rPr>
          <w:b/>
          <w:bCs/>
        </w:rPr>
      </w:pPr>
      <w:r w:rsidRPr="00A05AA8">
        <w:rPr>
          <w:b/>
          <w:bCs/>
        </w:rPr>
        <w:lastRenderedPageBreak/>
        <w:t>Airport Taxi Rank Fee</w:t>
      </w:r>
    </w:p>
    <w:p w14:paraId="5A571A66" w14:textId="52086DDD" w:rsidR="00890B60" w:rsidRPr="00A05AA8" w:rsidRDefault="00890B60" w:rsidP="001712AA">
      <w:pPr>
        <w:keepLines/>
        <w:numPr>
          <w:ilvl w:val="1"/>
          <w:numId w:val="30"/>
        </w:numPr>
        <w:spacing w:before="240" w:after="0"/>
        <w:ind w:hanging="720"/>
      </w:pPr>
      <w:r w:rsidRPr="00A05AA8">
        <w:rPr>
          <w:b/>
          <w:bCs/>
        </w:rPr>
        <w:t>Melbourne Airport taxi rank fee</w:t>
      </w:r>
      <w:r w:rsidRPr="00A05AA8">
        <w:t>. The driver of an unbooked commercial passenger vehicle who accepts a hiring from the Melbourne Airport taxi rank, after that driver has paid for the use of the Melbourne Airport taxi rank queuing facilities and/or waiting bays, is authorised to charge the hirer an Airport Taxi Rank Fee of an amount up to the Melbourne Airport Access Fee payable by the driver for using that taxi rank as published from time to time by Melbourne Airport in a daily newspaper generally circulating in Victoria and on Melbourne Airport’s website.</w:t>
      </w:r>
    </w:p>
    <w:p w14:paraId="5A9CA6F3" w14:textId="40B1358C" w:rsidR="00890B60" w:rsidRPr="00A05AA8" w:rsidRDefault="00890B60" w:rsidP="001712AA">
      <w:pPr>
        <w:keepLines/>
        <w:numPr>
          <w:ilvl w:val="1"/>
          <w:numId w:val="30"/>
        </w:numPr>
        <w:spacing w:before="240" w:after="0"/>
        <w:ind w:hanging="720"/>
      </w:pPr>
      <w:r w:rsidRPr="00A05AA8">
        <w:rPr>
          <w:b/>
          <w:bCs/>
        </w:rPr>
        <w:t>Avalon Airport taxi rank fee</w:t>
      </w:r>
      <w:r w:rsidRPr="00A05AA8">
        <w:t xml:space="preserve">. The driver of an unbooked commercial passenger vehicle who accepts a hiring from the Avalon Airport taxi rank, after that driver has paid for the use of the Avalon Airport taxi rank queuing facilities and/or waiting bays, is authorised to charge the hirer an Airport Taxi Rank Fee of an amount up to the Avalon Airport Taxi Rank Fee payable by the driver for using that taxi rank as published from time to time by Avalon Airport in a daily newspaper generally circulating in Victoria and on Avalon Airport’s website. </w:t>
      </w:r>
    </w:p>
    <w:p w14:paraId="46BDA7B2" w14:textId="77777777" w:rsidR="00890B60" w:rsidRPr="00A05AA8" w:rsidRDefault="00890B60" w:rsidP="00D7353E">
      <w:pPr>
        <w:numPr>
          <w:ilvl w:val="0"/>
          <w:numId w:val="30"/>
        </w:numPr>
        <w:pBdr>
          <w:left w:val="none" w:sz="0" w:space="15" w:color="auto"/>
        </w:pBdr>
        <w:spacing w:before="240" w:after="0"/>
        <w:ind w:hanging="720"/>
        <w:rPr>
          <w:b/>
          <w:bCs/>
        </w:rPr>
      </w:pPr>
      <w:r w:rsidRPr="00A05AA8">
        <w:rPr>
          <w:b/>
          <w:bCs/>
        </w:rPr>
        <w:t>Cleaning fee</w:t>
      </w:r>
    </w:p>
    <w:p w14:paraId="74D73552" w14:textId="77777777" w:rsidR="00890B60" w:rsidRPr="00A05AA8" w:rsidRDefault="00890B60" w:rsidP="00D7353E">
      <w:pPr>
        <w:numPr>
          <w:ilvl w:val="1"/>
          <w:numId w:val="30"/>
        </w:numPr>
        <w:spacing w:before="240" w:after="0"/>
        <w:ind w:hanging="720"/>
      </w:pPr>
      <w:r w:rsidRPr="00A05AA8">
        <w:t xml:space="preserve">The driver may charge a reasonable cleaning fee of up to a maximum of </w:t>
      </w:r>
      <w:r w:rsidRPr="000A0F0F">
        <w:t>$120</w:t>
      </w:r>
      <w:r w:rsidRPr="00A05AA8">
        <w:t xml:space="preserve"> if a passenger soils the vehicle with food, drink, or bodily fluids. </w:t>
      </w:r>
    </w:p>
    <w:p w14:paraId="7F258CF0" w14:textId="77777777" w:rsidR="00890B60" w:rsidRPr="00A05AA8" w:rsidRDefault="00890B60" w:rsidP="00D7353E">
      <w:pPr>
        <w:numPr>
          <w:ilvl w:val="1"/>
          <w:numId w:val="30"/>
        </w:numPr>
        <w:spacing w:before="240" w:after="0"/>
        <w:ind w:hanging="720"/>
      </w:pPr>
      <w:r w:rsidRPr="00A05AA8">
        <w:t>If applied, the cleaning fee should be itemised as a charge on the receipt provided to the hirer.</w:t>
      </w:r>
    </w:p>
    <w:p w14:paraId="5E9CC0A8" w14:textId="55F7E198" w:rsidR="00890B60" w:rsidRPr="00A05AA8" w:rsidRDefault="00890B60" w:rsidP="00D7353E">
      <w:pPr>
        <w:keepNext/>
        <w:numPr>
          <w:ilvl w:val="0"/>
          <w:numId w:val="30"/>
        </w:numPr>
        <w:pBdr>
          <w:left w:val="none" w:sz="0" w:space="15" w:color="auto"/>
        </w:pBdr>
        <w:spacing w:before="240" w:after="0"/>
        <w:ind w:hanging="720"/>
        <w:rPr>
          <w:b/>
          <w:bCs/>
        </w:rPr>
      </w:pPr>
      <w:r w:rsidRPr="00A05AA8">
        <w:rPr>
          <w:b/>
          <w:bCs/>
        </w:rPr>
        <w:t xml:space="preserve">Further </w:t>
      </w:r>
      <w:r w:rsidR="00963755">
        <w:rPr>
          <w:b/>
          <w:bCs/>
        </w:rPr>
        <w:t>c</w:t>
      </w:r>
      <w:r w:rsidRPr="00A05AA8">
        <w:rPr>
          <w:b/>
          <w:bCs/>
        </w:rPr>
        <w:t>onditions</w:t>
      </w:r>
    </w:p>
    <w:p w14:paraId="3E97D568" w14:textId="6D256FD4" w:rsidR="00890B60" w:rsidRDefault="00890B60" w:rsidP="00D7353E">
      <w:pPr>
        <w:numPr>
          <w:ilvl w:val="1"/>
          <w:numId w:val="30"/>
        </w:numPr>
        <w:spacing w:before="240" w:after="0"/>
        <w:ind w:hanging="720"/>
      </w:pPr>
      <w:r w:rsidRPr="00A05AA8">
        <w:t>Fees or charges which are not permitted include:</w:t>
      </w:r>
    </w:p>
    <w:p w14:paraId="61E2D198" w14:textId="69A8B093" w:rsidR="00890B60" w:rsidRDefault="00890B60" w:rsidP="003B7FCD">
      <w:pPr>
        <w:numPr>
          <w:ilvl w:val="2"/>
          <w:numId w:val="31"/>
        </w:numPr>
        <w:spacing w:before="240" w:after="0"/>
        <w:ind w:left="2274" w:hanging="856"/>
      </w:pPr>
      <w:r>
        <w:t>any additional charge for the carriage of goods or luggage accompanied by a passenger</w:t>
      </w:r>
      <w:r w:rsidR="00356889">
        <w:t xml:space="preserve"> except where clause 3.3.2 or clause 4.3.2 applies</w:t>
      </w:r>
      <w:r>
        <w:t>; and</w:t>
      </w:r>
    </w:p>
    <w:p w14:paraId="558F93C0" w14:textId="77777777" w:rsidR="00890B60" w:rsidRPr="00A05AA8" w:rsidRDefault="00890B60" w:rsidP="003B7FCD">
      <w:pPr>
        <w:numPr>
          <w:ilvl w:val="2"/>
          <w:numId w:val="31"/>
        </w:numPr>
        <w:spacing w:before="240" w:after="0"/>
        <w:ind w:left="2269" w:hanging="851"/>
      </w:pPr>
      <w:r>
        <w:t xml:space="preserve">any charge that would result in a person with a disability paying more than an able-bodied person would for the same service. </w:t>
      </w:r>
    </w:p>
    <w:sectPr w:rsidR="00890B60" w:rsidRPr="00A05AA8" w:rsidSect="000C2F71">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4DFC" w14:textId="77777777" w:rsidR="00017AE6" w:rsidRDefault="00017AE6" w:rsidP="00AE03FA">
      <w:pPr>
        <w:spacing w:after="0"/>
      </w:pPr>
      <w:r>
        <w:separator/>
      </w:r>
    </w:p>
    <w:p w14:paraId="498E745E" w14:textId="77777777" w:rsidR="00017AE6" w:rsidRDefault="00017AE6"/>
  </w:endnote>
  <w:endnote w:type="continuationSeparator" w:id="0">
    <w:p w14:paraId="6DCCED3E" w14:textId="77777777" w:rsidR="00017AE6" w:rsidRDefault="00017AE6" w:rsidP="00AE03FA">
      <w:pPr>
        <w:spacing w:after="0"/>
      </w:pPr>
      <w:r>
        <w:continuationSeparator/>
      </w:r>
    </w:p>
    <w:p w14:paraId="69B6478D" w14:textId="77777777" w:rsidR="00017AE6" w:rsidRDefault="0001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C7B4"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32"/>
    </w:tblGrid>
    <w:tr w:rsidR="003A30F3" w14:paraId="3FE00B8B" w14:textId="77777777" w:rsidTr="009B1780">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34B932D6"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11279822" w14:textId="58767446"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3572DB">
          <w:rPr>
            <w:b/>
          </w:rPr>
          <w:t>Unbooked Taxi Fare Annual Adjustment 2025</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0747" w14:textId="431538D9" w:rsidR="000B5835" w:rsidRDefault="000B5835"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32"/>
    </w:tblGrid>
    <w:tr w:rsidR="000B5835" w14:paraId="20FD23E4" w14:textId="77777777" w:rsidTr="006B14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3A531944" w14:textId="77777777" w:rsidR="000B5835" w:rsidRPr="009E15D6" w:rsidRDefault="000B583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2A56A1AB" w14:textId="612EB48F" w:rsidR="000B5835" w:rsidRPr="002C2ADF" w:rsidRDefault="000B5835" w:rsidP="00F6196C">
    <w:pPr>
      <w:pStyle w:val="Footer"/>
      <w:ind w:right="707"/>
      <w:rPr>
        <w:b/>
      </w:rPr>
    </w:pPr>
    <w:r>
      <w:t xml:space="preserve">Essential Services Commission </w:t>
    </w:r>
    <w:sdt>
      <w:sdtPr>
        <w:rPr>
          <w:b/>
        </w:rPr>
        <w:alias w:val="Title"/>
        <w:tag w:val=""/>
        <w:id w:val="53586824"/>
        <w:placeholder>
          <w:docPart w:val="0B652115F2054B15948FC026444E9A13"/>
        </w:placeholder>
        <w:dataBinding w:prefixMappings="xmlns:ns0='http://purl.org/dc/elements/1.1/' xmlns:ns1='http://schemas.openxmlformats.org/package/2006/metadata/core-properties' " w:xpath="/ns1:coreProperties[1]/ns0:title[1]" w:storeItemID="{6C3C8BC8-F283-45AE-878A-BAB7291924A1}"/>
        <w:text/>
      </w:sdtPr>
      <w:sdtEndPr/>
      <w:sdtContent>
        <w:r w:rsidR="003572DB">
          <w:rPr>
            <w:b/>
          </w:rPr>
          <w:t>Unbooked Taxi Fare Annual Adjustment 2025</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C65E" w14:textId="6BD9A68B" w:rsidR="003A30F3" w:rsidRPr="00707B2F" w:rsidRDefault="003A30F3" w:rsidP="00EE4EEB">
    <w:pPr>
      <w:pStyle w:val="FooterSpace"/>
      <w:tabs>
        <w:tab w:val="clear" w:pos="4680"/>
        <w:tab w:val="clear" w:pos="9360"/>
        <w:tab w:val="left" w:pos="1608"/>
      </w:tabs>
      <w:ind w:right="707"/>
    </w:pPr>
    <w:r>
      <w:t>Contents</w:t>
    </w:r>
    <w:r w:rsidR="00EE4EEB">
      <w:tab/>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32"/>
    </w:tblGrid>
    <w:tr w:rsidR="003A30F3" w14:paraId="6F2CD10E" w14:textId="77777777" w:rsidTr="006B14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70790E77"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255D0098" w14:textId="2624C31A"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3572DB">
          <w:rPr>
            <w:b/>
          </w:rPr>
          <w:t>Unbooked Taxi Fare Annual Adjustment 2025</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9425" w14:textId="021AA4BF" w:rsidR="00EE4EEB" w:rsidRPr="00707B2F" w:rsidRDefault="00FE08C9" w:rsidP="00EE4EEB">
    <w:pPr>
      <w:pStyle w:val="FooterSpace"/>
      <w:tabs>
        <w:tab w:val="clear" w:pos="4680"/>
        <w:tab w:val="clear" w:pos="9360"/>
        <w:tab w:val="left" w:pos="1608"/>
      </w:tabs>
      <w:ind w:right="707"/>
    </w:pPr>
    <w:r>
      <w:t>Introduction</w:t>
    </w:r>
    <w:r w:rsidR="00EE4EEB">
      <w:tab/>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93"/>
    </w:tblGrid>
    <w:tr w:rsidR="00EE4EEB" w14:paraId="0F3662B7" w14:textId="77777777" w:rsidTr="006B14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6FE715A6" w14:textId="77777777" w:rsidR="00EE4EEB" w:rsidRPr="009E15D6" w:rsidRDefault="00EE4EEB"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3475BF0D" w14:textId="7E6CD66F" w:rsidR="00EE4EEB" w:rsidRPr="002C2ADF" w:rsidRDefault="00EE4EEB" w:rsidP="00F44D5E">
    <w:pPr>
      <w:pStyle w:val="Footer"/>
      <w:ind w:right="707"/>
      <w:rPr>
        <w:b/>
      </w:rPr>
    </w:pPr>
    <w:r>
      <w:t xml:space="preserve">Essential Services Commission </w:t>
    </w:r>
    <w:sdt>
      <w:sdtPr>
        <w:rPr>
          <w:b/>
        </w:rPr>
        <w:alias w:val="Title"/>
        <w:tag w:val=""/>
        <w:id w:val="1182854832"/>
        <w:placeholder>
          <w:docPart w:val="575C1C1CBBA541C38719C610D7CAFD08"/>
        </w:placeholder>
        <w:dataBinding w:prefixMappings="xmlns:ns0='http://purl.org/dc/elements/1.1/' xmlns:ns1='http://schemas.openxmlformats.org/package/2006/metadata/core-properties' " w:xpath="/ns1:coreProperties[1]/ns0:title[1]" w:storeItemID="{6C3C8BC8-F283-45AE-878A-BAB7291924A1}"/>
        <w:text/>
      </w:sdtPr>
      <w:sdtEndPr/>
      <w:sdtContent>
        <w:r w:rsidR="003572DB">
          <w:rPr>
            <w:b/>
          </w:rPr>
          <w:t>Unbooked Taxi Fare Annual Adjustment 2025</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3C36" w14:textId="50CDDC81" w:rsidR="00B33D14" w:rsidRPr="00707B2F" w:rsidRDefault="0056534B" w:rsidP="00F44D5E">
    <w:pPr>
      <w:pStyle w:val="FooterSpace"/>
      <w:ind w:right="707"/>
    </w:pPr>
    <w:r>
      <w:t>Our assessment</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93"/>
    </w:tblGrid>
    <w:tr w:rsidR="00B33D14" w14:paraId="75CC362B" w14:textId="77777777" w:rsidTr="006B14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07B2EA1E" w14:textId="77777777" w:rsidR="00B33D14" w:rsidRPr="009E15D6" w:rsidRDefault="00B33D14"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36471572" w14:textId="43BA4F28" w:rsidR="00B33D14" w:rsidRPr="002C2ADF" w:rsidRDefault="00B33D14" w:rsidP="00F44D5E">
    <w:pPr>
      <w:pStyle w:val="Footer"/>
      <w:ind w:right="707"/>
      <w:rPr>
        <w:b/>
      </w:rPr>
    </w:pPr>
    <w:r>
      <w:t xml:space="preserve">Essential Services Commission </w:t>
    </w:r>
    <w:sdt>
      <w:sdtPr>
        <w:rPr>
          <w:b/>
        </w:rPr>
        <w:alias w:val="Title"/>
        <w:tag w:val=""/>
        <w:id w:val="1617023216"/>
        <w:dataBinding w:prefixMappings="xmlns:ns0='http://purl.org/dc/elements/1.1/' xmlns:ns1='http://schemas.openxmlformats.org/package/2006/metadata/core-properties' " w:xpath="/ns1:coreProperties[1]/ns0:title[1]" w:storeItemID="{6C3C8BC8-F283-45AE-878A-BAB7291924A1}"/>
        <w:text/>
      </w:sdtPr>
      <w:sdtEndPr/>
      <w:sdtContent>
        <w:r>
          <w:rPr>
            <w:b/>
          </w:rPr>
          <w:t>Unbooked Taxi Fare Annual Adjustment 2025</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BE5A" w14:textId="6F1E5B11" w:rsidR="009F781D" w:rsidRPr="00707B2F" w:rsidRDefault="009F781D" w:rsidP="00F44D5E">
    <w:pPr>
      <w:pStyle w:val="FooterSpace"/>
      <w:ind w:right="707"/>
    </w:pPr>
    <w:r>
      <w:t>Schedule 1</w:t>
    </w:r>
    <w:r w:rsidR="0052195E">
      <w:t>: Maximum fares</w:t>
    </w:r>
    <w:r w:rsidR="00AA5B59">
      <w:t xml:space="preserve"> in Melbourne metropolitan and urban area</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93"/>
    </w:tblGrid>
    <w:tr w:rsidR="009F781D" w14:paraId="74616404" w14:textId="77777777" w:rsidTr="006B14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35435D5C" w14:textId="77777777" w:rsidR="009F781D" w:rsidRPr="009E15D6" w:rsidRDefault="009F781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5746E63D" w14:textId="77777777" w:rsidR="009F781D" w:rsidRPr="002C2ADF" w:rsidRDefault="009F781D" w:rsidP="00F44D5E">
    <w:pPr>
      <w:pStyle w:val="Footer"/>
      <w:ind w:right="707"/>
      <w:rPr>
        <w:b/>
      </w:rPr>
    </w:pPr>
    <w:r>
      <w:t xml:space="preserve">Essential Services Commission </w:t>
    </w:r>
    <w:sdt>
      <w:sdtPr>
        <w:rPr>
          <w:b/>
        </w:rPr>
        <w:alias w:val="Title"/>
        <w:tag w:val=""/>
        <w:id w:val="-233161899"/>
        <w:dataBinding w:prefixMappings="xmlns:ns0='http://purl.org/dc/elements/1.1/' xmlns:ns1='http://schemas.openxmlformats.org/package/2006/metadata/core-properties' " w:xpath="/ns1:coreProperties[1]/ns0:title[1]" w:storeItemID="{6C3C8BC8-F283-45AE-878A-BAB7291924A1}"/>
        <w:text/>
      </w:sdtPr>
      <w:sdtEndPr/>
      <w:sdtContent>
        <w:r>
          <w:rPr>
            <w:b/>
          </w:rPr>
          <w:t>Unbooked Taxi Fare Annual Adjustment 2025</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942A" w14:textId="51A29922" w:rsidR="00890B60" w:rsidRPr="00707B2F" w:rsidRDefault="00890B60" w:rsidP="00F44D5E">
    <w:pPr>
      <w:pStyle w:val="FooterSpace"/>
      <w:ind w:right="707"/>
    </w:pPr>
    <w:r w:rsidRPr="00D756FC">
      <w:t xml:space="preserve">Schedule </w:t>
    </w:r>
    <w:r>
      <w:t>2</w:t>
    </w:r>
    <w:r w:rsidR="00FE2B2D">
      <w:t>: Maximum fares in Large Regional areas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293"/>
    </w:tblGrid>
    <w:tr w:rsidR="00890B60" w14:paraId="553CE6E6" w14:textId="77777777" w:rsidTr="006B1491">
      <w:trPr>
        <w:trHeight w:hRule="exact" w:val="31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50032" w:themeFill="accent6"/>
        </w:tcPr>
        <w:p w14:paraId="053ECCA1" w14:textId="77777777" w:rsidR="00890B60" w:rsidRPr="009E15D6" w:rsidRDefault="00890B60"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15</w:t>
          </w:r>
          <w:r w:rsidRPr="009E15D6">
            <w:rPr>
              <w:rStyle w:val="PageNumber"/>
            </w:rPr>
            <w:fldChar w:fldCharType="end"/>
          </w:r>
        </w:p>
      </w:tc>
    </w:tr>
  </w:tbl>
  <w:p w14:paraId="1C72D80E" w14:textId="086336CE" w:rsidR="00890B60" w:rsidRPr="002C2ADF" w:rsidRDefault="00890B60" w:rsidP="00F44D5E">
    <w:pPr>
      <w:pStyle w:val="Footer"/>
      <w:ind w:right="707"/>
      <w:rPr>
        <w:b/>
      </w:rPr>
    </w:pPr>
    <w:r>
      <w:t xml:space="preserve">Essential Services Commission </w:t>
    </w:r>
    <w:sdt>
      <w:sdtPr>
        <w:rPr>
          <w:b/>
        </w:rPr>
        <w:alias w:val="Title"/>
        <w:tag w:val=""/>
        <w:id w:val="-942231069"/>
        <w:dataBinding w:prefixMappings="xmlns:ns0='http://purl.org/dc/elements/1.1/' xmlns:ns1='http://schemas.openxmlformats.org/package/2006/metadata/core-properties' " w:xpath="/ns1:coreProperties[1]/ns0:title[1]" w:storeItemID="{6C3C8BC8-F283-45AE-878A-BAB7291924A1}"/>
        <w:text/>
      </w:sdtPr>
      <w:sdtEndPr/>
      <w:sdtContent>
        <w:r w:rsidR="003572DB">
          <w:rPr>
            <w:b/>
          </w:rPr>
          <w:t>Unbooked Taxi Fare Annual Adjustment 2025</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D06D" w14:textId="77777777" w:rsidR="00017AE6" w:rsidRPr="00CF33F6" w:rsidRDefault="00017AE6" w:rsidP="00AE03FA">
      <w:pPr>
        <w:spacing w:after="0"/>
        <w:rPr>
          <w:color w:val="75787B" w:themeColor="background2"/>
        </w:rPr>
      </w:pPr>
      <w:bookmarkStart w:id="0" w:name="_Hlk480978878"/>
      <w:bookmarkEnd w:id="0"/>
      <w:r w:rsidRPr="00CF33F6">
        <w:rPr>
          <w:color w:val="75787B" w:themeColor="background2"/>
        </w:rPr>
        <w:separator/>
      </w:r>
    </w:p>
    <w:p w14:paraId="08399D93" w14:textId="77777777" w:rsidR="00017AE6" w:rsidRDefault="00017AE6" w:rsidP="00CF33F6">
      <w:pPr>
        <w:pStyle w:val="NoSpacing"/>
      </w:pPr>
    </w:p>
  </w:footnote>
  <w:footnote w:type="continuationSeparator" w:id="0">
    <w:p w14:paraId="3DBE953B" w14:textId="77777777" w:rsidR="00017AE6" w:rsidRDefault="00017AE6" w:rsidP="00AE03FA">
      <w:pPr>
        <w:spacing w:after="0"/>
      </w:pPr>
      <w:r>
        <w:continuationSeparator/>
      </w:r>
    </w:p>
    <w:p w14:paraId="536FDD23" w14:textId="77777777" w:rsidR="00017AE6" w:rsidRDefault="00017AE6"/>
  </w:footnote>
  <w:footnote w:id="1">
    <w:p w14:paraId="478550B3" w14:textId="5257742F" w:rsidR="0015033E" w:rsidRDefault="0015033E">
      <w:pPr>
        <w:pStyle w:val="FootnoteText"/>
      </w:pPr>
      <w:r>
        <w:rPr>
          <w:rStyle w:val="FootnoteReference"/>
        </w:rPr>
        <w:footnoteRef/>
      </w:r>
      <w:r>
        <w:t xml:space="preserve"> </w:t>
      </w:r>
      <w:r w:rsidRPr="0015033E">
        <w:t>Unbooked commercial passenger vehicle services are trips that were not booked via an app, over the phone or on a website (for example, trips hailed from the street or hired from a designated taxi rank). Fares for booked commercial passenger vehicle services are not regulated, meaning operators set their own fares for these trips.</w:t>
      </w:r>
    </w:p>
  </w:footnote>
  <w:footnote w:id="2">
    <w:p w14:paraId="6CDCDD6B" w14:textId="537569E4" w:rsidR="00A45F40" w:rsidRDefault="00A45F40">
      <w:pPr>
        <w:pStyle w:val="FootnoteText"/>
      </w:pPr>
      <w:r>
        <w:rPr>
          <w:rStyle w:val="FootnoteReference"/>
        </w:rPr>
        <w:footnoteRef/>
      </w:r>
      <w:r>
        <w:t xml:space="preserve"> Essential Services Commission 2024, </w:t>
      </w:r>
      <w:r w:rsidRPr="00F61210">
        <w:rPr>
          <w:i/>
          <w:iCs/>
        </w:rPr>
        <w:t>Determination of Maximum Charges for Unbooked Commercial Passenger Vehicle Services (from 23 September 2024)</w:t>
      </w:r>
      <w:r w:rsidRPr="008416F4">
        <w:t>, Schedule 3, Part 1, par. 2.</w:t>
      </w:r>
    </w:p>
  </w:footnote>
  <w:footnote w:id="3">
    <w:p w14:paraId="23038DAE" w14:textId="60BA6631" w:rsidR="00257C44" w:rsidRDefault="00257C44">
      <w:pPr>
        <w:pStyle w:val="FootnoteText"/>
      </w:pPr>
      <w:r>
        <w:rPr>
          <w:rStyle w:val="FootnoteReference"/>
        </w:rPr>
        <w:footnoteRef/>
      </w:r>
      <w:r>
        <w:t xml:space="preserve"> </w:t>
      </w:r>
      <w:r w:rsidR="00F12DA3">
        <w:t xml:space="preserve">Our approach to adjust fares by the taxi cost index is consistent with the </w:t>
      </w:r>
      <w:r w:rsidR="00F12DA3" w:rsidRPr="00AC38CE">
        <w:rPr>
          <w:i/>
          <w:iCs/>
        </w:rPr>
        <w:t>Commercial Passenger Vehicle Industry Act 2017</w:t>
      </w:r>
      <w:r w:rsidR="00F12DA3">
        <w:t xml:space="preserve">, which allows us to consider, among other things, the Fair Work Commission’s annual wage review and the commercial viability of operating a taxi service. </w:t>
      </w:r>
    </w:p>
  </w:footnote>
  <w:footnote w:id="4">
    <w:p w14:paraId="4A9A9E4C" w14:textId="4219FA3E" w:rsidR="00262979" w:rsidRPr="005C3076" w:rsidRDefault="00262979">
      <w:pPr>
        <w:pStyle w:val="FootnoteText"/>
      </w:pPr>
      <w:r>
        <w:rPr>
          <w:rStyle w:val="FootnoteReference"/>
        </w:rPr>
        <w:footnoteRef/>
      </w:r>
      <w:r>
        <w:t xml:space="preserve"> </w:t>
      </w:r>
      <w:r w:rsidR="000D5353">
        <w:t xml:space="preserve">Essential Services Commission 2024, </w:t>
      </w:r>
      <w:r w:rsidR="000D5353" w:rsidRPr="00F61210">
        <w:rPr>
          <w:i/>
          <w:iCs/>
        </w:rPr>
        <w:t>Determination of Maximum Charges for Unbooked Commercial Passenger Vehicle Services (from 23 September 2024)</w:t>
      </w:r>
      <w:r w:rsidR="000D5353" w:rsidRPr="005C3076">
        <w:t xml:space="preserve">, Schedule 3, Part </w:t>
      </w:r>
      <w:r w:rsidR="00700CB1" w:rsidRPr="005C3076">
        <w:t>2</w:t>
      </w:r>
      <w:r w:rsidR="000D5353" w:rsidRPr="005C3076">
        <w:t>, par. 2.</w:t>
      </w:r>
    </w:p>
  </w:footnote>
  <w:footnote w:id="5">
    <w:p w14:paraId="61FEFF34" w14:textId="53A37468" w:rsidR="00262979" w:rsidRDefault="00262979">
      <w:pPr>
        <w:pStyle w:val="FootnoteText"/>
      </w:pPr>
      <w:r w:rsidRPr="005C3076">
        <w:rPr>
          <w:rStyle w:val="FootnoteReference"/>
        </w:rPr>
        <w:footnoteRef/>
      </w:r>
      <w:r w:rsidRPr="005C3076">
        <w:t xml:space="preserve"> </w:t>
      </w:r>
      <w:r w:rsidR="000D5353" w:rsidRPr="005C3076">
        <w:t xml:space="preserve">Essential Services Commission 2024, </w:t>
      </w:r>
      <w:r w:rsidR="000D5353" w:rsidRPr="00F61210">
        <w:rPr>
          <w:i/>
          <w:iCs/>
        </w:rPr>
        <w:t>Determination of Maximum Charges for Unbooked Commercial Passenger Vehicle Services (from 23 September 2024)</w:t>
      </w:r>
      <w:r w:rsidR="000D5353" w:rsidRPr="005C3076">
        <w:t xml:space="preserve">, Schedule 3, Part </w:t>
      </w:r>
      <w:r w:rsidR="00700CB1" w:rsidRPr="005C3076">
        <w:t>2</w:t>
      </w:r>
      <w:r w:rsidR="000D5353" w:rsidRPr="005C3076">
        <w:t xml:space="preserve">, par. </w:t>
      </w:r>
      <w:r w:rsidR="00B960AA" w:rsidRPr="005C3076">
        <w:t>3</w:t>
      </w:r>
      <w:r w:rsidR="000D5353" w:rsidRPr="005C3076">
        <w:t>.</w:t>
      </w:r>
    </w:p>
  </w:footnote>
  <w:footnote w:id="6">
    <w:p w14:paraId="1EE6E2EC" w14:textId="7D9408DC" w:rsidR="00262979" w:rsidRDefault="00262979">
      <w:pPr>
        <w:pStyle w:val="FootnoteText"/>
      </w:pPr>
      <w:r>
        <w:rPr>
          <w:rStyle w:val="FootnoteReference"/>
        </w:rPr>
        <w:footnoteRef/>
      </w:r>
      <w:r>
        <w:t xml:space="preserve"> </w:t>
      </w:r>
      <w:r w:rsidR="000D5353">
        <w:t xml:space="preserve">Essential Services Commission 2024, </w:t>
      </w:r>
      <w:r w:rsidR="000D5353" w:rsidRPr="00F61210">
        <w:rPr>
          <w:i/>
          <w:iCs/>
        </w:rPr>
        <w:t>Determination of Maximum Charges for Unbooked Commercial Passenger Vehicle Services (from 23 September 2024)</w:t>
      </w:r>
      <w:r w:rsidR="000D5353" w:rsidRPr="00A7366E">
        <w:t xml:space="preserve">, Schedule 3, Part </w:t>
      </w:r>
      <w:r w:rsidR="00A7366E" w:rsidRPr="00A7366E">
        <w:t>2</w:t>
      </w:r>
      <w:r w:rsidR="000D5353" w:rsidRPr="00A7366E">
        <w:t xml:space="preserve">, par. </w:t>
      </w:r>
      <w:r w:rsidR="00A7366E" w:rsidRPr="00A7366E">
        <w:t>4</w:t>
      </w:r>
      <w:r w:rsidR="000D5353" w:rsidRPr="00A7366E">
        <w:t>.</w:t>
      </w:r>
    </w:p>
  </w:footnote>
  <w:footnote w:id="7">
    <w:p w14:paraId="1E094559" w14:textId="6C0D1D2B" w:rsidR="000D5353" w:rsidRDefault="000D5353">
      <w:pPr>
        <w:pStyle w:val="FootnoteText"/>
      </w:pPr>
      <w:r>
        <w:rPr>
          <w:rStyle w:val="FootnoteReference"/>
        </w:rPr>
        <w:footnoteRef/>
      </w:r>
      <w:r>
        <w:t xml:space="preserve"> Essential Services Commission 2024, </w:t>
      </w:r>
      <w:r w:rsidRPr="00F61210">
        <w:rPr>
          <w:i/>
          <w:iCs/>
        </w:rPr>
        <w:t>Determination of Maximum Charges for Unbooked Commercial Passenger Vehicle Services (from 23 September 2024)</w:t>
      </w:r>
      <w:r w:rsidRPr="009A3D93">
        <w:t>, Schedule 3, Part</w:t>
      </w:r>
      <w:r w:rsidR="009A3D93" w:rsidRPr="009A3D93">
        <w:t xml:space="preserve"> 3.</w:t>
      </w:r>
    </w:p>
  </w:footnote>
  <w:footnote w:id="8">
    <w:p w14:paraId="04849958" w14:textId="38C8E13F" w:rsidR="00890B60" w:rsidRPr="00A05AA8" w:rsidRDefault="00890B60" w:rsidP="00890B60">
      <w:pPr>
        <w:spacing w:line="240" w:lineRule="auto"/>
        <w:rPr>
          <w:sz w:val="18"/>
          <w:szCs w:val="18"/>
          <w:vertAlign w:val="superscript"/>
        </w:rPr>
      </w:pPr>
      <w:r w:rsidRPr="00A05AA8">
        <w:rPr>
          <w:rStyle w:val="FootnoteReference"/>
          <w:rFonts w:ascii="Arial" w:eastAsia="Arial" w:hAnsi="Arial" w:cs="Arial"/>
          <w:sz w:val="18"/>
          <w:szCs w:val="18"/>
        </w:rPr>
        <w:footnoteRef/>
      </w:r>
      <w:r>
        <w:rPr>
          <w:i/>
          <w:iCs/>
          <w:sz w:val="18"/>
          <w:szCs w:val="18"/>
        </w:rPr>
        <w:t xml:space="preserve"> </w:t>
      </w:r>
      <w:r w:rsidRPr="00A05AA8">
        <w:rPr>
          <w:i/>
          <w:iCs/>
          <w:sz w:val="18"/>
          <w:szCs w:val="18"/>
        </w:rPr>
        <w:t>Commercial Passenger Vehicle Industry Act 2017</w:t>
      </w:r>
      <w:r w:rsidRPr="00A05AA8">
        <w:rPr>
          <w:sz w:val="18"/>
          <w:szCs w:val="18"/>
        </w:rPr>
        <w:t xml:space="preserve">, Part 11 – Commercial passenger vehicle service levy. The State Revenue Office of Victoria has general administration of Part 11 of this Act. </w:t>
      </w:r>
    </w:p>
  </w:footnote>
  <w:footnote w:id="9">
    <w:p w14:paraId="7634218C" w14:textId="03EAFE0F" w:rsidR="001D4D61" w:rsidRDefault="001D4D61">
      <w:pPr>
        <w:pStyle w:val="FootnoteText"/>
      </w:pPr>
      <w:r>
        <w:rPr>
          <w:rStyle w:val="FootnoteReference"/>
        </w:rPr>
        <w:footnoteRef/>
      </w:r>
      <w:r>
        <w:t xml:space="preserve"> </w:t>
      </w:r>
      <w:r w:rsidR="00942F25" w:rsidRPr="00A05AA8">
        <w:rPr>
          <w:i/>
          <w:iCs/>
          <w:szCs w:val="18"/>
        </w:rPr>
        <w:t>Commercial Passenger Vehicle Industry Act 2017</w:t>
      </w:r>
      <w:r w:rsidR="00942F25" w:rsidRPr="00A05AA8">
        <w:rPr>
          <w:szCs w:val="18"/>
        </w:rPr>
        <w:t>, s. 236</w:t>
      </w:r>
    </w:p>
  </w:footnote>
  <w:footnote w:id="10">
    <w:p w14:paraId="65CF505C" w14:textId="37A64F65" w:rsidR="00890B60" w:rsidRPr="00A05AA8" w:rsidRDefault="00890B60" w:rsidP="00890B60">
      <w:pPr>
        <w:spacing w:line="240" w:lineRule="auto"/>
        <w:rPr>
          <w:sz w:val="18"/>
          <w:szCs w:val="18"/>
          <w:vertAlign w:val="superscript"/>
        </w:rPr>
      </w:pPr>
      <w:r w:rsidRPr="00A05AA8">
        <w:rPr>
          <w:rStyle w:val="FootnoteReference"/>
          <w:rFonts w:ascii="Arial" w:eastAsia="Arial" w:hAnsi="Arial" w:cs="Arial"/>
          <w:sz w:val="18"/>
          <w:szCs w:val="18"/>
        </w:rPr>
        <w:footnoteRef/>
      </w:r>
      <w:r w:rsidRPr="00A05AA8">
        <w:rPr>
          <w:sz w:val="18"/>
          <w:szCs w:val="18"/>
        </w:rPr>
        <w:t xml:space="preserve"> </w:t>
      </w:r>
      <w:r w:rsidRPr="00A05AA8">
        <w:rPr>
          <w:i/>
          <w:iCs/>
          <w:sz w:val="18"/>
          <w:szCs w:val="18"/>
        </w:rPr>
        <w:t>Commercial Passenger Vehicle Industry Act 2017</w:t>
      </w:r>
      <w:r w:rsidRPr="00A05AA8">
        <w:rPr>
          <w:sz w:val="18"/>
          <w:szCs w:val="18"/>
        </w:rPr>
        <w:t>, s. 238</w:t>
      </w:r>
      <w:r>
        <w:rPr>
          <w:sz w:val="18"/>
          <w:szCs w:val="18"/>
        </w:rPr>
        <w:t>.</w:t>
      </w:r>
    </w:p>
  </w:footnote>
  <w:footnote w:id="11">
    <w:p w14:paraId="5D4AB701" w14:textId="06220B83" w:rsidR="00890B60" w:rsidRPr="00FE5449" w:rsidRDefault="00890B60" w:rsidP="00890B60">
      <w:pPr>
        <w:spacing w:line="240" w:lineRule="auto"/>
        <w:rPr>
          <w:sz w:val="18"/>
          <w:szCs w:val="18"/>
          <w:vertAlign w:val="superscript"/>
        </w:rPr>
      </w:pPr>
      <w:r>
        <w:rPr>
          <w:rStyle w:val="FootnoteReference"/>
          <w:rFonts w:ascii="Arial" w:eastAsia="Arial" w:hAnsi="Arial" w:cs="Arial"/>
          <w:color w:val="000000"/>
          <w:sz w:val="18"/>
          <w:szCs w:val="18"/>
        </w:rPr>
        <w:footnoteRef/>
      </w:r>
      <w:r>
        <w:rPr>
          <w:sz w:val="18"/>
          <w:szCs w:val="18"/>
        </w:rPr>
        <w:t xml:space="preserve"> </w:t>
      </w:r>
      <w:r w:rsidRPr="00FE5449">
        <w:rPr>
          <w:i/>
          <w:iCs/>
          <w:sz w:val="18"/>
          <w:szCs w:val="18"/>
        </w:rPr>
        <w:t>Commercial Passenger Vehicle Industry Act 2017</w:t>
      </w:r>
      <w:r w:rsidRPr="00FE5449">
        <w:rPr>
          <w:sz w:val="18"/>
          <w:szCs w:val="18"/>
        </w:rPr>
        <w:t xml:space="preserve">, Part 11 – Commercial passenger vehicle service levy. The State Revenue Office of Victoria has general administration of Part 11 of this Act. </w:t>
      </w:r>
    </w:p>
  </w:footnote>
  <w:footnote w:id="12">
    <w:p w14:paraId="6BD791B6" w14:textId="6D25D7BB" w:rsidR="00887F0A" w:rsidRDefault="00887F0A">
      <w:pPr>
        <w:pStyle w:val="FootnoteText"/>
      </w:pPr>
      <w:r>
        <w:rPr>
          <w:rStyle w:val="FootnoteReference"/>
        </w:rPr>
        <w:footnoteRef/>
      </w:r>
      <w:r>
        <w:t xml:space="preserve"> </w:t>
      </w:r>
      <w:r w:rsidRPr="00FE5449">
        <w:rPr>
          <w:i/>
          <w:iCs/>
          <w:szCs w:val="18"/>
        </w:rPr>
        <w:t>Commercial Passenger Vehicle Industry Act 2017</w:t>
      </w:r>
      <w:r w:rsidRPr="00FE5449">
        <w:rPr>
          <w:szCs w:val="18"/>
        </w:rPr>
        <w:t>, s. 236</w:t>
      </w:r>
      <w:r>
        <w:rPr>
          <w:szCs w:val="18"/>
        </w:rPr>
        <w:t>.</w:t>
      </w:r>
    </w:p>
  </w:footnote>
  <w:footnote w:id="13">
    <w:p w14:paraId="53917203" w14:textId="1A767717" w:rsidR="00890B60" w:rsidRDefault="00890B60" w:rsidP="00890B60">
      <w:pPr>
        <w:spacing w:line="240" w:lineRule="auto"/>
        <w:rPr>
          <w:color w:val="000000"/>
          <w:sz w:val="18"/>
          <w:szCs w:val="18"/>
          <w:vertAlign w:val="superscript"/>
        </w:rPr>
      </w:pPr>
      <w:r w:rsidRPr="00FE5449">
        <w:rPr>
          <w:rStyle w:val="FootnoteReference"/>
          <w:rFonts w:ascii="Arial" w:eastAsia="Arial" w:hAnsi="Arial" w:cs="Arial"/>
          <w:sz w:val="18"/>
          <w:szCs w:val="18"/>
        </w:rPr>
        <w:footnoteRef/>
      </w:r>
      <w:r w:rsidRPr="00FE5449">
        <w:rPr>
          <w:sz w:val="18"/>
          <w:szCs w:val="18"/>
        </w:rPr>
        <w:t xml:space="preserve"> </w:t>
      </w:r>
      <w:r w:rsidRPr="00FE5449">
        <w:rPr>
          <w:i/>
          <w:iCs/>
          <w:sz w:val="18"/>
          <w:szCs w:val="18"/>
        </w:rPr>
        <w:t>Commercial Passenger Vehicle Industry Act 2017</w:t>
      </w:r>
      <w:r w:rsidRPr="00FE5449">
        <w:rPr>
          <w:sz w:val="18"/>
          <w:szCs w:val="18"/>
        </w:rPr>
        <w:t>, s. 238</w:t>
      </w:r>
      <w:r>
        <w:rPr>
          <w:sz w:val="18"/>
          <w:szCs w:val="18"/>
        </w:rPr>
        <w:t>.</w:t>
      </w:r>
    </w:p>
  </w:footnote>
  <w:footnote w:id="14">
    <w:p w14:paraId="0DCFBE0D" w14:textId="4DC3628E" w:rsidR="00890B60" w:rsidRDefault="00890B60" w:rsidP="00890B60">
      <w:pPr>
        <w:spacing w:line="240" w:lineRule="auto"/>
        <w:rPr>
          <w:color w:val="000000"/>
          <w:sz w:val="18"/>
          <w:szCs w:val="18"/>
          <w:vertAlign w:val="superscript"/>
        </w:rPr>
      </w:pPr>
      <w:r>
        <w:rPr>
          <w:rStyle w:val="FootnoteReference"/>
          <w:rFonts w:ascii="Arial" w:eastAsia="Arial" w:hAnsi="Arial" w:cs="Arial"/>
          <w:color w:val="000000"/>
          <w:sz w:val="18"/>
          <w:szCs w:val="18"/>
        </w:rPr>
        <w:footnoteRef/>
      </w:r>
      <w:r>
        <w:rPr>
          <w:sz w:val="18"/>
          <w:szCs w:val="18"/>
        </w:rPr>
        <w:t xml:space="preserve"> The holiday surcharge may only be applied in the geographic area of the </w:t>
      </w:r>
      <w:r w:rsidR="0040046B">
        <w:rPr>
          <w:sz w:val="18"/>
          <w:szCs w:val="18"/>
        </w:rPr>
        <w:t>c</w:t>
      </w:r>
      <w:r>
        <w:rPr>
          <w:sz w:val="18"/>
          <w:szCs w:val="18"/>
        </w:rPr>
        <w:t>ouncil subject to the substitute holiday. For example, a holiday surcharge in relation to Geelong Cup Day may only be applied in the area of the urban zone surrounding Geelong.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FC4E" w14:textId="518642C8" w:rsidR="003A30F3" w:rsidRPr="00633068" w:rsidRDefault="00817B1D" w:rsidP="00633068">
    <w:pPr>
      <w:pStyle w:val="Header"/>
      <w:tabs>
        <w:tab w:val="clear" w:pos="4680"/>
        <w:tab w:val="clear" w:pos="9360"/>
        <w:tab w:val="left" w:pos="2236"/>
      </w:tabs>
    </w:pPr>
    <w:r>
      <w:rPr>
        <w:noProof/>
      </w:rPr>
      <mc:AlternateContent>
        <mc:Choice Requires="wpg">
          <w:drawing>
            <wp:anchor distT="0" distB="0" distL="114300" distR="114300" simplePos="0" relativeHeight="251658243" behindDoc="0" locked="1" layoutInCell="1" allowOverlap="1" wp14:anchorId="56DA0A70" wp14:editId="26BCE393">
              <wp:simplePos x="0" y="0"/>
              <wp:positionH relativeFrom="page">
                <wp:posOffset>179705</wp:posOffset>
              </wp:positionH>
              <wp:positionV relativeFrom="page">
                <wp:posOffset>187960</wp:posOffset>
              </wp:positionV>
              <wp:extent cx="7199630" cy="10309860"/>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5"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FC2EE52" id="Group 3"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XNBQ8AAJBZAAAOAAAAZHJzL2Uyb0RvYy54bWzsXG1vI7cR/l6g/2GhjwUaL/ddRnxBe2mC&#10;AmkaICr6eU+WX1BJq67ksy+/Ps9wyNVwTa7os3pAcc6Hi0Vxh/PGmWeGXH373dNmnXxc9fv7bns1&#10;U9+ks2S1XXbX99vbq9m/Fj/8uZkl+0O7vW7X3XZ1Nfu02s++e/fHP3z7uLtcZd1dt75e9QmIbPeX&#10;j7ur2d3hsLu8uNgv71abdv9Nt1tt8eVN12/aAz72txfXffsI6pv1RZam1cVj11/v+m652u8x+j1/&#10;OXun6d/crJaHf97c7FeHZH01A28H/W+v//1A/168+7a9vO3b3d390rDRfgYXm/Z+i0UHUt+3hzZ5&#10;6O+fkdrcL/tu390cvll2m4vu5uZ+udIyQBqVjqT5se8edlqW28vH292gJqh2pKfPJrv8+eOP/e7X&#10;3S89c48/f+qW/9kn2+79Xbu9Xf1lv4MSYVpS1cXj7vZSPkKfb/n55MPjP7prmLh9OHRaF083/Yao&#10;QsrkSav806Dy1dMhWWKwVvN5lcMyS3yn0jydN5WxyvIOpnv24PLub+bRPFUVP1fkaq7Zay95Tc2n&#10;4YtcAb61P6pv/zr1/XrX7lbaKnvSxS99cn99NStnybbdQPwf+tWK/DUpiSVaG5OsgvesXVal+Iam&#10;7WGESCXmVdmw61o9ZkVqlFFVbCqri/Zy+bA//LjqtC3ajz/tD+z01/hLG/3acL6AGW42a/j/ny4S&#10;pfIieUxUk5qVbodpSkwrqnlylxTzZ5MyMWmCVi6mBWkVYlKZZQG2YIGB+7yo/WxBScOkkHy1mJP6&#10;ySCqDWTSAD9zMaf0k1FS4yE6Suo7g/hefSup8KIMKUk5Cp83AWJS40UV5EyqHD4QICZ1PuEKSuo9&#10;TE2qnrwzoH1EhKOJgtQyaQBVF2WAWiZtEHSuTNpgQtLMMYLcQRfIIHZftnd2qy6ftmav4q8EUZnC&#10;KG3dXbenAEkbF+FzYTc+ZtG3gclgkibnJmJOT4Yj0GQdy8Dc9GQYmibXUZRhR5psA/c0ZdooNBt7&#10;gWLnKUZoM+jpcUIqI6WKE5PSjqYeJ6gykg45alpUckmiDpeLEZV8Tk93RGUNGafpkcDH+KefJcA/&#10;H2gJuFF7IF+zfyaPSMUU95O7qxmFdvpi031cLTo95UA+R+6tV0bUNowepywfPtwv/7r6beoBLOsl&#10;FBonkRyy7icmNqcgAnUYpiytmmIoDWeVkVgvjVyih7Ghra5PrpBnvEJWOaRUySuowmRC5odVpAFN&#10;FP9se+2GlvfpoRdQReqQwjPdqcEo2ipHEoBqc/yfnUmrNmuMITLtHVYYJCY2BAOGqBWQf+QzA6mo&#10;4agVjr5scczYNafH4xbRO4qccEQscjxuEaQw6dJWWZTaYsbjFilLa1x3D+SlsRSHhGHx56HC3bvL&#10;dbdfcbCjUKQD/BCTNEtHALvv1vfXP9yv1xSKdJm4er/uk48tCrzDU6Zj1fphg1KEx6oU/7FnYpgq&#10;Cj21sMMgP1DRCzsLrHUi3Xa0IDNIIygvGK4zvv/QXX8CdEcVjDrprut/myWPqCivZvv/PrT9apas&#10;/75FzTFXRQH9HPSHoqwp0Pfymw/ym+3D5n0HmRBW2u0SVCGe/fP9gStYlJBQ00/bX3dLmqiDc78/&#10;LJ7+3fa7ZIc/8RAqhJ87W7O0l7YAgNw0gecakVgQ8wEV0xcqnZBOR6WTdqtzl05ZbsK9cQdbOlVz&#10;RGkqP89UOdUElym16HDoL5sCZQWC41BWVLmfjMSOATKQZyATYAbRYJiC3OVH7hK4l4qQtkcshIKB&#10;UhBnS9DOFZyHkovYcz9PTskUJOXWTHUVoCX1HTRbQOHYQG9Q3VOLnAWqU9Afip7Pwa/kXlPwteZM&#10;ZZHZNHSt4AKIDyZuMDY4NUYSnASTzARhRwGdTg9G0VZzzvgIe5J6XjNQpVwtFsX2liAragWtYw1o&#10;dO1h033c8ItWyGoHaNgVpoejVsgNTlWwp1BHZlCtC2RGTjOy7xuIIXjztYIYpMERiNE15blBDAeH&#10;ujRVlcUweY5dTRimZrAL37fd98/q/taU7LPCrBLGMCWq4RHMkTmVwIeHisyoDbVGPWTGGMZDRmIY&#10;UPDTkRgGNPwMSQyjakJDHo4khgnpR0IYAmeGDMzxNWMFisSvyuZkfMrmpE5fM6rm5BWXzU2nxnou&#10;p/OMk2Xp5BnebM3QFYzM54PvMGmmMjUYlakqbCxs8BzVikhUCq0rGs5qZ1grDMNwZpr9bIH1Vrbm&#10;RuqzX56zLGcm3mpr7h18udoaG2OUlnR/8txpSZUpdqh2ONP/tJkJ38BD9elu1lhnfFVuUmmpj2lU&#10;biCbPz0VOZ1HzSvTljxOkgmqRLDHIaeHlMxRShV+UuMk5SMksxSlBA9HMkfpszYPPzJFZQUdAnoI&#10;yRRV6Bzl40gmqTynvOkh5dTZTaPPSj1sOYV2ldJhsI+Y1DmxFFC6czoJOgFqUu1T1KTqy4waCj7e&#10;pPanfEtawHGurzy76+TuO5U8SycgTB1egICzeNWh3auRid5fBE3Is3zQhDxKMwqXMal4utlgj7By&#10;27ZmFFGX3IRQc7duN+U8QpQ30bs1KpPKTWegcNoOWcoAwyHP2MXiKpeY+0liHcQniVGYyNTgM3zi&#10;o61QjGuo41LXpY9GQA52Q/jTsxHgohVTURUFUkXqaKY2Cxcu9EJQ1LMR9aJXwO0m/UyNE2qJ4lJj&#10;xsZt1rB3gSMTt+L0RGGaxEDIcxaJHI9chM6HSVeuUlTasBsVNvGyY3i2gWvjN7D5/3+Qg/05Apt6&#10;Z5wbbJp4MlwUtFDzeCFQnQtqVoouUmVZ9azNgUgxHHtUWQTUxF4mEOWjJbFmHcIpI9AToiUxT5CW&#10;hDyVRtM+tiTgCYooIafpr3i05UDOko5jfEgMhh10qltHHkoO4AzgaecuXJCQ1HoRQtR0NWjgibs+&#10;Pqak1lHpB+STai+roGdJvTf6bM6nLKn4Cd9y7sGBjp81OosexJyg5tyDC1Nz4H6dUrnmczDnHlxQ&#10;0kyaIFON7uF5jEAtnEGGoBFwA+g4i5gK8SatEHSPTFphiprcAAGvpVvQA/+4Da5bsB45CaQM8/LQ&#10;ZgKQOM5S4ThGWGGg5uxy4ICvuWkZLjw4/7zdRXx2DdXcr1gw7iQcOX0RlfHzAhvX9CinpzN0XnDj&#10;9jR1xqcLvoB2cjrtPsDZBXZXDDO0vfR0DbEtdf7/K65d6ig5WU5iJ+uVsVUNo9PlpCIgTqxWjTnN&#10;MYA8T7lKAEgYVQlsFjNOIp3se1PG0IucIGaPiMfzoxaZV941GlO3juQDrBnp6bQYpSFVYiVRneFt&#10;C02q4Ga6FcL22BGCrcucVpRt16OaFyuY3v7QX5PF9EuLb+QqSZrdemowSvnmfGSkAnOUUo5aFbzz&#10;zIlHHHlzp7pyq8a8Yfbr2rlcCuykDQLIEK35Gu0X2gZzwAmh+bkp+QeEZXaHdWgzHiXE4NUniFkH&#10;Gs+PWyTPOQ6OFykR6DwCKsCvFytLNeZaxEjxWWosPrIToTK9yItsnhmjj9wno04RSTJyNo6NNM4e&#10;HqWu4SGnrRUzGkneaHe0dTNlrvFn7kYnWKdle1HQmJtQPVKIqk1gGsUrQnt6kWOOGMW+M15V4WT5&#10;drD3pQ/2qLk+arZgCNY4d7dlThUTdh1eeDAAwvZb1LyBM/OLm0MP9HVHe3lVoR5TQ1PxeGonix4q&#10;oGr7muhxCpx+qGTQD9dvhnkoyYInz6gX4aEFqDHQaviVQw8pRNZhVlnQIaGHlCw46dzIL58sN6uM&#10;rqB4SEHdw3phUrLWDJJyzvdKfSDnEdDptgQlfNZv8RpQ6r2q6QTTI6HTbwmLiEOfoyZAJkAsTvVK&#10;6j5MTCq/qfURtE9jjvZDYrr9lqwIeb3TbymygIdR3TX4Bek+4GNOv6UMEZOur8Ib0mm3CAMgb761&#10;Df5X96LDTQmujV53GhqmzqBl8SVfYQwyQ/1A5KNR24Dg2qvumOmYRaU3RSXvSS72gl7ZVmQnCu+c&#10;ghQYVaMCG6/qc0JFzSwqEcpYehw5KbqqOR6rsWlsaTE3r3sVc6fORCbTSyCSRy9Rp6zv0j3oK3Hh&#10;jKRDgpFS0Cm3GI4C0aNnrAxxw1Er4GRIcmVXULVRx0g0boy8RElsUWQ1qYvTg1HM2zcsa+74WOaz&#10;xvRvLBDiytVqzeTWqBVGz9gV4oajVijhh+QWhiu7Qm22wkg0ZFc2F+szagWVmu1W8U0IuwS2Fdu+&#10;RIdPbjckXb0Ismr0XoApmJj5wZFhkcIU5crdbxxTIHfpX8PetDRNh3GAsV+f62y8XS5X24ONLm81&#10;2xev2eA845pNR89z12zKdBkqe8XHlmxwenj9WUs2tIQIbja20XGsxyDtEZXmdDVw2P7HSQ50TUs6&#10;jvPRksWDCtFCRjouGOZL1g5BWrJ0UEVGh44+vmTpgH6WX0ZZOaiab6969CUrhwKXBbz6cuo24ijA&#10;mFO5oWcYoOaov2j4Z2M8ppT6b+i2g8eUTu0GZBKypVO8icqBCgezPxbUGhS2ND/M4mFMGiBES+q/&#10;UiFTOiflIRmdwi3jHoPHlE7dFtS+U7fpi78+UlL1dRowpHNIjusvAa9wijaY0G9I54w85+LUx5nU&#10;fdBhnSNyqvv9G4m614PBgzvJOSOHi4VCj3NG7uxxgIm38vStPAUme90v7LywPA1PZxT6RU+1CVC/&#10;rlamaDBZK9uDIuw9g65PVMspveIFq5gHBmSNNBIzHlkjBIlBHO/iDPePUowOUpwDX3t0iBfGNDEU&#10;N7LgyM2pjLKXCc18gAs9n47DMD9OktL8kM5wP8gQq+xrYhb5mXGgDr0IwnT8ItrKUAsdOUpJIsfj&#10;JKlN2yMb1WeV6VXgAoOzOECKlgRnD9HaGso2pxuCMzr2LadqJ+CiF7BtngiTp6bd4ho8YjRKRQ3a&#10;E+RQDpu1+a0d+xIU2xno5qXKKWqz8Vw95yhZ9aKuWQB59LBxiSj+VcG7q3B9Ej9hSQuU7nbgpglw&#10;Trx1CWGA0IBIjctHDccJYFRU8bsENjZlRkUlN+zsMACT5uclW61AmCQZ8pGKTFAc7XLqM2nbvCBi&#10;1OaEfhR97NsmahSsnsfv0TY40xHyW0si+NtL+kds8bO/OiWYnyim3xWWn/XDxx9Sfvc7AAAA//8D&#10;AFBLAwQUAAYACAAAACEApmAU9+EAAAALAQAADwAAAGRycy9kb3ducmV2LnhtbEyPQUvDQBCF74L/&#10;YRnBm91sQkON2ZRS1FMRbAXxtk2mSWh2NmS3SfrvnZ70NDO8x5vv5evZdmLEwbeONKhFBAKpdFVL&#10;tYavw9vTCoQPhirTOUINV/SwLu7vcpNVbqJPHPehFhxCPjMamhD6TEpfNmiNX7geibWTG6wJfA61&#10;rAYzcbjtZBxFqbSmJf7QmB63DZbn/cVqeJ/MtEnU67g7n7bXn8Py43unUOvHh3nzAiLgHP7McMNn&#10;dCiY6eguVHnRaYhXCTt5PqcgbrpKYwXiyFu6TGKQRS7/dyh+AQAA//8DAFBLAQItABQABgAIAAAA&#10;IQC2gziS/gAAAOEBAAATAAAAAAAAAAAAAAAAAAAAAABbQ29udGVudF9UeXBlc10ueG1sUEsBAi0A&#10;FAAGAAgAAAAhADj9If/WAAAAlAEAAAsAAAAAAAAAAAAAAAAALwEAAF9yZWxzLy5yZWxzUEsBAi0A&#10;FAAGAAgAAAAhANwjFc0FDwAAkFkAAA4AAAAAAAAAAAAAAAAALgIAAGRycy9lMm9Eb2MueG1sUEsB&#10;Ai0AFAAGAAgAAAAhAKZgFPfhAAAACwEAAA8AAAAAAAAAAAAAAAAAXxEAAGRycy9kb3ducmV2Lnht&#10;bFBLBQYAAAAABAAEAPMAAABt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lqwQAAANoAAAAPAAAAZHJzL2Rvd25yZXYueG1sRI/NasMw&#10;EITvhb6D2EJvjexC0uBYCSZNSq/5eYDFWv8Qa2UsJVLy9FWh0OMwM98w5SaaQdxocr1lBfksA0Fc&#10;W91zq+B82r8tQTiPrHGwTAru5GCzfn4qsdA28IFuR9+KBGFXoILO+7GQ0tUdGXQzOxInr7GTQZ/k&#10;1Eo9YUhwM8j3LFtIgz2nhQ5H2nZUX45XoyDki0fbyEc1/9h97r7CIQbuo1KvL7FagfAU/X/4r/2t&#10;Fczh90q6AXL9AwAA//8DAFBLAQItABQABgAIAAAAIQDb4fbL7gAAAIUBAAATAAAAAAAAAAAAAAAA&#10;AAAAAABbQ29udGVudF9UeXBlc10ueG1sUEsBAi0AFAAGAAgAAAAhAFr0LFu/AAAAFQEAAAsAAAAA&#10;AAAAAAAAAAAAHwEAAF9yZWxzLy5yZWxzUEsBAi0AFAAGAAgAAAAhAA5F2Wr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KowwAAANoAAAAPAAAAZHJzL2Rvd25yZXYueG1sRI9Ba8JA&#10;FITvhf6H5RW81Y2CoUZXkRZBL0pV0OMj+0yC2bdhd03iv3eFQo/DzHzDzJe9qUVLzleWFYyGCQji&#10;3OqKCwWn4/rzC4QPyBpry6TgQR6Wi/e3OWbadvxL7SEUIkLYZ6igDKHJpPR5SQb90DbE0btaZzBE&#10;6QqpHXYRbmo5TpJUGqw4LpTY0HdJ+e1wNwry7ai9TM+Ty/2nrfbb067rU1coNfjoVzMQgfrwH/5r&#10;b7SCFF5X4g2QiycAAAD//wMAUEsBAi0AFAAGAAgAAAAhANvh9svuAAAAhQEAABMAAAAAAAAAAAAA&#10;AAAAAAAAAFtDb250ZW50X1R5cGVzXS54bWxQSwECLQAUAAYACAAAACEAWvQsW78AAAAVAQAACwAA&#10;AAAAAAAAAAAAAAAfAQAAX3JlbHMvLnJlbHNQSwECLQAUAAYACAAAACEAjS8CqMMAAADaAAAADwAA&#10;AAAAAAAAAAAAAAAHAgAAZHJzL2Rvd25yZXYueG1sUEsFBgAAAAADAAMAtwAAAPcCA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S1wwAAANoAAAAPAAAAZHJzL2Rvd25yZXYueG1sRI9Ba8JA&#10;FITvQv/D8gredNMKNkZXKYXWQE81Ih4f2dckmH0bdrdJ9Nd3CwWPw8x8w2x2o2lFT843lhU8zRMQ&#10;xKXVDVcKjsX7LAXhA7LG1jIpuJKH3fZhssFM24G/qD+ESkQI+wwV1CF0mZS+rMmgn9uOOHrf1hkM&#10;UbpKaodDhJtWPifJUhpsOC7U2NFbTeXl8GMU3PicpJfBFWVx+hgXdpXv+89cqenj+LoGEWgM9/B/&#10;O9cKXuDvSrwBcvsLAAD//wMAUEsBAi0AFAAGAAgAAAAhANvh9svuAAAAhQEAABMAAAAAAAAAAAAA&#10;AAAAAAAAAFtDb250ZW50X1R5cGVzXS54bWxQSwECLQAUAAYACAAAACEAWvQsW78AAAAVAQAACwAA&#10;AAAAAAAAAAAAAAAfAQAAX3JlbHMvLnJlbHNQSwECLQAUAAYACAAAACEAslEEtc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55wAAAANoAAAAPAAAAZHJzL2Rvd25yZXYueG1sRE+7asMw&#10;FN0D+QdxA90SOYEW41gOcaG03prHkPHGurFMrCtjqbH799VQyHg473w32U48aPCtYwXrVQKCuHa6&#10;5UbB+fSxTEH4gKyxc0wKfsnDrpjPcsy0G/lAj2NoRAxhn6ECE0KfSelrQxb9yvXEkbu5wWKIcGik&#10;HnCM4baTmyR5kxZbjg0Ge3o3VN+PP1ZBk3ymr2n5Hcr2XG2u626qLqVR6mUx7bcgAk3hKf53f2kF&#10;cWu8Em+ALP4AAAD//wMAUEsBAi0AFAAGAAgAAAAhANvh9svuAAAAhQEAABMAAAAAAAAAAAAAAAAA&#10;AAAAAFtDb250ZW50X1R5cGVzXS54bWxQSwECLQAUAAYACAAAACEAWvQsW78AAAAVAQAACwAAAAAA&#10;AAAAAAAAAAAfAQAAX3JlbHMvLnJlbHNQSwECLQAUAAYACAAAACEA82ZOecAAAADaAAAADwAAAAAA&#10;AAAAAAAAAAAHAgAAZHJzL2Rvd25yZXYueG1sUEsFBgAAAAADAAMAtwAAAPQ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LiwwAAANoAAAAPAAAAZHJzL2Rvd25yZXYueG1sRI9PawIx&#10;FMTvBb9DeIKXotl6sHU1iggVwVLqHzw/Ns/N6uZlSaK7/fZNodDjMDO/YebLztbiQT5UjhW8jDIQ&#10;xIXTFZcKTsf34RuIEJE11o5JwTcFWC56T3PMtWt5T49DLEWCcMhRgYmxyaUMhSGLYeQa4uRdnLcY&#10;k/Sl1B7bBLe1HGfZRFqsOC0YbGhtqLgd7lZBYe7h+ur3+txQu5Mfz3TafH0qNeh3qxmISF38D/+1&#10;t1rBFH6vpBsgFz8AAAD//wMAUEsBAi0AFAAGAAgAAAAhANvh9svuAAAAhQEAABMAAAAAAAAAAAAA&#10;AAAAAAAAAFtDb250ZW50X1R5cGVzXS54bWxQSwECLQAUAAYACAAAACEAWvQsW78AAAAVAQAACwAA&#10;AAAAAAAAAAAAAAAfAQAAX3JlbHMvLnJlbHNQSwECLQAUAAYACAAAACEALxKy4sMAAADaAAAADwAA&#10;AAAAAAAAAAAAAAAHAgAAZHJzL2Rvd25yZXYueG1sUEsFBgAAAAADAAMAtwAAAPcCA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UGqxQAAANsAAAAPAAAAZHJzL2Rvd25yZXYueG1sRI9BawIx&#10;EIXvhf6HMIVeimZbpJTVKCot9NCLWhVvw2bMLk0myyZ1t//eOQi9zfDevPfNbDEEry7UpSaygedx&#10;AYq4irZhZ+B79zF6A5UyskUfmQz8UYLF/P5uhqWNPW/oss1OSQinEg3UObel1qmqKWAax5ZYtHPs&#10;AmZZO6dth72EB69fiuJVB2xYGmpsaV1T9bP9DQb2Ht+9dW7Fk6ev46Fa96vDaWnM48OwnILKNOR/&#10;8+360wq+0MsvMoCeXwEAAP//AwBQSwECLQAUAAYACAAAACEA2+H2y+4AAACFAQAAEwAAAAAAAAAA&#10;AAAAAAAAAAAAW0NvbnRlbnRfVHlwZXNdLnhtbFBLAQItABQABgAIAAAAIQBa9CxbvwAAABUBAAAL&#10;AAAAAAAAAAAAAAAAAB8BAABfcmVscy8ucmVsc1BLAQItABQABgAIAAAAIQA26UGqxQAAANsAAAAP&#10;AAAAAAAAAAAAAAAAAAcCAABkcnMvZG93bnJldi54bWxQSwUGAAAAAAMAAwC3AAAA+QI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KdwgAAANsAAAAPAAAAZHJzL2Rvd25yZXYueG1sRE9Na8JA&#10;EL0L/Q/LFLzpJiq2pK5SFKs9SdNSehyyYxKanY3Z7Rr/fVcQvM3jfc5i1ZtGBOpcbVlBOk5AEBdW&#10;11wq+Prcjp5BOI+ssbFMCi7kYLV8GCww0/bMHxRyX4oYwi5DBZX3bSalKyoy6Ma2JY7c0XYGfYRd&#10;KXWH5xhuGjlJkrk0WHNsqLCldUXFb/5nFASZHk6h3bzh6en92+1mx+lPHpQaPvavLyA89f4uvrn3&#10;Os5P4fpLPEAu/wEAAP//AwBQSwECLQAUAAYACAAAACEA2+H2y+4AAACFAQAAEwAAAAAAAAAAAAAA&#10;AAAAAAAAW0NvbnRlbnRfVHlwZXNdLnhtbFBLAQItABQABgAIAAAAIQBa9CxbvwAAABUBAAALAAAA&#10;AAAAAAAAAAAAAB8BAABfcmVscy8ucmVsc1BLAQItABQABgAIAAAAIQD0HpKdwgAAANsAAAAPAAAA&#10;AAAAAAAAAAAAAAcCAABkcnMvZG93bnJldi54bWxQSwUGAAAAAAMAAwC3AAAA9g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1" behindDoc="1" locked="1" layoutInCell="1" allowOverlap="1" wp14:anchorId="350F8827" wp14:editId="139A22A4">
          <wp:simplePos x="0" y="0"/>
          <wp:positionH relativeFrom="page">
            <wp:posOffset>720090</wp:posOffset>
          </wp:positionH>
          <wp:positionV relativeFrom="page">
            <wp:posOffset>720090</wp:posOffset>
          </wp:positionV>
          <wp:extent cx="2656800" cy="8280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EDC6" w14:textId="77777777" w:rsidR="00CF35CE" w:rsidRDefault="00CF35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04FD" w14:textId="77777777" w:rsidR="00CF35CE" w:rsidRDefault="00CF35C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400F" w14:textId="77777777" w:rsidR="00CF35CE" w:rsidRDefault="00CF35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B38F" w14:textId="0F3499C3" w:rsidR="003A30F3" w:rsidRPr="00633068" w:rsidRDefault="0087042C" w:rsidP="00633068">
    <w:pPr>
      <w:pStyle w:val="Header"/>
      <w:tabs>
        <w:tab w:val="clear" w:pos="4680"/>
        <w:tab w:val="clear" w:pos="9360"/>
        <w:tab w:val="left" w:pos="2236"/>
      </w:tabs>
    </w:pPr>
    <w:r>
      <w:rPr>
        <w:noProof/>
      </w:rPr>
      <mc:AlternateContent>
        <mc:Choice Requires="wps">
          <w:drawing>
            <wp:anchor distT="0" distB="0" distL="114300" distR="114300" simplePos="0" relativeHeight="251658245" behindDoc="0" locked="1" layoutInCell="0" allowOverlap="1" wp14:anchorId="6FFB93BF" wp14:editId="5F4D075F">
              <wp:simplePos x="0" y="0"/>
              <wp:positionH relativeFrom="margin">
                <wp:align>center</wp:align>
              </wp:positionH>
              <wp:positionV relativeFrom="topMargin">
                <wp:align>center</wp:align>
              </wp:positionV>
              <wp:extent cx="892175" cy="546100"/>
              <wp:effectExtent l="0" t="0" r="0" b="6350"/>
              <wp:wrapNone/>
              <wp:docPr id="14" name="janusSEAL SC Header_S_5"/>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8233B8" w14:textId="662DD098" w:rsidR="0087042C" w:rsidRPr="0087042C" w:rsidRDefault="0087042C" w:rsidP="0087042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FB93BF" id="_x0000_t202" coordsize="21600,21600" o:spt="202" path="m,l,21600r21600,l21600,xe">
              <v:stroke joinstyle="miter"/>
              <v:path gradientshapeok="t" o:connecttype="rect"/>
            </v:shapetype>
            <v:shape id="janusSEAL SC Header_S_5" o:spid="_x0000_s1027" type="#_x0000_t202" style="position:absolute;margin-left:0;margin-top:0;width:70.25pt;height:43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textbox style="mso-fit-shape-to-text:t">
                <w:txbxContent>
                  <w:p w14:paraId="448233B8" w14:textId="662DD098" w:rsidR="0087042C" w:rsidRPr="0087042C" w:rsidRDefault="0087042C" w:rsidP="0087042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F03C" w14:textId="77777777" w:rsidR="00CF35CE" w:rsidRDefault="00CF35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7F9F" w14:textId="77777777" w:rsidR="00B33D14" w:rsidRDefault="00B33D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EAF7" w14:textId="77777777" w:rsidR="00B33D14" w:rsidRDefault="00B33D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8616" w14:textId="77777777" w:rsidR="00B33D14" w:rsidRDefault="00B33D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BC8D" w14:textId="77777777" w:rsidR="00CF35CE" w:rsidRDefault="00CF35C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E136" w14:textId="77777777" w:rsidR="00CF35CE" w:rsidRDefault="00CF3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4374" w14:textId="667261A8" w:rsidR="003A30F3" w:rsidRDefault="00817B1D" w:rsidP="007C7E2D">
    <w:pPr>
      <w:pStyle w:val="Header"/>
      <w:tabs>
        <w:tab w:val="clear" w:pos="4680"/>
        <w:tab w:val="clear" w:pos="9360"/>
        <w:tab w:val="left" w:pos="2236"/>
      </w:tabs>
    </w:pPr>
    <w:r>
      <w:rPr>
        <w:noProof/>
      </w:rPr>
      <mc:AlternateContent>
        <mc:Choice Requires="wpg">
          <w:drawing>
            <wp:anchor distT="0" distB="0" distL="114300" distR="114300" simplePos="0" relativeHeight="251658242" behindDoc="0" locked="1" layoutInCell="1" allowOverlap="1" wp14:anchorId="622F3345" wp14:editId="0D1E821E">
              <wp:simplePos x="0" y="0"/>
              <wp:positionH relativeFrom="page">
                <wp:align>right</wp:align>
              </wp:positionH>
              <wp:positionV relativeFrom="page">
                <wp:align>bottom</wp:align>
              </wp:positionV>
              <wp:extent cx="7282815" cy="61995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2815" cy="6199505"/>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1FEF" id="Group 2" o:spid="_x0000_s1026" style="position:absolute;margin-left:522.25pt;margin-top:0;width:573.45pt;height:488.15pt;z-index:251658242;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KnBAsAAAg1AAAOAAAAZHJzL2Uyb0RvYy54bWzsW91v2zgSfz/g/gfBjwdcI+rTMpouet1r&#10;cUBvt9jmsM+KLMfG2ZZPUup0//r9zZCUSFt02Gy6L5c8BPaY+nG+OJwZj1//8LDbBl/qtts0++uZ&#10;eBXOgnpfNcvN/u569p+b93+fz4KuL/fLctvs6+vZ17qb/fDmr395fTws6qhZN9tl3QYA2XeL4+F6&#10;tu77w+LqqqvW9a7sXjWHeo8PV027K3u8be+ulm15BPpuexWFYXZ1bNrloW2quutA/VF+OHvD+KtV&#10;XfU/r1Zd3Qfb6xl46/l/y/9v6f/Vm9fl4q4tD+tNpdgon8DFrtzssekA9WPZl8F9uzmD2m2qtuma&#10;Vf+qanZXzWq1qWqWAdKI8ESaD21zf2BZ7hbHu8OgJqj2RE9Phq1++vKhPXw+fGol93j5san+20Ev&#10;V8fD3cL8nN7fjYsfVu2OHoIQwQNr9Oug0fqhDyoQ82gezUU6Cyp8lomiSMNU6rxawzBnz1Xrf45P&#10;xvHwJExdZDE9eVUu5MbM3sDOwBtZntn+1Aab5fUshtX35Q6ux9oMEgKxJVMEhRXcHv/dLLG+vO8b&#10;tqmXoCISSZorQcMoy7K5n6BJlOOMkH7iLGKHdIqII9KNXtD9MS/4vC4PNTtXR1bW6hJaXe/buqZz&#10;F7DBjgdepR2lM73E+ISWdXAmTyWm80gqSfuLSMNMKSOMWYGDMspFdd/1H+qGna788rHrYTicuCVe&#10;yRfK0Dcw+Wq3xTn+21UQp0VwDPJCH/WlXgRBh0V5IYJ1INIil+zcDasia1U4DRUbi0SSOaASY1WW&#10;JNNQOCoDV6EDCBoa1ogsnwaCKw6LchE5oOB5wyqHcIWxRKSpC0mYSndACVPnl7BMrbuwLKXDcg4J&#10;han2KJxPa4sCzaAI8gMXmqn7KHToXpjKvySnqX43mqcFEDxGGZxuH5k2sP0eR204TOVan6/qYa8O&#10;GF4FJd3rIYfFQ9NR/KbThuB1I+joAAKr6DQ6FsOytFiH8suLYTpazAHoUWRYhhbzCX50MRRPiwsv&#10;nsm1aTXc10dEoWQUfkKSgzK6n5hCyQkf82JGSSr8RCUfImbgJQa6VKfyghY51Wk21c4CZFO39Ey5&#10;OJQ9OY9+GRyRBiD8BmvkhxRh6YNd86W+aXhJT04Ed+WN4ZBq43FFdX+7qf5R/2auTzLJaJqoW/bA&#10;MFmIkwf+44jFBS9M5u1BRmzWYlmYUzsgQjOUujcU/qNEUtWj2EkiXSQK1fUn0aNcKiHBLlKTzD1C&#10;vNQNHEsZ5dEdlHqKnNWp9SB1JqLUwldUhHZvePuRE3gFNE310o+Gh+CGHjRV5wxSaZoqr24veNwC&#10;rNDxvlf696R7biKtJoYcR2+i6bZ0CP+KqW+ww+lDWue+9G+TBLm8aY8ow1VCpyqMVE4vJTw/yycn&#10;Ytt0tXRkChV8aQwxgzka07yu2W6W7zfbLYUKLgrrd9s2+FKinOsftMNaq7Z8/ewbekruQhRUCzIz&#10;peS/W9w2y6/IUlG4oiJcN+1vs+CIIvB61v3vvmzrWbD91x75dSGSBA7W8xuk9xQeW/OTW/OT/f3u&#10;XQPGoJZyXwEVPOqX73pZdKLqg6wf958PFS3kCNh2/c3Dr2V7CA54iYeQDf/U6Py8XOhcF7qhBXKt&#10;EkkKot6gOpDiff8yAQFMVlVDmcCh9bnLhJMorMuEOIsRnSdrpieWCWKeUmooCtQfHHPGEsBMmDgl&#10;L0K+2Slb0sUE1DGmj/OU8sIpKDNndUFBsBFKJC4oK2FNOCuf4MtMV1OuOabYQuQZtkyTlHLfCSwz&#10;WRWJcIhoJavE/jTYWbkwxZddL5CFHGCm+qlemAQzlc/mdoCZBnCCWeqHslycmQaIw8jFm2kB0r0L&#10;zrRBHLpsgGRvNOgFUe2KwQlnlQyX4EwzJJFLd5FliChz+W5kGiJ3nilcPqOwudNHItMSgnaddpPI&#10;NAUJMe0lkWkJ6MR1TJGIjtyRxabhqEs1HEFW8TR3sRmMLsCZlqDD4BA2Nk1B7ungzrTEJTjTFE5R&#10;LUO4w25sGsI0A67BlzJ1og7/vy9T3U0HHAeuav0qcgo8vNyvIqfIwsv9KnKKHLzcryKnyEDLcfJl&#10;Nnu5ZRIrUXGyvZYrUWM/UWMlKs6mgU45+9Akekp7gK9r7g9Q2jHVH6CQyHrQDfLL7QEKyONyXRX5&#10;ULn+MPsNdu0iKxyRUZcaVrGaAyLOJDW1yUiCeLFA1a+09mj9XqhGTASN4xktQa66P3FuVfDI7HgH&#10;5G7eO8Q5Yj9EIEhjB9qQyMSAQUa+J2UgYXyFgB4IivViYCkq6fCcSnb2xVdA6hGtIx+ql5U1EBQ1&#10;wefcajyptSpr9oLHdSvVox7S/PvSPTdRdpvb/CJ1kJvPbelG+jfY4fShURK9iQRz0b9Nkkx64ACW&#10;SD9GpW75E1I3KSFSPW+PSgrZgRNhbrU6MtWkLaA2wxeQlPIeyDq9tyAIOhUEaUDxjkQnFkw6sc90&#10;eSC9dAVdIBMDWHzaSVShiCxmbqLDpaL7baJD8jmYDNWP0D03QaRjSU45po4ySXhCp/pd0v2tLq8f&#10;gNlK0VAXqJ4yKF7tiDpXkp1Q4UrEP1PP4Z+xdUa3yvZ+h++6ZTstC/EnvQJk+nKeu2yJJoOZoQHH&#10;PbuXrpvsKv6JXTeEupOuG9/Gz911wzcOMg5ieEN6hG68RSlFSGq8ibzQyYaej3jS9/MCQx5UnaKl&#10;J7cam2oIlENNTAVgoaPZuASxcVgCJPpSfQrJLHMdSAgzA1Kec+9igiWrwMWXyZNMIQINUHFI4wdT&#10;PJnlbSKoTzYhH4LBAOXiyewwzHMHT1a/DV98OJiyOm7gZ5or+oZzYCuJuQ01oSx8ATouS+PCAWZq&#10;fh5zq2IKzFR9lLnENHV/wSGEqX2RU+NjQvvCVP8lRzVN4ESjhGTQGnmEwwZ2uy2nXuAEb5Fpg0to&#10;phEcvm912i7IabXaDCxcDS8dmZeODG6Fk8GB79uRofToj/UdKM5Q34HO12TbgScQjXTskbYDbqAx&#10;e9MVCoWhx6jnmZ7VIlBtB0GHXnOj4QvMyXHGa9UNuMKYKvCdNjJ9L/y0kLmzmFspL38Fil2juVVg&#10;4WbjHXB3ee8gaNQRUCdjGyi2iJrr2VAprhQAN5o/vJoiGcKl0psX2UtFEX15QawWVn2o3SSzJytw&#10;NUpx46HXZ5l1qreUooylHRIEZaNEy+ZyY8zEmmTcl7waF6K3loq5dMfIbsAIzK8yFi4wc4vBfRXd&#10;S090iTjAvOiemyj9nnGsO252c4OzMNKtkHTPTShG4CG7TuPIcZnqCa94PYFXkp1QlVKZeg7/TMVh&#10;WVX1vmfvwx4vVZ5R5Y0z53/WnAWOqqz4fsHYHVKMbR0gBCEwGDWfekdz13SJ6XJMzeVnRSQH6eGt&#10;6TzRc/TlQtd0saz81TiFUe5rIBo6oblrNZ5CHX6+LU/mUvRo9jB6g/6CzyxO13/d1tyN2P9SrzC0&#10;j3nAiDcY+g2yFSEdUw7NdOtyWUtyarA8PMFX3pYACXmFWaABWwHQL0zGYSKNLe9KtZ4erflHJMPD&#10;cvR12MZmTD48PME7N/t+eHi32TftlGTbnqM6jttKrlcDPUo1xsRS28ifsHSH6v0GdvlYdv2nssWs&#10;O65LGmf6Gf9W2wZDlxix5FfIcDDgNEX/buNP4I4nocBT22/1y1Xb7H7Fz3Xe0tAVPtJDUlXf6jd6&#10;TAo/PKjqt2952TOOTJWLffMWP+tYbei3AzwTdj5AxYccP7dhF1I/DaLf85jv+eHxB0xvfgcAAP//&#10;AwBQSwMEFAAGAAgAAAAhAAwbrpveAAAABgEAAA8AAABkcnMvZG93bnJldi54bWxMj0FLw0AQhe+C&#10;/2EZwZvdxGpsYzalFPVUCrZC8TbNTpPQ7GzIbpP037v1opeBx3u89022GE0jeupcbVlBPIlAEBdW&#10;11wq+Nq9P8xAOI+ssbFMCi7kYJHf3mSYajvwJ/VbX4pQwi5FBZX3bSqlKyoy6Ca2JQ7e0XYGfZBd&#10;KXWHQyg3jXyMokQarDksVNjSqqLitD0bBR8DDstp/NavT8fV5Xv3vNmvY1Lq/m5cvoLwNPq/MFzx&#10;Azrkgelgz6ydaBSER/zvvXrxUzIHcVAwf0mmIPNM/sfPfwAAAP//AwBQSwECLQAUAAYACAAAACEA&#10;toM4kv4AAADhAQAAEwAAAAAAAAAAAAAAAAAAAAAAW0NvbnRlbnRfVHlwZXNdLnhtbFBLAQItABQA&#10;BgAIAAAAIQA4/SH/1gAAAJQBAAALAAAAAAAAAAAAAAAAAC8BAABfcmVscy8ucmVsc1BLAQItABQA&#10;BgAIAAAAIQCeayKnBAsAAAg1AAAOAAAAAAAAAAAAAAAAAC4CAABkcnMvZTJvRG9jLnhtbFBLAQIt&#10;ABQABgAIAAAAIQAMG66b3gAAAAYBAAAPAAAAAAAAAAAAAAAAAF4NAABkcnMvZG93bnJldi54bWxQ&#10;SwUGAAAAAAQABADzAAAAaQ4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0AAC0171" wp14:editId="006E8554">
          <wp:simplePos x="0" y="0"/>
          <wp:positionH relativeFrom="page">
            <wp:posOffset>720090</wp:posOffset>
          </wp:positionH>
          <wp:positionV relativeFrom="page">
            <wp:posOffset>720090</wp:posOffset>
          </wp:positionV>
          <wp:extent cx="2656800" cy="8280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BBC5" w14:textId="77777777" w:rsidR="00CF35CE" w:rsidRDefault="00CF3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4EEB" w14:textId="77777777" w:rsidR="00CF35CE" w:rsidRDefault="00CF35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F8EF" w14:textId="42C77790"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D4CE" w14:textId="77777777" w:rsidR="00CF35CE" w:rsidRDefault="00CF35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CA58" w14:textId="77777777" w:rsidR="00CF35CE" w:rsidRDefault="00CF35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1336" w14:textId="77777777" w:rsidR="00CF35CE" w:rsidRDefault="00CF35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6C16" w14:textId="77777777" w:rsidR="00CF35CE" w:rsidRDefault="00CF35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D292" w14:textId="77777777" w:rsidR="00CF35CE" w:rsidRDefault="00CF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84A2A4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925084CA"/>
    <w:lvl w:ilvl="0">
      <w:start w:val="1"/>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D6087300"/>
    <w:lvl w:ilvl="0">
      <w:start w:val="1"/>
      <w:numFmt w:val="decimal"/>
      <w:lvlText w:val="1.%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9048BC2C">
      <w:start w:val="1"/>
      <w:numFmt w:val="bullet"/>
      <w:lvlText w:val=""/>
      <w:lvlJc w:val="left"/>
      <w:pPr>
        <w:ind w:left="720" w:hanging="360"/>
      </w:pPr>
      <w:rPr>
        <w:rFonts w:ascii="Symbol" w:hAnsi="Symbol"/>
        <w:b w:val="0"/>
        <w:bCs w:val="0"/>
      </w:rPr>
    </w:lvl>
    <w:lvl w:ilvl="1" w:tplc="813AFD44">
      <w:start w:val="1"/>
      <w:numFmt w:val="bullet"/>
      <w:lvlText w:val="o"/>
      <w:lvlJc w:val="left"/>
      <w:pPr>
        <w:tabs>
          <w:tab w:val="num" w:pos="1440"/>
        </w:tabs>
        <w:ind w:left="1440" w:hanging="360"/>
      </w:pPr>
      <w:rPr>
        <w:rFonts w:ascii="Courier New" w:hAnsi="Courier New"/>
      </w:rPr>
    </w:lvl>
    <w:lvl w:ilvl="2" w:tplc="C1FA0ACC">
      <w:start w:val="1"/>
      <w:numFmt w:val="bullet"/>
      <w:lvlText w:val=""/>
      <w:lvlJc w:val="left"/>
      <w:pPr>
        <w:tabs>
          <w:tab w:val="num" w:pos="2160"/>
        </w:tabs>
        <w:ind w:left="2160" w:hanging="360"/>
      </w:pPr>
      <w:rPr>
        <w:rFonts w:ascii="Wingdings" w:hAnsi="Wingdings"/>
      </w:rPr>
    </w:lvl>
    <w:lvl w:ilvl="3" w:tplc="B3B6E680">
      <w:start w:val="1"/>
      <w:numFmt w:val="bullet"/>
      <w:lvlText w:val=""/>
      <w:lvlJc w:val="left"/>
      <w:pPr>
        <w:tabs>
          <w:tab w:val="num" w:pos="2880"/>
        </w:tabs>
        <w:ind w:left="2880" w:hanging="360"/>
      </w:pPr>
      <w:rPr>
        <w:rFonts w:ascii="Symbol" w:hAnsi="Symbol"/>
      </w:rPr>
    </w:lvl>
    <w:lvl w:ilvl="4" w:tplc="7FCAFD78">
      <w:start w:val="1"/>
      <w:numFmt w:val="bullet"/>
      <w:lvlText w:val="o"/>
      <w:lvlJc w:val="left"/>
      <w:pPr>
        <w:tabs>
          <w:tab w:val="num" w:pos="3600"/>
        </w:tabs>
        <w:ind w:left="3600" w:hanging="360"/>
      </w:pPr>
      <w:rPr>
        <w:rFonts w:ascii="Courier New" w:hAnsi="Courier New"/>
      </w:rPr>
    </w:lvl>
    <w:lvl w:ilvl="5" w:tplc="9A52EBEC">
      <w:start w:val="1"/>
      <w:numFmt w:val="bullet"/>
      <w:lvlText w:val=""/>
      <w:lvlJc w:val="left"/>
      <w:pPr>
        <w:tabs>
          <w:tab w:val="num" w:pos="4320"/>
        </w:tabs>
        <w:ind w:left="4320" w:hanging="360"/>
      </w:pPr>
      <w:rPr>
        <w:rFonts w:ascii="Wingdings" w:hAnsi="Wingdings"/>
      </w:rPr>
    </w:lvl>
    <w:lvl w:ilvl="6" w:tplc="49D0156A">
      <w:start w:val="1"/>
      <w:numFmt w:val="bullet"/>
      <w:lvlText w:val=""/>
      <w:lvlJc w:val="left"/>
      <w:pPr>
        <w:tabs>
          <w:tab w:val="num" w:pos="5040"/>
        </w:tabs>
        <w:ind w:left="5040" w:hanging="360"/>
      </w:pPr>
      <w:rPr>
        <w:rFonts w:ascii="Symbol" w:hAnsi="Symbol"/>
      </w:rPr>
    </w:lvl>
    <w:lvl w:ilvl="7" w:tplc="EDD6DA32">
      <w:start w:val="1"/>
      <w:numFmt w:val="bullet"/>
      <w:lvlText w:val="o"/>
      <w:lvlJc w:val="left"/>
      <w:pPr>
        <w:tabs>
          <w:tab w:val="num" w:pos="5760"/>
        </w:tabs>
        <w:ind w:left="5760" w:hanging="360"/>
      </w:pPr>
      <w:rPr>
        <w:rFonts w:ascii="Courier New" w:hAnsi="Courier New"/>
      </w:rPr>
    </w:lvl>
    <w:lvl w:ilvl="8" w:tplc="6AEC621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5"/>
    <w:multiLevelType w:val="multilevel"/>
    <w:tmpl w:val="00000005"/>
    <w:lvl w:ilvl="0">
      <w:start w:val="3"/>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6"/>
    <w:multiLevelType w:val="multilevel"/>
    <w:tmpl w:val="00000006"/>
    <w:lvl w:ilvl="0">
      <w:start w:val="4"/>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7"/>
    <w:multiLevelType w:val="hybridMultilevel"/>
    <w:tmpl w:val="00000007"/>
    <w:lvl w:ilvl="0" w:tplc="4D74B44A">
      <w:start w:val="1"/>
      <w:numFmt w:val="bullet"/>
      <w:lvlText w:val=""/>
      <w:lvlJc w:val="left"/>
      <w:pPr>
        <w:ind w:left="720" w:hanging="360"/>
      </w:pPr>
      <w:rPr>
        <w:rFonts w:ascii="Symbol" w:hAnsi="Symbol"/>
        <w:b w:val="0"/>
        <w:bCs w:val="0"/>
      </w:rPr>
    </w:lvl>
    <w:lvl w:ilvl="1" w:tplc="22B03BFC">
      <w:start w:val="1"/>
      <w:numFmt w:val="bullet"/>
      <w:lvlText w:val="o"/>
      <w:lvlJc w:val="left"/>
      <w:pPr>
        <w:tabs>
          <w:tab w:val="num" w:pos="1440"/>
        </w:tabs>
        <w:ind w:left="1440" w:hanging="360"/>
      </w:pPr>
      <w:rPr>
        <w:rFonts w:ascii="Courier New" w:hAnsi="Courier New"/>
      </w:rPr>
    </w:lvl>
    <w:lvl w:ilvl="2" w:tplc="C05E91A8">
      <w:start w:val="1"/>
      <w:numFmt w:val="bullet"/>
      <w:lvlText w:val=""/>
      <w:lvlJc w:val="left"/>
      <w:pPr>
        <w:tabs>
          <w:tab w:val="num" w:pos="2160"/>
        </w:tabs>
        <w:ind w:left="2160" w:hanging="360"/>
      </w:pPr>
      <w:rPr>
        <w:rFonts w:ascii="Wingdings" w:hAnsi="Wingdings"/>
      </w:rPr>
    </w:lvl>
    <w:lvl w:ilvl="3" w:tplc="70E68AEA">
      <w:start w:val="1"/>
      <w:numFmt w:val="bullet"/>
      <w:lvlText w:val=""/>
      <w:lvlJc w:val="left"/>
      <w:pPr>
        <w:tabs>
          <w:tab w:val="num" w:pos="2880"/>
        </w:tabs>
        <w:ind w:left="2880" w:hanging="360"/>
      </w:pPr>
      <w:rPr>
        <w:rFonts w:ascii="Symbol" w:hAnsi="Symbol"/>
      </w:rPr>
    </w:lvl>
    <w:lvl w:ilvl="4" w:tplc="CC325224">
      <w:start w:val="1"/>
      <w:numFmt w:val="bullet"/>
      <w:lvlText w:val="o"/>
      <w:lvlJc w:val="left"/>
      <w:pPr>
        <w:tabs>
          <w:tab w:val="num" w:pos="3600"/>
        </w:tabs>
        <w:ind w:left="3600" w:hanging="360"/>
      </w:pPr>
      <w:rPr>
        <w:rFonts w:ascii="Courier New" w:hAnsi="Courier New"/>
      </w:rPr>
    </w:lvl>
    <w:lvl w:ilvl="5" w:tplc="8CE26514">
      <w:start w:val="1"/>
      <w:numFmt w:val="bullet"/>
      <w:lvlText w:val=""/>
      <w:lvlJc w:val="left"/>
      <w:pPr>
        <w:tabs>
          <w:tab w:val="num" w:pos="4320"/>
        </w:tabs>
        <w:ind w:left="4320" w:hanging="360"/>
      </w:pPr>
      <w:rPr>
        <w:rFonts w:ascii="Wingdings" w:hAnsi="Wingdings"/>
      </w:rPr>
    </w:lvl>
    <w:lvl w:ilvl="6" w:tplc="279CFBB4">
      <w:start w:val="1"/>
      <w:numFmt w:val="bullet"/>
      <w:lvlText w:val=""/>
      <w:lvlJc w:val="left"/>
      <w:pPr>
        <w:tabs>
          <w:tab w:val="num" w:pos="5040"/>
        </w:tabs>
        <w:ind w:left="5040" w:hanging="360"/>
      </w:pPr>
      <w:rPr>
        <w:rFonts w:ascii="Symbol" w:hAnsi="Symbol"/>
      </w:rPr>
    </w:lvl>
    <w:lvl w:ilvl="7" w:tplc="DCE4D442">
      <w:start w:val="1"/>
      <w:numFmt w:val="bullet"/>
      <w:lvlText w:val="o"/>
      <w:lvlJc w:val="left"/>
      <w:pPr>
        <w:tabs>
          <w:tab w:val="num" w:pos="5760"/>
        </w:tabs>
        <w:ind w:left="5760" w:hanging="360"/>
      </w:pPr>
      <w:rPr>
        <w:rFonts w:ascii="Courier New" w:hAnsi="Courier New"/>
      </w:rPr>
    </w:lvl>
    <w:lvl w:ilvl="8" w:tplc="9628104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8"/>
    <w:multiLevelType w:val="multilevel"/>
    <w:tmpl w:val="00000008"/>
    <w:lvl w:ilvl="0">
      <w:start w:val="4"/>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9"/>
    <w:multiLevelType w:val="multilevel"/>
    <w:tmpl w:val="D5C2FBE4"/>
    <w:lvl w:ilvl="0">
      <w:start w:val="5"/>
      <w:numFmt w:val="decimal"/>
      <w:lvlText w:val="%1."/>
      <w:lvlJc w:val="left"/>
      <w:pPr>
        <w:ind w:left="720" w:hanging="360"/>
      </w:pPr>
    </w:lvl>
    <w:lvl w:ilvl="1">
      <w:start w:val="1"/>
      <w:numFmt w:val="decimal"/>
      <w:lvlText w:val="%1.%2"/>
      <w:lvlJc w:val="left"/>
      <w:pPr>
        <w:ind w:left="1440" w:hanging="360"/>
      </w:pPr>
    </w:lvl>
    <w:lvl w:ilvl="2">
      <w:start w:val="5"/>
      <w:numFmt w:val="decimal"/>
      <w:lvlText w:val="%3.1.1"/>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multilevel"/>
    <w:tmpl w:val="0000000C"/>
    <w:lvl w:ilvl="0">
      <w:start w:val="1"/>
      <w:numFmt w:val="decimal"/>
      <w:lvlText w:val="1.%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D"/>
    <w:multiLevelType w:val="multilevel"/>
    <w:tmpl w:val="0000000D"/>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lvl w:ilvl="0">
      <w:start w:val="3"/>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F"/>
    <w:multiLevelType w:val="multilevel"/>
    <w:tmpl w:val="0000000F"/>
    <w:lvl w:ilvl="0">
      <w:start w:val="4"/>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lvl w:ilvl="0">
      <w:start w:val="4"/>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Arial" w:eastAsia="Arial" w:hAnsi="Arial" w:cs="Arial"/>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1"/>
    <w:multiLevelType w:val="multilevel"/>
    <w:tmpl w:val="C5BEC228"/>
    <w:lvl w:ilvl="0">
      <w:start w:val="5"/>
      <w:numFmt w:val="decimal"/>
      <w:lvlText w:val="%1."/>
      <w:lvlJc w:val="left"/>
      <w:pPr>
        <w:ind w:left="720" w:hanging="360"/>
      </w:pPr>
    </w:lvl>
    <w:lvl w:ilvl="1">
      <w:start w:val="1"/>
      <w:numFmt w:val="decimal"/>
      <w:lvlText w:val="%1.%2"/>
      <w:lvlJc w:val="left"/>
      <w:pPr>
        <w:ind w:left="1440" w:hanging="360"/>
      </w:pPr>
    </w:lvl>
    <w:lvl w:ilvl="2">
      <w:start w:val="5"/>
      <w:numFmt w:val="decimal"/>
      <w:lvlText w:val="7.1.%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BB86ACD6"/>
    <w:lvl w:ilvl="0">
      <w:start w:val="7"/>
      <w:numFmt w:val="decimal"/>
      <w:lvlText w:val="%1."/>
      <w:lvlJc w:val="left"/>
      <w:pPr>
        <w:tabs>
          <w:tab w:val="num" w:pos="720"/>
        </w:tabs>
        <w:ind w:left="720" w:hanging="360"/>
      </w:pPr>
      <w:rPr>
        <w:rFonts w:hint="default"/>
      </w:rPr>
    </w:lvl>
    <w:lvl w:ilvl="1">
      <w:start w:val="2"/>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000014"/>
    <w:multiLevelType w:val="multilevel"/>
    <w:tmpl w:val="00000014"/>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6"/>
    <w:multiLevelType w:val="multilevel"/>
    <w:tmpl w:val="775211C4"/>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1.%2.%3"/>
      <w:lvlJc w:val="left"/>
      <w:pPr>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000017"/>
    <w:multiLevelType w:val="multilevel"/>
    <w:tmpl w:val="AE84B00C"/>
    <w:lvl w:ilvl="0">
      <w:start w:val="1"/>
      <w:numFmt w:val="bullet"/>
      <w:lvlText w:val=""/>
      <w:lvlJc w:val="left"/>
      <w:pPr>
        <w:tabs>
          <w:tab w:val="num" w:pos="720"/>
        </w:tabs>
        <w:ind w:left="720" w:hanging="360"/>
      </w:pPr>
      <w:rPr>
        <w:rFonts w:ascii="Symbol" w:hAnsi="Symbol"/>
      </w:rPr>
    </w:lvl>
    <w:lvl w:ilvl="1">
      <w:start w:val="7"/>
      <w:numFmt w:val="decimal"/>
      <w:lvlText w:val="o"/>
      <w:lvlJc w:val="left"/>
      <w:pPr>
        <w:tabs>
          <w:tab w:val="num" w:pos="1440"/>
        </w:tabs>
        <w:ind w:left="1440" w:hanging="360"/>
      </w:pPr>
      <w:rPr>
        <w:rFonts w:ascii="Courier New" w:hAnsi="Courier New"/>
      </w:rPr>
    </w:lvl>
    <w:lvl w:ilvl="2">
      <w:start w:val="2"/>
      <w:numFmt w:val="decimal"/>
      <w:lvlText w:val=""/>
      <w:lvlJc w:val="left"/>
      <w:pPr>
        <w:tabs>
          <w:tab w:val="num" w:pos="2160"/>
        </w:tabs>
        <w:ind w:left="2160" w:hanging="360"/>
      </w:pPr>
      <w:rPr>
        <w:rFonts w:ascii="Wingdings" w:hAnsi="Wingdings"/>
      </w:rPr>
    </w:lvl>
    <w:lvl w:ilvl="3">
      <w:start w:val="1"/>
      <w:numFmt w:val="lowerLetter"/>
      <w:lvlText w:val="%4."/>
      <w:lvlJc w:val="left"/>
      <w:pPr>
        <w:ind w:left="2880" w:hanging="360"/>
      </w:pPr>
      <w:rPr>
        <w:rFonts w:asciiTheme="majorHAnsi" w:hAnsiTheme="majorHAnsi" w:cstheme="majorHAnsi" w:hint="default"/>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B131A6"/>
    <w:multiLevelType w:val="multilevel"/>
    <w:tmpl w:val="95124460"/>
    <w:lvl w:ilvl="0">
      <w:start w:val="7"/>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7.1.%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3C049B"/>
    <w:multiLevelType w:val="multilevel"/>
    <w:tmpl w:val="6D9A2BC2"/>
    <w:numStyleLink w:val="NumberedHeadings"/>
  </w:abstractNum>
  <w:abstractNum w:abstractNumId="25"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0F7DAA"/>
    <w:multiLevelType w:val="multilevel"/>
    <w:tmpl w:val="D310ACAA"/>
    <w:lvl w:ilvl="0">
      <w:start w:val="4"/>
      <w:numFmt w:val="decimal"/>
      <w:lvlText w:val=""/>
      <w:lvlJc w:val="left"/>
      <w:pPr>
        <w:tabs>
          <w:tab w:val="num" w:pos="720"/>
        </w:tabs>
        <w:ind w:left="720" w:hanging="360"/>
      </w:pPr>
      <w:rPr>
        <w:rFonts w:ascii="Symbol" w:hAnsi="Symbol" w:hint="default"/>
      </w:rPr>
    </w:lvl>
    <w:lvl w:ilvl="1">
      <w:start w:val="3"/>
      <w:numFmt w:val="decimal"/>
      <w:lvlText w:val="%1.%2"/>
      <w:lvlJc w:val="left"/>
      <w:pPr>
        <w:ind w:left="0" w:firstLine="0"/>
      </w:pPr>
      <w:rPr>
        <w:rFonts w:ascii="Arial" w:eastAsia="Arial" w:hAnsi="Arial" w:cs="Arial" w:hint="default"/>
        <w:sz w:val="22"/>
        <w:szCs w:val="22"/>
      </w:rPr>
    </w:lvl>
    <w:lvl w:ilvl="2">
      <w:start w:val="1"/>
      <w:numFmt w:val="decimal"/>
      <w:lvlText w:val="4.3.%3"/>
      <w:lvlJc w:val="left"/>
      <w:pPr>
        <w:ind w:left="1800" w:hanging="360"/>
      </w:pPr>
      <w:rPr>
        <w:rFonts w:asciiTheme="majorHAnsi" w:hAnsiTheme="majorHAnsi" w:cstheme="majorHAns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D2FD2"/>
    <w:multiLevelType w:val="multilevel"/>
    <w:tmpl w:val="FA4A83A2"/>
    <w:lvl w:ilvl="0">
      <w:start w:val="3"/>
      <w:numFmt w:val="decimal"/>
      <w:lvlText w:val=""/>
      <w:lvlJc w:val="left"/>
      <w:pPr>
        <w:tabs>
          <w:tab w:val="num" w:pos="720"/>
        </w:tabs>
        <w:ind w:left="720" w:hanging="360"/>
      </w:pPr>
      <w:rPr>
        <w:rFonts w:ascii="Symbol" w:hAnsi="Symbol" w:hint="default"/>
      </w:rPr>
    </w:lvl>
    <w:lvl w:ilvl="1">
      <w:start w:val="3"/>
      <w:numFmt w:val="decimal"/>
      <w:lvlText w:val="%1.%2"/>
      <w:lvlJc w:val="left"/>
      <w:pPr>
        <w:ind w:left="0" w:firstLine="0"/>
      </w:pPr>
      <w:rPr>
        <w:rFonts w:ascii="Arial" w:eastAsia="Arial" w:hAnsi="Arial" w:cs="Arial" w:hint="default"/>
        <w:sz w:val="22"/>
        <w:szCs w:val="22"/>
      </w:rPr>
    </w:lvl>
    <w:lvl w:ilvl="2">
      <w:start w:val="1"/>
      <w:numFmt w:val="decimal"/>
      <w:lvlText w:val="3.3.%3"/>
      <w:lvlJc w:val="left"/>
      <w:pPr>
        <w:ind w:left="1800" w:hanging="360"/>
      </w:pPr>
      <w:rPr>
        <w:rFonts w:asciiTheme="majorHAnsi" w:hAnsiTheme="majorHAnsi" w:cstheme="majorHAns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EF2238"/>
    <w:multiLevelType w:val="multilevel"/>
    <w:tmpl w:val="8CB20F2A"/>
    <w:lvl w:ilvl="0">
      <w:start w:val="6"/>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decimal"/>
      <w:lvlText w:val="6.2.%3"/>
      <w:lvlJc w:val="left"/>
      <w:pPr>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8B0109"/>
    <w:multiLevelType w:val="multilevel"/>
    <w:tmpl w:val="3D66CBA2"/>
    <w:numStyleLink w:val="CustomNumberlist"/>
  </w:abstractNum>
  <w:abstractNum w:abstractNumId="32" w15:restartNumberingAfterBreak="0">
    <w:nsid w:val="5630430E"/>
    <w:multiLevelType w:val="multilevel"/>
    <w:tmpl w:val="2034BB8E"/>
    <w:lvl w:ilvl="0">
      <w:start w:val="10"/>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decimal"/>
      <w:lvlText w:val="10.1.%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84E4F7E"/>
    <w:multiLevelType w:val="multilevel"/>
    <w:tmpl w:val="B4E41114"/>
    <w:lvl w:ilvl="0">
      <w:start w:val="1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1.1.%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2585939">
    <w:abstractNumId w:val="29"/>
  </w:num>
  <w:num w:numId="2" w16cid:durableId="711804848">
    <w:abstractNumId w:val="25"/>
  </w:num>
  <w:num w:numId="3" w16cid:durableId="1514102916">
    <w:abstractNumId w:val="30"/>
  </w:num>
  <w:num w:numId="4" w16cid:durableId="495270193">
    <w:abstractNumId w:val="34"/>
  </w:num>
  <w:num w:numId="5" w16cid:durableId="869995055">
    <w:abstractNumId w:val="24"/>
  </w:num>
  <w:num w:numId="6" w16cid:durableId="1503740093">
    <w:abstractNumId w:val="31"/>
  </w:num>
  <w:num w:numId="7" w16cid:durableId="1781491648">
    <w:abstractNumId w:val="23"/>
  </w:num>
  <w:num w:numId="8" w16cid:durableId="436099854">
    <w:abstractNumId w:val="35"/>
  </w:num>
  <w:num w:numId="9" w16cid:durableId="592904241">
    <w:abstractNumId w:val="2"/>
  </w:num>
  <w:num w:numId="10" w16cid:durableId="2104952175">
    <w:abstractNumId w:val="3"/>
  </w:num>
  <w:num w:numId="11" w16cid:durableId="866721373">
    <w:abstractNumId w:val="4"/>
  </w:num>
  <w:num w:numId="12" w16cid:durableId="161705154">
    <w:abstractNumId w:val="5"/>
  </w:num>
  <w:num w:numId="13" w16cid:durableId="331954319">
    <w:abstractNumId w:val="6"/>
  </w:num>
  <w:num w:numId="14" w16cid:durableId="2102946504">
    <w:abstractNumId w:val="7"/>
  </w:num>
  <w:num w:numId="15" w16cid:durableId="1298602904">
    <w:abstractNumId w:val="8"/>
  </w:num>
  <w:num w:numId="16" w16cid:durableId="1493567779">
    <w:abstractNumId w:val="9"/>
  </w:num>
  <w:num w:numId="17" w16cid:durableId="994381207">
    <w:abstractNumId w:val="10"/>
  </w:num>
  <w:num w:numId="18" w16cid:durableId="231624968">
    <w:abstractNumId w:val="11"/>
  </w:num>
  <w:num w:numId="19" w16cid:durableId="1721056319">
    <w:abstractNumId w:val="12"/>
  </w:num>
  <w:num w:numId="20" w16cid:durableId="2108967162">
    <w:abstractNumId w:val="13"/>
  </w:num>
  <w:num w:numId="21" w16cid:durableId="1721705538">
    <w:abstractNumId w:val="14"/>
  </w:num>
  <w:num w:numId="22" w16cid:durableId="535317222">
    <w:abstractNumId w:val="15"/>
  </w:num>
  <w:num w:numId="23" w16cid:durableId="729841127">
    <w:abstractNumId w:val="16"/>
  </w:num>
  <w:num w:numId="24" w16cid:durableId="1367869551">
    <w:abstractNumId w:val="17"/>
  </w:num>
  <w:num w:numId="25" w16cid:durableId="788209569">
    <w:abstractNumId w:val="18"/>
  </w:num>
  <w:num w:numId="26" w16cid:durableId="646740736">
    <w:abstractNumId w:val="19"/>
  </w:num>
  <w:num w:numId="27" w16cid:durableId="95560967">
    <w:abstractNumId w:val="20"/>
  </w:num>
  <w:num w:numId="28" w16cid:durableId="1192181703">
    <w:abstractNumId w:val="21"/>
  </w:num>
  <w:num w:numId="29" w16cid:durableId="1889299111">
    <w:abstractNumId w:val="32"/>
  </w:num>
  <w:num w:numId="30" w16cid:durableId="1201091967">
    <w:abstractNumId w:val="22"/>
  </w:num>
  <w:num w:numId="31" w16cid:durableId="306711230">
    <w:abstractNumId w:val="33"/>
  </w:num>
  <w:num w:numId="32" w16cid:durableId="262612268">
    <w:abstractNumId w:val="28"/>
  </w:num>
  <w:num w:numId="33" w16cid:durableId="986397830">
    <w:abstractNumId w:val="27"/>
  </w:num>
  <w:num w:numId="34" w16cid:durableId="582494247">
    <w:abstractNumId w:val="26"/>
  </w:num>
  <w:num w:numId="35" w16cid:durableId="1712607341">
    <w:abstractNumId w:val="0"/>
  </w:num>
  <w:num w:numId="36" w16cid:durableId="18687520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382A"/>
    <w:rsid w:val="000046BD"/>
    <w:rsid w:val="00005252"/>
    <w:rsid w:val="000052B0"/>
    <w:rsid w:val="00005B36"/>
    <w:rsid w:val="0001194A"/>
    <w:rsid w:val="00011F2A"/>
    <w:rsid w:val="00014142"/>
    <w:rsid w:val="00015305"/>
    <w:rsid w:val="00015588"/>
    <w:rsid w:val="000159C1"/>
    <w:rsid w:val="00015E2B"/>
    <w:rsid w:val="00016185"/>
    <w:rsid w:val="00016CEC"/>
    <w:rsid w:val="00017348"/>
    <w:rsid w:val="00017AE6"/>
    <w:rsid w:val="00017D7B"/>
    <w:rsid w:val="000200D4"/>
    <w:rsid w:val="00021D7C"/>
    <w:rsid w:val="000253E4"/>
    <w:rsid w:val="00025BA9"/>
    <w:rsid w:val="00026965"/>
    <w:rsid w:val="00026C56"/>
    <w:rsid w:val="00027928"/>
    <w:rsid w:val="00027D23"/>
    <w:rsid w:val="00027EE1"/>
    <w:rsid w:val="00031193"/>
    <w:rsid w:val="00032286"/>
    <w:rsid w:val="00036675"/>
    <w:rsid w:val="00037F35"/>
    <w:rsid w:val="000407DD"/>
    <w:rsid w:val="00040E03"/>
    <w:rsid w:val="00043BC1"/>
    <w:rsid w:val="000444F4"/>
    <w:rsid w:val="00044AE9"/>
    <w:rsid w:val="00046E54"/>
    <w:rsid w:val="00047DE3"/>
    <w:rsid w:val="000501C0"/>
    <w:rsid w:val="000518F3"/>
    <w:rsid w:val="0005462D"/>
    <w:rsid w:val="00054D67"/>
    <w:rsid w:val="00055C66"/>
    <w:rsid w:val="000566E0"/>
    <w:rsid w:val="000566F8"/>
    <w:rsid w:val="00057110"/>
    <w:rsid w:val="00057458"/>
    <w:rsid w:val="0006039F"/>
    <w:rsid w:val="00062650"/>
    <w:rsid w:val="00062AE4"/>
    <w:rsid w:val="000647D8"/>
    <w:rsid w:val="00064A43"/>
    <w:rsid w:val="00066321"/>
    <w:rsid w:val="0006728B"/>
    <w:rsid w:val="00067DD9"/>
    <w:rsid w:val="000713F9"/>
    <w:rsid w:val="00072B2A"/>
    <w:rsid w:val="00072F09"/>
    <w:rsid w:val="00073710"/>
    <w:rsid w:val="00074768"/>
    <w:rsid w:val="0007518A"/>
    <w:rsid w:val="00075A8C"/>
    <w:rsid w:val="00075E35"/>
    <w:rsid w:val="00076615"/>
    <w:rsid w:val="000779E8"/>
    <w:rsid w:val="00080FB8"/>
    <w:rsid w:val="0008328E"/>
    <w:rsid w:val="00083523"/>
    <w:rsid w:val="0008713B"/>
    <w:rsid w:val="00090165"/>
    <w:rsid w:val="00090D1F"/>
    <w:rsid w:val="00090F92"/>
    <w:rsid w:val="00091242"/>
    <w:rsid w:val="00092110"/>
    <w:rsid w:val="0009322C"/>
    <w:rsid w:val="00096B01"/>
    <w:rsid w:val="00096B23"/>
    <w:rsid w:val="000A0F0F"/>
    <w:rsid w:val="000A10A5"/>
    <w:rsid w:val="000A1292"/>
    <w:rsid w:val="000A2A11"/>
    <w:rsid w:val="000A3C52"/>
    <w:rsid w:val="000A3EB9"/>
    <w:rsid w:val="000A40CF"/>
    <w:rsid w:val="000A64EB"/>
    <w:rsid w:val="000A759D"/>
    <w:rsid w:val="000A7D6C"/>
    <w:rsid w:val="000A7FD9"/>
    <w:rsid w:val="000B009B"/>
    <w:rsid w:val="000B180F"/>
    <w:rsid w:val="000B1B53"/>
    <w:rsid w:val="000B429A"/>
    <w:rsid w:val="000B5835"/>
    <w:rsid w:val="000B75D1"/>
    <w:rsid w:val="000C0809"/>
    <w:rsid w:val="000C2F71"/>
    <w:rsid w:val="000C5780"/>
    <w:rsid w:val="000C5F38"/>
    <w:rsid w:val="000C6853"/>
    <w:rsid w:val="000C75F9"/>
    <w:rsid w:val="000D1E03"/>
    <w:rsid w:val="000D2458"/>
    <w:rsid w:val="000D29B2"/>
    <w:rsid w:val="000D41B3"/>
    <w:rsid w:val="000D4547"/>
    <w:rsid w:val="000D5353"/>
    <w:rsid w:val="000D7546"/>
    <w:rsid w:val="000E10B9"/>
    <w:rsid w:val="000E217B"/>
    <w:rsid w:val="000E2A31"/>
    <w:rsid w:val="000E2B4C"/>
    <w:rsid w:val="000E4F9A"/>
    <w:rsid w:val="000F0526"/>
    <w:rsid w:val="000F22A4"/>
    <w:rsid w:val="000F2C9D"/>
    <w:rsid w:val="000F39CF"/>
    <w:rsid w:val="000F487A"/>
    <w:rsid w:val="000F6BF2"/>
    <w:rsid w:val="000F77FA"/>
    <w:rsid w:val="000F7A00"/>
    <w:rsid w:val="0010072C"/>
    <w:rsid w:val="001015D6"/>
    <w:rsid w:val="00102F8C"/>
    <w:rsid w:val="00104B94"/>
    <w:rsid w:val="00105ABF"/>
    <w:rsid w:val="00106608"/>
    <w:rsid w:val="00107B97"/>
    <w:rsid w:val="00110197"/>
    <w:rsid w:val="0011093E"/>
    <w:rsid w:val="001144E0"/>
    <w:rsid w:val="00114F8D"/>
    <w:rsid w:val="00115774"/>
    <w:rsid w:val="00116052"/>
    <w:rsid w:val="00120940"/>
    <w:rsid w:val="00120BD7"/>
    <w:rsid w:val="001237AA"/>
    <w:rsid w:val="00131B2B"/>
    <w:rsid w:val="00133682"/>
    <w:rsid w:val="0013413B"/>
    <w:rsid w:val="001341DF"/>
    <w:rsid w:val="00135DEB"/>
    <w:rsid w:val="0013696A"/>
    <w:rsid w:val="00137755"/>
    <w:rsid w:val="00140C95"/>
    <w:rsid w:val="0014303C"/>
    <w:rsid w:val="0014385F"/>
    <w:rsid w:val="00145897"/>
    <w:rsid w:val="00146A19"/>
    <w:rsid w:val="00146E3F"/>
    <w:rsid w:val="001473D6"/>
    <w:rsid w:val="0015029B"/>
    <w:rsid w:val="0015033E"/>
    <w:rsid w:val="00151093"/>
    <w:rsid w:val="0015192D"/>
    <w:rsid w:val="00152241"/>
    <w:rsid w:val="00152BAA"/>
    <w:rsid w:val="00153081"/>
    <w:rsid w:val="00155528"/>
    <w:rsid w:val="0016025B"/>
    <w:rsid w:val="00160F48"/>
    <w:rsid w:val="0016216A"/>
    <w:rsid w:val="00162F01"/>
    <w:rsid w:val="00165149"/>
    <w:rsid w:val="00165B5A"/>
    <w:rsid w:val="001660D0"/>
    <w:rsid w:val="0016658E"/>
    <w:rsid w:val="00170DFA"/>
    <w:rsid w:val="001712AA"/>
    <w:rsid w:val="00172D7F"/>
    <w:rsid w:val="00175316"/>
    <w:rsid w:val="0017793E"/>
    <w:rsid w:val="001801E0"/>
    <w:rsid w:val="00180C03"/>
    <w:rsid w:val="00181D98"/>
    <w:rsid w:val="001823EE"/>
    <w:rsid w:val="001829E1"/>
    <w:rsid w:val="00182F21"/>
    <w:rsid w:val="00183B48"/>
    <w:rsid w:val="00183BC7"/>
    <w:rsid w:val="00184CEF"/>
    <w:rsid w:val="00185893"/>
    <w:rsid w:val="00186987"/>
    <w:rsid w:val="001869B0"/>
    <w:rsid w:val="00186D72"/>
    <w:rsid w:val="00187ACF"/>
    <w:rsid w:val="00191D19"/>
    <w:rsid w:val="00192515"/>
    <w:rsid w:val="001925D0"/>
    <w:rsid w:val="00192E09"/>
    <w:rsid w:val="001934A7"/>
    <w:rsid w:val="00196F3C"/>
    <w:rsid w:val="001A2576"/>
    <w:rsid w:val="001A34F3"/>
    <w:rsid w:val="001A4ACF"/>
    <w:rsid w:val="001A6A67"/>
    <w:rsid w:val="001A740C"/>
    <w:rsid w:val="001B0B63"/>
    <w:rsid w:val="001B125F"/>
    <w:rsid w:val="001B1DEF"/>
    <w:rsid w:val="001B286A"/>
    <w:rsid w:val="001B2BBB"/>
    <w:rsid w:val="001B2DFF"/>
    <w:rsid w:val="001B3D1C"/>
    <w:rsid w:val="001B45CD"/>
    <w:rsid w:val="001C1B31"/>
    <w:rsid w:val="001C2A5C"/>
    <w:rsid w:val="001C2C90"/>
    <w:rsid w:val="001C369D"/>
    <w:rsid w:val="001C3B17"/>
    <w:rsid w:val="001C537E"/>
    <w:rsid w:val="001C5FD7"/>
    <w:rsid w:val="001C674A"/>
    <w:rsid w:val="001C750A"/>
    <w:rsid w:val="001C7586"/>
    <w:rsid w:val="001D0278"/>
    <w:rsid w:val="001D07CD"/>
    <w:rsid w:val="001D09B8"/>
    <w:rsid w:val="001D1C15"/>
    <w:rsid w:val="001D2BC9"/>
    <w:rsid w:val="001D462B"/>
    <w:rsid w:val="001D4D61"/>
    <w:rsid w:val="001D6E6B"/>
    <w:rsid w:val="001D776C"/>
    <w:rsid w:val="001D789A"/>
    <w:rsid w:val="001D7956"/>
    <w:rsid w:val="001E175D"/>
    <w:rsid w:val="001E19F3"/>
    <w:rsid w:val="001E3CE3"/>
    <w:rsid w:val="001E5A17"/>
    <w:rsid w:val="001E5B96"/>
    <w:rsid w:val="001E6791"/>
    <w:rsid w:val="001E6FBE"/>
    <w:rsid w:val="001E78B1"/>
    <w:rsid w:val="001F05C2"/>
    <w:rsid w:val="001F243D"/>
    <w:rsid w:val="001F32D1"/>
    <w:rsid w:val="001F3997"/>
    <w:rsid w:val="001F626A"/>
    <w:rsid w:val="001F64A3"/>
    <w:rsid w:val="001F671C"/>
    <w:rsid w:val="00200013"/>
    <w:rsid w:val="00200901"/>
    <w:rsid w:val="002023A8"/>
    <w:rsid w:val="00204711"/>
    <w:rsid w:val="00204C88"/>
    <w:rsid w:val="00205660"/>
    <w:rsid w:val="002056BA"/>
    <w:rsid w:val="00205846"/>
    <w:rsid w:val="00206613"/>
    <w:rsid w:val="00212154"/>
    <w:rsid w:val="002137EF"/>
    <w:rsid w:val="00216978"/>
    <w:rsid w:val="00220087"/>
    <w:rsid w:val="00221E6D"/>
    <w:rsid w:val="00222CFC"/>
    <w:rsid w:val="00222F0E"/>
    <w:rsid w:val="002240D3"/>
    <w:rsid w:val="002245BA"/>
    <w:rsid w:val="00224A9D"/>
    <w:rsid w:val="00225638"/>
    <w:rsid w:val="00225F91"/>
    <w:rsid w:val="0022708E"/>
    <w:rsid w:val="0023011A"/>
    <w:rsid w:val="002306DB"/>
    <w:rsid w:val="00230754"/>
    <w:rsid w:val="00231990"/>
    <w:rsid w:val="0023220C"/>
    <w:rsid w:val="00232581"/>
    <w:rsid w:val="00232AD4"/>
    <w:rsid w:val="00232EFC"/>
    <w:rsid w:val="0023456C"/>
    <w:rsid w:val="00236133"/>
    <w:rsid w:val="00236456"/>
    <w:rsid w:val="00240E38"/>
    <w:rsid w:val="00240FE3"/>
    <w:rsid w:val="00242FE9"/>
    <w:rsid w:val="00244567"/>
    <w:rsid w:val="00244EE6"/>
    <w:rsid w:val="00246B40"/>
    <w:rsid w:val="00247BCE"/>
    <w:rsid w:val="00250CB4"/>
    <w:rsid w:val="00251145"/>
    <w:rsid w:val="00252A03"/>
    <w:rsid w:val="0025337F"/>
    <w:rsid w:val="00256933"/>
    <w:rsid w:val="00257C44"/>
    <w:rsid w:val="00260689"/>
    <w:rsid w:val="00261035"/>
    <w:rsid w:val="002617C1"/>
    <w:rsid w:val="00261A41"/>
    <w:rsid w:val="00262979"/>
    <w:rsid w:val="00263E2A"/>
    <w:rsid w:val="00267527"/>
    <w:rsid w:val="002708BB"/>
    <w:rsid w:val="002713A8"/>
    <w:rsid w:val="00271971"/>
    <w:rsid w:val="00272384"/>
    <w:rsid w:val="002743EA"/>
    <w:rsid w:val="002750C4"/>
    <w:rsid w:val="002759D5"/>
    <w:rsid w:val="002764A6"/>
    <w:rsid w:val="00276F61"/>
    <w:rsid w:val="0028045C"/>
    <w:rsid w:val="002823C1"/>
    <w:rsid w:val="002869E7"/>
    <w:rsid w:val="00286AFE"/>
    <w:rsid w:val="00290C04"/>
    <w:rsid w:val="00292F6E"/>
    <w:rsid w:val="002939A1"/>
    <w:rsid w:val="00294759"/>
    <w:rsid w:val="00295016"/>
    <w:rsid w:val="002966CE"/>
    <w:rsid w:val="002A059D"/>
    <w:rsid w:val="002A20B7"/>
    <w:rsid w:val="002A3F46"/>
    <w:rsid w:val="002A43AF"/>
    <w:rsid w:val="002A5FE3"/>
    <w:rsid w:val="002B015E"/>
    <w:rsid w:val="002B21E9"/>
    <w:rsid w:val="002B309E"/>
    <w:rsid w:val="002B3A6A"/>
    <w:rsid w:val="002B3B98"/>
    <w:rsid w:val="002B4C9E"/>
    <w:rsid w:val="002B6CB4"/>
    <w:rsid w:val="002B7A79"/>
    <w:rsid w:val="002C0F93"/>
    <w:rsid w:val="002C2ADF"/>
    <w:rsid w:val="002C2AE5"/>
    <w:rsid w:val="002C4369"/>
    <w:rsid w:val="002C67BB"/>
    <w:rsid w:val="002D302F"/>
    <w:rsid w:val="002D3B02"/>
    <w:rsid w:val="002D56F4"/>
    <w:rsid w:val="002D682B"/>
    <w:rsid w:val="002D75E4"/>
    <w:rsid w:val="002D7654"/>
    <w:rsid w:val="002E0E81"/>
    <w:rsid w:val="002E16F1"/>
    <w:rsid w:val="002E28B0"/>
    <w:rsid w:val="002E46AE"/>
    <w:rsid w:val="002E48AC"/>
    <w:rsid w:val="002E5C0D"/>
    <w:rsid w:val="002E7FA4"/>
    <w:rsid w:val="002F0A6A"/>
    <w:rsid w:val="002F1433"/>
    <w:rsid w:val="002F1829"/>
    <w:rsid w:val="002F1C76"/>
    <w:rsid w:val="002F1FC2"/>
    <w:rsid w:val="002F234B"/>
    <w:rsid w:val="002F4AA2"/>
    <w:rsid w:val="002F57EB"/>
    <w:rsid w:val="002F7CF6"/>
    <w:rsid w:val="0030279A"/>
    <w:rsid w:val="00302CF5"/>
    <w:rsid w:val="00303290"/>
    <w:rsid w:val="003047A9"/>
    <w:rsid w:val="00305AC6"/>
    <w:rsid w:val="0031177C"/>
    <w:rsid w:val="00313205"/>
    <w:rsid w:val="00313EB3"/>
    <w:rsid w:val="00314C07"/>
    <w:rsid w:val="00315572"/>
    <w:rsid w:val="00315E9B"/>
    <w:rsid w:val="0031657F"/>
    <w:rsid w:val="003171E1"/>
    <w:rsid w:val="003177E2"/>
    <w:rsid w:val="00317C67"/>
    <w:rsid w:val="00320731"/>
    <w:rsid w:val="00321CFA"/>
    <w:rsid w:val="003237E8"/>
    <w:rsid w:val="00327BC5"/>
    <w:rsid w:val="003300B2"/>
    <w:rsid w:val="00333A8D"/>
    <w:rsid w:val="0033452B"/>
    <w:rsid w:val="00334E56"/>
    <w:rsid w:val="003368E3"/>
    <w:rsid w:val="00336F87"/>
    <w:rsid w:val="003374F4"/>
    <w:rsid w:val="00341A37"/>
    <w:rsid w:val="00341BF2"/>
    <w:rsid w:val="00343976"/>
    <w:rsid w:val="00344D56"/>
    <w:rsid w:val="00344E9A"/>
    <w:rsid w:val="00346CF7"/>
    <w:rsid w:val="00346F67"/>
    <w:rsid w:val="0035066A"/>
    <w:rsid w:val="00353663"/>
    <w:rsid w:val="0035471A"/>
    <w:rsid w:val="0035515D"/>
    <w:rsid w:val="00355172"/>
    <w:rsid w:val="00355439"/>
    <w:rsid w:val="00355E2C"/>
    <w:rsid w:val="00356129"/>
    <w:rsid w:val="00356377"/>
    <w:rsid w:val="00356889"/>
    <w:rsid w:val="00356E80"/>
    <w:rsid w:val="003572DB"/>
    <w:rsid w:val="00360763"/>
    <w:rsid w:val="0036195A"/>
    <w:rsid w:val="00362320"/>
    <w:rsid w:val="003627E4"/>
    <w:rsid w:val="00362DFF"/>
    <w:rsid w:val="003640B7"/>
    <w:rsid w:val="003650D1"/>
    <w:rsid w:val="003663D2"/>
    <w:rsid w:val="00367AF7"/>
    <w:rsid w:val="00370773"/>
    <w:rsid w:val="0037163F"/>
    <w:rsid w:val="003718E1"/>
    <w:rsid w:val="00371BC6"/>
    <w:rsid w:val="00372C68"/>
    <w:rsid w:val="00375CBF"/>
    <w:rsid w:val="00375EFC"/>
    <w:rsid w:val="00376F88"/>
    <w:rsid w:val="00376F9F"/>
    <w:rsid w:val="00382ECB"/>
    <w:rsid w:val="0038301B"/>
    <w:rsid w:val="003837CC"/>
    <w:rsid w:val="00383CFA"/>
    <w:rsid w:val="00384214"/>
    <w:rsid w:val="00384FB1"/>
    <w:rsid w:val="0039001A"/>
    <w:rsid w:val="003904B9"/>
    <w:rsid w:val="003909D3"/>
    <w:rsid w:val="0039175D"/>
    <w:rsid w:val="003929FB"/>
    <w:rsid w:val="00394116"/>
    <w:rsid w:val="00394187"/>
    <w:rsid w:val="00395CFE"/>
    <w:rsid w:val="00397410"/>
    <w:rsid w:val="003A0FB4"/>
    <w:rsid w:val="003A16E1"/>
    <w:rsid w:val="003A215F"/>
    <w:rsid w:val="003A2748"/>
    <w:rsid w:val="003A2D94"/>
    <w:rsid w:val="003A30F3"/>
    <w:rsid w:val="003A3F7B"/>
    <w:rsid w:val="003A51CB"/>
    <w:rsid w:val="003A5340"/>
    <w:rsid w:val="003A6035"/>
    <w:rsid w:val="003B0A19"/>
    <w:rsid w:val="003B0BEE"/>
    <w:rsid w:val="003B1541"/>
    <w:rsid w:val="003B4168"/>
    <w:rsid w:val="003B482E"/>
    <w:rsid w:val="003B5008"/>
    <w:rsid w:val="003B5303"/>
    <w:rsid w:val="003B7C95"/>
    <w:rsid w:val="003B7FCD"/>
    <w:rsid w:val="003C0644"/>
    <w:rsid w:val="003C074E"/>
    <w:rsid w:val="003C235D"/>
    <w:rsid w:val="003C23F2"/>
    <w:rsid w:val="003C278C"/>
    <w:rsid w:val="003C3431"/>
    <w:rsid w:val="003C39F4"/>
    <w:rsid w:val="003C4EA0"/>
    <w:rsid w:val="003D14E7"/>
    <w:rsid w:val="003D1CC1"/>
    <w:rsid w:val="003D2807"/>
    <w:rsid w:val="003D334A"/>
    <w:rsid w:val="003D68C5"/>
    <w:rsid w:val="003D6F98"/>
    <w:rsid w:val="003E086F"/>
    <w:rsid w:val="003E08B7"/>
    <w:rsid w:val="003E1816"/>
    <w:rsid w:val="003E2DE1"/>
    <w:rsid w:val="003E4284"/>
    <w:rsid w:val="003E4823"/>
    <w:rsid w:val="003E5D90"/>
    <w:rsid w:val="003E6BE1"/>
    <w:rsid w:val="003F0173"/>
    <w:rsid w:val="003F07F9"/>
    <w:rsid w:val="003F1961"/>
    <w:rsid w:val="003F1AF2"/>
    <w:rsid w:val="003F1F8A"/>
    <w:rsid w:val="003F1F9A"/>
    <w:rsid w:val="003F59DE"/>
    <w:rsid w:val="003F5B0E"/>
    <w:rsid w:val="003F5DFE"/>
    <w:rsid w:val="0040046B"/>
    <w:rsid w:val="0040072A"/>
    <w:rsid w:val="004009CB"/>
    <w:rsid w:val="004023D2"/>
    <w:rsid w:val="004024E9"/>
    <w:rsid w:val="004064CD"/>
    <w:rsid w:val="004077B7"/>
    <w:rsid w:val="00407A27"/>
    <w:rsid w:val="00407A7B"/>
    <w:rsid w:val="004108DC"/>
    <w:rsid w:val="004111C3"/>
    <w:rsid w:val="00411351"/>
    <w:rsid w:val="00412CAE"/>
    <w:rsid w:val="00412CDE"/>
    <w:rsid w:val="0041365C"/>
    <w:rsid w:val="004146DE"/>
    <w:rsid w:val="00414AB9"/>
    <w:rsid w:val="0041677C"/>
    <w:rsid w:val="004173F2"/>
    <w:rsid w:val="004176AD"/>
    <w:rsid w:val="00420F52"/>
    <w:rsid w:val="00423871"/>
    <w:rsid w:val="004251F4"/>
    <w:rsid w:val="00425A29"/>
    <w:rsid w:val="00425F33"/>
    <w:rsid w:val="00427A7A"/>
    <w:rsid w:val="004300C4"/>
    <w:rsid w:val="0043066B"/>
    <w:rsid w:val="004309BF"/>
    <w:rsid w:val="0043499D"/>
    <w:rsid w:val="004351EB"/>
    <w:rsid w:val="004355BA"/>
    <w:rsid w:val="00435E35"/>
    <w:rsid w:val="004417D5"/>
    <w:rsid w:val="004419E4"/>
    <w:rsid w:val="00442ADE"/>
    <w:rsid w:val="00443485"/>
    <w:rsid w:val="00445F4B"/>
    <w:rsid w:val="00451B86"/>
    <w:rsid w:val="00451D11"/>
    <w:rsid w:val="0045415A"/>
    <w:rsid w:val="004558CC"/>
    <w:rsid w:val="004572E9"/>
    <w:rsid w:val="00460395"/>
    <w:rsid w:val="00461A95"/>
    <w:rsid w:val="0046312A"/>
    <w:rsid w:val="004641A9"/>
    <w:rsid w:val="00464A12"/>
    <w:rsid w:val="00464A48"/>
    <w:rsid w:val="004656D4"/>
    <w:rsid w:val="00465D71"/>
    <w:rsid w:val="0046652F"/>
    <w:rsid w:val="004669F9"/>
    <w:rsid w:val="00467BA1"/>
    <w:rsid w:val="00471220"/>
    <w:rsid w:val="00471F19"/>
    <w:rsid w:val="00472528"/>
    <w:rsid w:val="004726D6"/>
    <w:rsid w:val="00472E0D"/>
    <w:rsid w:val="0047349A"/>
    <w:rsid w:val="00473A79"/>
    <w:rsid w:val="00473DAC"/>
    <w:rsid w:val="00474670"/>
    <w:rsid w:val="00474A96"/>
    <w:rsid w:val="0047531B"/>
    <w:rsid w:val="0047655F"/>
    <w:rsid w:val="00476A97"/>
    <w:rsid w:val="0048014A"/>
    <w:rsid w:val="004804C2"/>
    <w:rsid w:val="00480FFC"/>
    <w:rsid w:val="00481134"/>
    <w:rsid w:val="00481961"/>
    <w:rsid w:val="00481DA9"/>
    <w:rsid w:val="00481EB7"/>
    <w:rsid w:val="00482026"/>
    <w:rsid w:val="0048357C"/>
    <w:rsid w:val="0048389F"/>
    <w:rsid w:val="00484F2D"/>
    <w:rsid w:val="004855CE"/>
    <w:rsid w:val="00485B1D"/>
    <w:rsid w:val="00485E30"/>
    <w:rsid w:val="00486F2B"/>
    <w:rsid w:val="0048784A"/>
    <w:rsid w:val="00490691"/>
    <w:rsid w:val="00490C8C"/>
    <w:rsid w:val="00490F68"/>
    <w:rsid w:val="0049216D"/>
    <w:rsid w:val="00492E2A"/>
    <w:rsid w:val="004935AD"/>
    <w:rsid w:val="00493E45"/>
    <w:rsid w:val="00494590"/>
    <w:rsid w:val="004946E6"/>
    <w:rsid w:val="004947F0"/>
    <w:rsid w:val="00494C1F"/>
    <w:rsid w:val="00494C94"/>
    <w:rsid w:val="004952C6"/>
    <w:rsid w:val="00495687"/>
    <w:rsid w:val="00495E2E"/>
    <w:rsid w:val="00495F7F"/>
    <w:rsid w:val="004960C4"/>
    <w:rsid w:val="00496357"/>
    <w:rsid w:val="00496CF9"/>
    <w:rsid w:val="004A10CD"/>
    <w:rsid w:val="004A133F"/>
    <w:rsid w:val="004A6B6C"/>
    <w:rsid w:val="004A6E94"/>
    <w:rsid w:val="004A7283"/>
    <w:rsid w:val="004A7B90"/>
    <w:rsid w:val="004A7D18"/>
    <w:rsid w:val="004B0275"/>
    <w:rsid w:val="004B2237"/>
    <w:rsid w:val="004B2433"/>
    <w:rsid w:val="004B2546"/>
    <w:rsid w:val="004B3854"/>
    <w:rsid w:val="004B3A1B"/>
    <w:rsid w:val="004B4417"/>
    <w:rsid w:val="004B4C36"/>
    <w:rsid w:val="004B5A6A"/>
    <w:rsid w:val="004B6474"/>
    <w:rsid w:val="004B7B85"/>
    <w:rsid w:val="004C00D4"/>
    <w:rsid w:val="004C0A90"/>
    <w:rsid w:val="004C0C49"/>
    <w:rsid w:val="004C19A9"/>
    <w:rsid w:val="004C2474"/>
    <w:rsid w:val="004C271B"/>
    <w:rsid w:val="004C3585"/>
    <w:rsid w:val="004C6146"/>
    <w:rsid w:val="004C652C"/>
    <w:rsid w:val="004C736C"/>
    <w:rsid w:val="004C785C"/>
    <w:rsid w:val="004C7C24"/>
    <w:rsid w:val="004C7CAE"/>
    <w:rsid w:val="004C7FFB"/>
    <w:rsid w:val="004D0C7D"/>
    <w:rsid w:val="004D24CC"/>
    <w:rsid w:val="004D2537"/>
    <w:rsid w:val="004D2889"/>
    <w:rsid w:val="004D2DF0"/>
    <w:rsid w:val="004D3B89"/>
    <w:rsid w:val="004D4750"/>
    <w:rsid w:val="004D558F"/>
    <w:rsid w:val="004E0FF2"/>
    <w:rsid w:val="004E11CD"/>
    <w:rsid w:val="004E17D1"/>
    <w:rsid w:val="004E2CD3"/>
    <w:rsid w:val="004E358B"/>
    <w:rsid w:val="004F17ED"/>
    <w:rsid w:val="004F275E"/>
    <w:rsid w:val="004F37D3"/>
    <w:rsid w:val="004F491D"/>
    <w:rsid w:val="004F6B2C"/>
    <w:rsid w:val="0050064B"/>
    <w:rsid w:val="005014C6"/>
    <w:rsid w:val="005029AA"/>
    <w:rsid w:val="00502AE7"/>
    <w:rsid w:val="00502FB1"/>
    <w:rsid w:val="0050765B"/>
    <w:rsid w:val="00510F40"/>
    <w:rsid w:val="005116D3"/>
    <w:rsid w:val="005121B5"/>
    <w:rsid w:val="00512B05"/>
    <w:rsid w:val="00515142"/>
    <w:rsid w:val="005157BF"/>
    <w:rsid w:val="005169F1"/>
    <w:rsid w:val="00516D8C"/>
    <w:rsid w:val="005177C1"/>
    <w:rsid w:val="00520F0A"/>
    <w:rsid w:val="0052195E"/>
    <w:rsid w:val="00522C03"/>
    <w:rsid w:val="00523621"/>
    <w:rsid w:val="005247ED"/>
    <w:rsid w:val="005257AE"/>
    <w:rsid w:val="00525DD4"/>
    <w:rsid w:val="00530FEB"/>
    <w:rsid w:val="0053125B"/>
    <w:rsid w:val="00532FEA"/>
    <w:rsid w:val="005368C7"/>
    <w:rsid w:val="00540F46"/>
    <w:rsid w:val="00541F9A"/>
    <w:rsid w:val="0054203F"/>
    <w:rsid w:val="00545E3C"/>
    <w:rsid w:val="00550CBD"/>
    <w:rsid w:val="00551AB9"/>
    <w:rsid w:val="005533AE"/>
    <w:rsid w:val="00553684"/>
    <w:rsid w:val="0055570B"/>
    <w:rsid w:val="00560233"/>
    <w:rsid w:val="005613D3"/>
    <w:rsid w:val="00562E48"/>
    <w:rsid w:val="0056339B"/>
    <w:rsid w:val="00563AD8"/>
    <w:rsid w:val="00564BE8"/>
    <w:rsid w:val="0056534B"/>
    <w:rsid w:val="00565B69"/>
    <w:rsid w:val="00570E5B"/>
    <w:rsid w:val="005715D0"/>
    <w:rsid w:val="0057278E"/>
    <w:rsid w:val="00572979"/>
    <w:rsid w:val="00572B46"/>
    <w:rsid w:val="005763C9"/>
    <w:rsid w:val="00576B25"/>
    <w:rsid w:val="00576D80"/>
    <w:rsid w:val="005776DD"/>
    <w:rsid w:val="00581272"/>
    <w:rsid w:val="00581DD4"/>
    <w:rsid w:val="005821B5"/>
    <w:rsid w:val="005825F6"/>
    <w:rsid w:val="00582770"/>
    <w:rsid w:val="00582908"/>
    <w:rsid w:val="00583877"/>
    <w:rsid w:val="00585050"/>
    <w:rsid w:val="005860C4"/>
    <w:rsid w:val="005861A7"/>
    <w:rsid w:val="005871AE"/>
    <w:rsid w:val="00587864"/>
    <w:rsid w:val="00587ECE"/>
    <w:rsid w:val="005909EC"/>
    <w:rsid w:val="00590E14"/>
    <w:rsid w:val="00590E64"/>
    <w:rsid w:val="00592082"/>
    <w:rsid w:val="005931D8"/>
    <w:rsid w:val="0059423F"/>
    <w:rsid w:val="00594461"/>
    <w:rsid w:val="0059487C"/>
    <w:rsid w:val="005A024F"/>
    <w:rsid w:val="005A1443"/>
    <w:rsid w:val="005A309C"/>
    <w:rsid w:val="005A6885"/>
    <w:rsid w:val="005B1375"/>
    <w:rsid w:val="005B1C38"/>
    <w:rsid w:val="005B20B7"/>
    <w:rsid w:val="005B2E16"/>
    <w:rsid w:val="005B4116"/>
    <w:rsid w:val="005B48BB"/>
    <w:rsid w:val="005B5331"/>
    <w:rsid w:val="005B5753"/>
    <w:rsid w:val="005B64BD"/>
    <w:rsid w:val="005B7ED0"/>
    <w:rsid w:val="005C0460"/>
    <w:rsid w:val="005C1FBF"/>
    <w:rsid w:val="005C2474"/>
    <w:rsid w:val="005C3076"/>
    <w:rsid w:val="005C3598"/>
    <w:rsid w:val="005C3668"/>
    <w:rsid w:val="005C3C85"/>
    <w:rsid w:val="005C4078"/>
    <w:rsid w:val="005C4A79"/>
    <w:rsid w:val="005C553D"/>
    <w:rsid w:val="005C6A51"/>
    <w:rsid w:val="005C6E04"/>
    <w:rsid w:val="005D16D9"/>
    <w:rsid w:val="005D1A15"/>
    <w:rsid w:val="005D2F02"/>
    <w:rsid w:val="005D4898"/>
    <w:rsid w:val="005D6D47"/>
    <w:rsid w:val="005D703A"/>
    <w:rsid w:val="005E2561"/>
    <w:rsid w:val="005E2A78"/>
    <w:rsid w:val="005E2E03"/>
    <w:rsid w:val="005E42C8"/>
    <w:rsid w:val="005E4B33"/>
    <w:rsid w:val="005E52B5"/>
    <w:rsid w:val="005E6099"/>
    <w:rsid w:val="005F094A"/>
    <w:rsid w:val="005F2B3A"/>
    <w:rsid w:val="005F2FF3"/>
    <w:rsid w:val="005F3D90"/>
    <w:rsid w:val="005F4463"/>
    <w:rsid w:val="005F4D76"/>
    <w:rsid w:val="005F4E25"/>
    <w:rsid w:val="005F537D"/>
    <w:rsid w:val="005F5578"/>
    <w:rsid w:val="005F61CE"/>
    <w:rsid w:val="005F6711"/>
    <w:rsid w:val="00600FFF"/>
    <w:rsid w:val="00601D18"/>
    <w:rsid w:val="0060282C"/>
    <w:rsid w:val="00602F89"/>
    <w:rsid w:val="00603C9C"/>
    <w:rsid w:val="0060468F"/>
    <w:rsid w:val="00606AAB"/>
    <w:rsid w:val="00606BF1"/>
    <w:rsid w:val="006100D0"/>
    <w:rsid w:val="0061018B"/>
    <w:rsid w:val="00610926"/>
    <w:rsid w:val="00610C64"/>
    <w:rsid w:val="0061226C"/>
    <w:rsid w:val="0061285C"/>
    <w:rsid w:val="0061310F"/>
    <w:rsid w:val="00615C0E"/>
    <w:rsid w:val="00615C49"/>
    <w:rsid w:val="00616E69"/>
    <w:rsid w:val="00621715"/>
    <w:rsid w:val="006235D0"/>
    <w:rsid w:val="006267CF"/>
    <w:rsid w:val="006275D7"/>
    <w:rsid w:val="00633068"/>
    <w:rsid w:val="006342E5"/>
    <w:rsid w:val="0063494B"/>
    <w:rsid w:val="00635E5E"/>
    <w:rsid w:val="006377CC"/>
    <w:rsid w:val="00637B04"/>
    <w:rsid w:val="00640149"/>
    <w:rsid w:val="006415DC"/>
    <w:rsid w:val="006431BB"/>
    <w:rsid w:val="00643D30"/>
    <w:rsid w:val="0064484E"/>
    <w:rsid w:val="006462D2"/>
    <w:rsid w:val="00646E89"/>
    <w:rsid w:val="00647657"/>
    <w:rsid w:val="00647B4E"/>
    <w:rsid w:val="00650506"/>
    <w:rsid w:val="00650D89"/>
    <w:rsid w:val="00650F2D"/>
    <w:rsid w:val="00651AA2"/>
    <w:rsid w:val="00651C8E"/>
    <w:rsid w:val="006523F1"/>
    <w:rsid w:val="006529C7"/>
    <w:rsid w:val="006543AF"/>
    <w:rsid w:val="006548AE"/>
    <w:rsid w:val="00654EE0"/>
    <w:rsid w:val="00654FC9"/>
    <w:rsid w:val="00655613"/>
    <w:rsid w:val="006560F5"/>
    <w:rsid w:val="00662549"/>
    <w:rsid w:val="00662D5C"/>
    <w:rsid w:val="00663094"/>
    <w:rsid w:val="00663EDA"/>
    <w:rsid w:val="006653F2"/>
    <w:rsid w:val="0066564A"/>
    <w:rsid w:val="00666190"/>
    <w:rsid w:val="00667134"/>
    <w:rsid w:val="006675CF"/>
    <w:rsid w:val="0067071B"/>
    <w:rsid w:val="006716BF"/>
    <w:rsid w:val="00672F75"/>
    <w:rsid w:val="0067554F"/>
    <w:rsid w:val="0067638A"/>
    <w:rsid w:val="00676A3D"/>
    <w:rsid w:val="0068008A"/>
    <w:rsid w:val="00680705"/>
    <w:rsid w:val="006817B0"/>
    <w:rsid w:val="00681F75"/>
    <w:rsid w:val="006827C5"/>
    <w:rsid w:val="006841C0"/>
    <w:rsid w:val="00684619"/>
    <w:rsid w:val="00686BDD"/>
    <w:rsid w:val="00687DB8"/>
    <w:rsid w:val="00691EB0"/>
    <w:rsid w:val="00692DF5"/>
    <w:rsid w:val="00694E85"/>
    <w:rsid w:val="00695007"/>
    <w:rsid w:val="00695CFD"/>
    <w:rsid w:val="00696747"/>
    <w:rsid w:val="006A02DF"/>
    <w:rsid w:val="006A04FC"/>
    <w:rsid w:val="006A1EC2"/>
    <w:rsid w:val="006A1FB7"/>
    <w:rsid w:val="006A474B"/>
    <w:rsid w:val="006A7665"/>
    <w:rsid w:val="006A7956"/>
    <w:rsid w:val="006B0C61"/>
    <w:rsid w:val="006B0E33"/>
    <w:rsid w:val="006B13AD"/>
    <w:rsid w:val="006B1491"/>
    <w:rsid w:val="006B2281"/>
    <w:rsid w:val="006B3D0B"/>
    <w:rsid w:val="006B3ED9"/>
    <w:rsid w:val="006B6EFB"/>
    <w:rsid w:val="006C0F71"/>
    <w:rsid w:val="006C1220"/>
    <w:rsid w:val="006C133A"/>
    <w:rsid w:val="006C370E"/>
    <w:rsid w:val="006C3AC2"/>
    <w:rsid w:val="006C3D49"/>
    <w:rsid w:val="006C3E20"/>
    <w:rsid w:val="006C44A8"/>
    <w:rsid w:val="006C4904"/>
    <w:rsid w:val="006C5688"/>
    <w:rsid w:val="006C6BEE"/>
    <w:rsid w:val="006D0A5E"/>
    <w:rsid w:val="006D0FFA"/>
    <w:rsid w:val="006D1E11"/>
    <w:rsid w:val="006D25DC"/>
    <w:rsid w:val="006D3185"/>
    <w:rsid w:val="006D349F"/>
    <w:rsid w:val="006D3BAF"/>
    <w:rsid w:val="006D4C55"/>
    <w:rsid w:val="006D4CD9"/>
    <w:rsid w:val="006D52AE"/>
    <w:rsid w:val="006E04FA"/>
    <w:rsid w:val="006E495E"/>
    <w:rsid w:val="006E4ABD"/>
    <w:rsid w:val="006E4D65"/>
    <w:rsid w:val="006E520C"/>
    <w:rsid w:val="006E5216"/>
    <w:rsid w:val="006E6549"/>
    <w:rsid w:val="006E69C2"/>
    <w:rsid w:val="006E6B2B"/>
    <w:rsid w:val="006E6E74"/>
    <w:rsid w:val="006E7106"/>
    <w:rsid w:val="006F29EA"/>
    <w:rsid w:val="006F2E1E"/>
    <w:rsid w:val="006F2EFA"/>
    <w:rsid w:val="006F45B7"/>
    <w:rsid w:val="006F4A78"/>
    <w:rsid w:val="006F4C38"/>
    <w:rsid w:val="006F793B"/>
    <w:rsid w:val="0070073E"/>
    <w:rsid w:val="00700CB1"/>
    <w:rsid w:val="00700D4B"/>
    <w:rsid w:val="0070264E"/>
    <w:rsid w:val="00703C67"/>
    <w:rsid w:val="00703CB5"/>
    <w:rsid w:val="00704358"/>
    <w:rsid w:val="00704435"/>
    <w:rsid w:val="00705254"/>
    <w:rsid w:val="007059B0"/>
    <w:rsid w:val="00705AF2"/>
    <w:rsid w:val="00706BEF"/>
    <w:rsid w:val="00706CE1"/>
    <w:rsid w:val="00707307"/>
    <w:rsid w:val="00707B2F"/>
    <w:rsid w:val="0071042A"/>
    <w:rsid w:val="00710792"/>
    <w:rsid w:val="00710D32"/>
    <w:rsid w:val="00711BA5"/>
    <w:rsid w:val="007129DF"/>
    <w:rsid w:val="0071343A"/>
    <w:rsid w:val="00714803"/>
    <w:rsid w:val="00715470"/>
    <w:rsid w:val="0071549F"/>
    <w:rsid w:val="007164AA"/>
    <w:rsid w:val="0071690C"/>
    <w:rsid w:val="0071799F"/>
    <w:rsid w:val="00717CCA"/>
    <w:rsid w:val="00720161"/>
    <w:rsid w:val="007202C6"/>
    <w:rsid w:val="00720BB4"/>
    <w:rsid w:val="00721860"/>
    <w:rsid w:val="00722997"/>
    <w:rsid w:val="007242BE"/>
    <w:rsid w:val="00727400"/>
    <w:rsid w:val="0072787C"/>
    <w:rsid w:val="0073707C"/>
    <w:rsid w:val="00740720"/>
    <w:rsid w:val="00740E7E"/>
    <w:rsid w:val="0074417F"/>
    <w:rsid w:val="007453E4"/>
    <w:rsid w:val="00745507"/>
    <w:rsid w:val="0074752F"/>
    <w:rsid w:val="00747563"/>
    <w:rsid w:val="00750291"/>
    <w:rsid w:val="00750535"/>
    <w:rsid w:val="00754368"/>
    <w:rsid w:val="007547F1"/>
    <w:rsid w:val="007554BC"/>
    <w:rsid w:val="007556DB"/>
    <w:rsid w:val="00755A12"/>
    <w:rsid w:val="00755F9E"/>
    <w:rsid w:val="00755FBF"/>
    <w:rsid w:val="00756BFE"/>
    <w:rsid w:val="00757301"/>
    <w:rsid w:val="00760DF4"/>
    <w:rsid w:val="007631E0"/>
    <w:rsid w:val="00764333"/>
    <w:rsid w:val="007678F1"/>
    <w:rsid w:val="007715EA"/>
    <w:rsid w:val="00771CA0"/>
    <w:rsid w:val="00772278"/>
    <w:rsid w:val="00772510"/>
    <w:rsid w:val="00772EB1"/>
    <w:rsid w:val="00773281"/>
    <w:rsid w:val="00773302"/>
    <w:rsid w:val="00773548"/>
    <w:rsid w:val="0077397F"/>
    <w:rsid w:val="007743B2"/>
    <w:rsid w:val="00780BCE"/>
    <w:rsid w:val="00780D53"/>
    <w:rsid w:val="00781227"/>
    <w:rsid w:val="007816E7"/>
    <w:rsid w:val="00781A73"/>
    <w:rsid w:val="00781F50"/>
    <w:rsid w:val="007823EE"/>
    <w:rsid w:val="00782A6D"/>
    <w:rsid w:val="00782E55"/>
    <w:rsid w:val="00784416"/>
    <w:rsid w:val="00784B22"/>
    <w:rsid w:val="00784DEB"/>
    <w:rsid w:val="00786413"/>
    <w:rsid w:val="007909EB"/>
    <w:rsid w:val="00791835"/>
    <w:rsid w:val="00791BF1"/>
    <w:rsid w:val="00792337"/>
    <w:rsid w:val="00792B10"/>
    <w:rsid w:val="00793417"/>
    <w:rsid w:val="00793F24"/>
    <w:rsid w:val="00794E2F"/>
    <w:rsid w:val="00795C50"/>
    <w:rsid w:val="00796928"/>
    <w:rsid w:val="00797E58"/>
    <w:rsid w:val="007A008F"/>
    <w:rsid w:val="007A072D"/>
    <w:rsid w:val="007A1265"/>
    <w:rsid w:val="007A30E6"/>
    <w:rsid w:val="007A337F"/>
    <w:rsid w:val="007A4381"/>
    <w:rsid w:val="007A4556"/>
    <w:rsid w:val="007A5734"/>
    <w:rsid w:val="007A5BA5"/>
    <w:rsid w:val="007A7F75"/>
    <w:rsid w:val="007B0341"/>
    <w:rsid w:val="007B1AFA"/>
    <w:rsid w:val="007B1D09"/>
    <w:rsid w:val="007B2006"/>
    <w:rsid w:val="007B29E1"/>
    <w:rsid w:val="007B3E6E"/>
    <w:rsid w:val="007B4188"/>
    <w:rsid w:val="007B44AB"/>
    <w:rsid w:val="007B4538"/>
    <w:rsid w:val="007B525C"/>
    <w:rsid w:val="007B565F"/>
    <w:rsid w:val="007B5FD4"/>
    <w:rsid w:val="007B6696"/>
    <w:rsid w:val="007B6C8C"/>
    <w:rsid w:val="007B6F37"/>
    <w:rsid w:val="007C121A"/>
    <w:rsid w:val="007C20AC"/>
    <w:rsid w:val="007C44FA"/>
    <w:rsid w:val="007C45C5"/>
    <w:rsid w:val="007C6554"/>
    <w:rsid w:val="007C7570"/>
    <w:rsid w:val="007C7E2D"/>
    <w:rsid w:val="007D1072"/>
    <w:rsid w:val="007D1500"/>
    <w:rsid w:val="007D1512"/>
    <w:rsid w:val="007D15C3"/>
    <w:rsid w:val="007D2DFB"/>
    <w:rsid w:val="007D3CED"/>
    <w:rsid w:val="007D495A"/>
    <w:rsid w:val="007D637B"/>
    <w:rsid w:val="007D733C"/>
    <w:rsid w:val="007E02AE"/>
    <w:rsid w:val="007E05B9"/>
    <w:rsid w:val="007E1738"/>
    <w:rsid w:val="007E1BF3"/>
    <w:rsid w:val="007E21E6"/>
    <w:rsid w:val="007E2E1C"/>
    <w:rsid w:val="007E4A65"/>
    <w:rsid w:val="007E4C1E"/>
    <w:rsid w:val="007E4EA8"/>
    <w:rsid w:val="007E5564"/>
    <w:rsid w:val="007E55A5"/>
    <w:rsid w:val="007E5F59"/>
    <w:rsid w:val="007E6A2C"/>
    <w:rsid w:val="007F14CE"/>
    <w:rsid w:val="007F177F"/>
    <w:rsid w:val="007F1B69"/>
    <w:rsid w:val="007F24D4"/>
    <w:rsid w:val="007F3164"/>
    <w:rsid w:val="007F5558"/>
    <w:rsid w:val="007F5D0A"/>
    <w:rsid w:val="007F7493"/>
    <w:rsid w:val="007F7FAA"/>
    <w:rsid w:val="008006AE"/>
    <w:rsid w:val="00800BB8"/>
    <w:rsid w:val="008042E2"/>
    <w:rsid w:val="00804EA0"/>
    <w:rsid w:val="00805C2B"/>
    <w:rsid w:val="0080795E"/>
    <w:rsid w:val="0081118B"/>
    <w:rsid w:val="00812422"/>
    <w:rsid w:val="0081290A"/>
    <w:rsid w:val="00812B53"/>
    <w:rsid w:val="0081305B"/>
    <w:rsid w:val="008138D7"/>
    <w:rsid w:val="0081425C"/>
    <w:rsid w:val="00814329"/>
    <w:rsid w:val="00816E03"/>
    <w:rsid w:val="0081774C"/>
    <w:rsid w:val="008177B2"/>
    <w:rsid w:val="00817B1D"/>
    <w:rsid w:val="00822298"/>
    <w:rsid w:val="008226E8"/>
    <w:rsid w:val="008246DC"/>
    <w:rsid w:val="00824CE6"/>
    <w:rsid w:val="00826308"/>
    <w:rsid w:val="0082656A"/>
    <w:rsid w:val="0082677D"/>
    <w:rsid w:val="0083244F"/>
    <w:rsid w:val="0083265E"/>
    <w:rsid w:val="00833905"/>
    <w:rsid w:val="00834C27"/>
    <w:rsid w:val="00834E6E"/>
    <w:rsid w:val="0083635B"/>
    <w:rsid w:val="00836B7F"/>
    <w:rsid w:val="00837648"/>
    <w:rsid w:val="008408D1"/>
    <w:rsid w:val="008416F4"/>
    <w:rsid w:val="008440FE"/>
    <w:rsid w:val="00844254"/>
    <w:rsid w:val="008450AF"/>
    <w:rsid w:val="00850B27"/>
    <w:rsid w:val="00850BE6"/>
    <w:rsid w:val="00853F33"/>
    <w:rsid w:val="00855527"/>
    <w:rsid w:val="00855B68"/>
    <w:rsid w:val="00857B74"/>
    <w:rsid w:val="00857E6A"/>
    <w:rsid w:val="0086151B"/>
    <w:rsid w:val="008626B7"/>
    <w:rsid w:val="00862C4D"/>
    <w:rsid w:val="00865ECE"/>
    <w:rsid w:val="00867977"/>
    <w:rsid w:val="008703FB"/>
    <w:rsid w:val="0087042C"/>
    <w:rsid w:val="00871335"/>
    <w:rsid w:val="00871397"/>
    <w:rsid w:val="00874C5E"/>
    <w:rsid w:val="008771E4"/>
    <w:rsid w:val="00880E5A"/>
    <w:rsid w:val="00881096"/>
    <w:rsid w:val="008810BB"/>
    <w:rsid w:val="00881E07"/>
    <w:rsid w:val="00882324"/>
    <w:rsid w:val="00882783"/>
    <w:rsid w:val="008853B9"/>
    <w:rsid w:val="008862BD"/>
    <w:rsid w:val="00886582"/>
    <w:rsid w:val="00887F0A"/>
    <w:rsid w:val="00890B60"/>
    <w:rsid w:val="00891478"/>
    <w:rsid w:val="00891645"/>
    <w:rsid w:val="00893887"/>
    <w:rsid w:val="00893A40"/>
    <w:rsid w:val="008943B7"/>
    <w:rsid w:val="0089440E"/>
    <w:rsid w:val="00895746"/>
    <w:rsid w:val="00896337"/>
    <w:rsid w:val="008970AC"/>
    <w:rsid w:val="00897A51"/>
    <w:rsid w:val="008A0D00"/>
    <w:rsid w:val="008A0D18"/>
    <w:rsid w:val="008A0F08"/>
    <w:rsid w:val="008A2B98"/>
    <w:rsid w:val="008A32D5"/>
    <w:rsid w:val="008A47B1"/>
    <w:rsid w:val="008A564B"/>
    <w:rsid w:val="008A7909"/>
    <w:rsid w:val="008A7A8E"/>
    <w:rsid w:val="008B12D4"/>
    <w:rsid w:val="008B160E"/>
    <w:rsid w:val="008B1D8E"/>
    <w:rsid w:val="008B2164"/>
    <w:rsid w:val="008B2332"/>
    <w:rsid w:val="008B260C"/>
    <w:rsid w:val="008B4C3D"/>
    <w:rsid w:val="008B50C9"/>
    <w:rsid w:val="008B5B66"/>
    <w:rsid w:val="008B6874"/>
    <w:rsid w:val="008B6F38"/>
    <w:rsid w:val="008C0BE9"/>
    <w:rsid w:val="008C1818"/>
    <w:rsid w:val="008C642C"/>
    <w:rsid w:val="008D0B45"/>
    <w:rsid w:val="008D1009"/>
    <w:rsid w:val="008D182D"/>
    <w:rsid w:val="008D228B"/>
    <w:rsid w:val="008D2C44"/>
    <w:rsid w:val="008D2E8E"/>
    <w:rsid w:val="008D3C26"/>
    <w:rsid w:val="008D3D39"/>
    <w:rsid w:val="008D5E13"/>
    <w:rsid w:val="008E104E"/>
    <w:rsid w:val="008E21BD"/>
    <w:rsid w:val="008E2955"/>
    <w:rsid w:val="008E3968"/>
    <w:rsid w:val="008E5ABD"/>
    <w:rsid w:val="008E5DEB"/>
    <w:rsid w:val="008E6E9D"/>
    <w:rsid w:val="008E7D2B"/>
    <w:rsid w:val="008F085B"/>
    <w:rsid w:val="008F1D82"/>
    <w:rsid w:val="008F2680"/>
    <w:rsid w:val="008F40E3"/>
    <w:rsid w:val="008F57A3"/>
    <w:rsid w:val="008F697E"/>
    <w:rsid w:val="008F7087"/>
    <w:rsid w:val="009001C3"/>
    <w:rsid w:val="0090043B"/>
    <w:rsid w:val="00901686"/>
    <w:rsid w:val="00902354"/>
    <w:rsid w:val="009025B7"/>
    <w:rsid w:val="009051E6"/>
    <w:rsid w:val="0090528A"/>
    <w:rsid w:val="009058B1"/>
    <w:rsid w:val="009065D2"/>
    <w:rsid w:val="009069B2"/>
    <w:rsid w:val="00907907"/>
    <w:rsid w:val="00910515"/>
    <w:rsid w:val="00910844"/>
    <w:rsid w:val="00910A2A"/>
    <w:rsid w:val="009114E3"/>
    <w:rsid w:val="00911521"/>
    <w:rsid w:val="00911A16"/>
    <w:rsid w:val="00913314"/>
    <w:rsid w:val="00915ACC"/>
    <w:rsid w:val="00916721"/>
    <w:rsid w:val="009206A9"/>
    <w:rsid w:val="009212B0"/>
    <w:rsid w:val="009224A5"/>
    <w:rsid w:val="009228FD"/>
    <w:rsid w:val="00922DA7"/>
    <w:rsid w:val="009230CE"/>
    <w:rsid w:val="00923C21"/>
    <w:rsid w:val="009243D8"/>
    <w:rsid w:val="00924527"/>
    <w:rsid w:val="009252C8"/>
    <w:rsid w:val="009270CD"/>
    <w:rsid w:val="00932664"/>
    <w:rsid w:val="00933166"/>
    <w:rsid w:val="009339A4"/>
    <w:rsid w:val="00933D56"/>
    <w:rsid w:val="00935E66"/>
    <w:rsid w:val="00935EDD"/>
    <w:rsid w:val="009374C5"/>
    <w:rsid w:val="0094000F"/>
    <w:rsid w:val="009400D5"/>
    <w:rsid w:val="00940432"/>
    <w:rsid w:val="009420A6"/>
    <w:rsid w:val="009424BF"/>
    <w:rsid w:val="00942F25"/>
    <w:rsid w:val="00943BDE"/>
    <w:rsid w:val="00945157"/>
    <w:rsid w:val="00945312"/>
    <w:rsid w:val="009463FA"/>
    <w:rsid w:val="00947E24"/>
    <w:rsid w:val="00951896"/>
    <w:rsid w:val="009524C1"/>
    <w:rsid w:val="00953063"/>
    <w:rsid w:val="009543C6"/>
    <w:rsid w:val="00954F68"/>
    <w:rsid w:val="00955EAF"/>
    <w:rsid w:val="00956309"/>
    <w:rsid w:val="00956676"/>
    <w:rsid w:val="00957B14"/>
    <w:rsid w:val="00962470"/>
    <w:rsid w:val="00963755"/>
    <w:rsid w:val="00963905"/>
    <w:rsid w:val="00965460"/>
    <w:rsid w:val="00966F0B"/>
    <w:rsid w:val="00967D48"/>
    <w:rsid w:val="009709FD"/>
    <w:rsid w:val="00971782"/>
    <w:rsid w:val="00971E63"/>
    <w:rsid w:val="00972051"/>
    <w:rsid w:val="00972BAA"/>
    <w:rsid w:val="00972F00"/>
    <w:rsid w:val="00973F75"/>
    <w:rsid w:val="00975178"/>
    <w:rsid w:val="00975D2D"/>
    <w:rsid w:val="00975FC8"/>
    <w:rsid w:val="00977C7B"/>
    <w:rsid w:val="009802BA"/>
    <w:rsid w:val="00981CF3"/>
    <w:rsid w:val="0098515C"/>
    <w:rsid w:val="00986CF3"/>
    <w:rsid w:val="00987E8A"/>
    <w:rsid w:val="00990CA6"/>
    <w:rsid w:val="00991E8C"/>
    <w:rsid w:val="00993918"/>
    <w:rsid w:val="0099405D"/>
    <w:rsid w:val="009948EC"/>
    <w:rsid w:val="00994BEE"/>
    <w:rsid w:val="00994D02"/>
    <w:rsid w:val="009962F3"/>
    <w:rsid w:val="00996E98"/>
    <w:rsid w:val="0099781B"/>
    <w:rsid w:val="009A2476"/>
    <w:rsid w:val="009A2C67"/>
    <w:rsid w:val="009A3D93"/>
    <w:rsid w:val="009A4DB9"/>
    <w:rsid w:val="009A5115"/>
    <w:rsid w:val="009A64C6"/>
    <w:rsid w:val="009B05B9"/>
    <w:rsid w:val="009B1780"/>
    <w:rsid w:val="009B24DA"/>
    <w:rsid w:val="009B2DCC"/>
    <w:rsid w:val="009B3BD4"/>
    <w:rsid w:val="009B3ECA"/>
    <w:rsid w:val="009B4048"/>
    <w:rsid w:val="009B5765"/>
    <w:rsid w:val="009B583F"/>
    <w:rsid w:val="009B5CE8"/>
    <w:rsid w:val="009B6385"/>
    <w:rsid w:val="009B64B0"/>
    <w:rsid w:val="009B6EA8"/>
    <w:rsid w:val="009B73AF"/>
    <w:rsid w:val="009B7BF0"/>
    <w:rsid w:val="009C0DB3"/>
    <w:rsid w:val="009C16DC"/>
    <w:rsid w:val="009C214F"/>
    <w:rsid w:val="009C3565"/>
    <w:rsid w:val="009C425A"/>
    <w:rsid w:val="009C4572"/>
    <w:rsid w:val="009C5939"/>
    <w:rsid w:val="009D1C4D"/>
    <w:rsid w:val="009D1F6E"/>
    <w:rsid w:val="009D34CA"/>
    <w:rsid w:val="009D7437"/>
    <w:rsid w:val="009D7C3A"/>
    <w:rsid w:val="009E06BC"/>
    <w:rsid w:val="009E0E82"/>
    <w:rsid w:val="009E15D6"/>
    <w:rsid w:val="009E2C7E"/>
    <w:rsid w:val="009E4027"/>
    <w:rsid w:val="009E5F9D"/>
    <w:rsid w:val="009F03C2"/>
    <w:rsid w:val="009F2502"/>
    <w:rsid w:val="009F29FC"/>
    <w:rsid w:val="009F5B5B"/>
    <w:rsid w:val="009F5BF6"/>
    <w:rsid w:val="009F6287"/>
    <w:rsid w:val="009F64BA"/>
    <w:rsid w:val="009F709B"/>
    <w:rsid w:val="009F781D"/>
    <w:rsid w:val="00A00C8A"/>
    <w:rsid w:val="00A021DA"/>
    <w:rsid w:val="00A025EF"/>
    <w:rsid w:val="00A030DE"/>
    <w:rsid w:val="00A03AE3"/>
    <w:rsid w:val="00A04F43"/>
    <w:rsid w:val="00A06CAF"/>
    <w:rsid w:val="00A11299"/>
    <w:rsid w:val="00A1427F"/>
    <w:rsid w:val="00A15A27"/>
    <w:rsid w:val="00A160F0"/>
    <w:rsid w:val="00A16955"/>
    <w:rsid w:val="00A176F6"/>
    <w:rsid w:val="00A17802"/>
    <w:rsid w:val="00A22039"/>
    <w:rsid w:val="00A23100"/>
    <w:rsid w:val="00A23D04"/>
    <w:rsid w:val="00A27162"/>
    <w:rsid w:val="00A27C06"/>
    <w:rsid w:val="00A27D94"/>
    <w:rsid w:val="00A27E12"/>
    <w:rsid w:val="00A32C3C"/>
    <w:rsid w:val="00A32D2B"/>
    <w:rsid w:val="00A35FC6"/>
    <w:rsid w:val="00A36F7B"/>
    <w:rsid w:val="00A417DC"/>
    <w:rsid w:val="00A429BA"/>
    <w:rsid w:val="00A44116"/>
    <w:rsid w:val="00A447FD"/>
    <w:rsid w:val="00A44ABD"/>
    <w:rsid w:val="00A45F40"/>
    <w:rsid w:val="00A465E8"/>
    <w:rsid w:val="00A503A4"/>
    <w:rsid w:val="00A51213"/>
    <w:rsid w:val="00A51E62"/>
    <w:rsid w:val="00A52BA9"/>
    <w:rsid w:val="00A5326F"/>
    <w:rsid w:val="00A53B19"/>
    <w:rsid w:val="00A5693C"/>
    <w:rsid w:val="00A6042B"/>
    <w:rsid w:val="00A60C86"/>
    <w:rsid w:val="00A65088"/>
    <w:rsid w:val="00A6564A"/>
    <w:rsid w:val="00A65C6F"/>
    <w:rsid w:val="00A672AE"/>
    <w:rsid w:val="00A67A25"/>
    <w:rsid w:val="00A71202"/>
    <w:rsid w:val="00A71BDA"/>
    <w:rsid w:val="00A71CB2"/>
    <w:rsid w:val="00A72141"/>
    <w:rsid w:val="00A72CD4"/>
    <w:rsid w:val="00A7366E"/>
    <w:rsid w:val="00A80C46"/>
    <w:rsid w:val="00A8165C"/>
    <w:rsid w:val="00A82B05"/>
    <w:rsid w:val="00A83F10"/>
    <w:rsid w:val="00A84806"/>
    <w:rsid w:val="00A861DB"/>
    <w:rsid w:val="00A873D9"/>
    <w:rsid w:val="00A87586"/>
    <w:rsid w:val="00A87FC8"/>
    <w:rsid w:val="00A906C6"/>
    <w:rsid w:val="00A90C3B"/>
    <w:rsid w:val="00A9293A"/>
    <w:rsid w:val="00A937F4"/>
    <w:rsid w:val="00A93870"/>
    <w:rsid w:val="00A93CAF"/>
    <w:rsid w:val="00AA1624"/>
    <w:rsid w:val="00AA46EA"/>
    <w:rsid w:val="00AA4EFA"/>
    <w:rsid w:val="00AA5609"/>
    <w:rsid w:val="00AA5B59"/>
    <w:rsid w:val="00AA707A"/>
    <w:rsid w:val="00AB0CA8"/>
    <w:rsid w:val="00AB123D"/>
    <w:rsid w:val="00AB186B"/>
    <w:rsid w:val="00AB1C0C"/>
    <w:rsid w:val="00AB25BC"/>
    <w:rsid w:val="00AB3295"/>
    <w:rsid w:val="00AB37D8"/>
    <w:rsid w:val="00AB3A12"/>
    <w:rsid w:val="00AB53A5"/>
    <w:rsid w:val="00AB5899"/>
    <w:rsid w:val="00AB6CB3"/>
    <w:rsid w:val="00AC2FE7"/>
    <w:rsid w:val="00AC38CE"/>
    <w:rsid w:val="00AC42A2"/>
    <w:rsid w:val="00AC5BC6"/>
    <w:rsid w:val="00AC7229"/>
    <w:rsid w:val="00AC763C"/>
    <w:rsid w:val="00AD0BDA"/>
    <w:rsid w:val="00AD1FDC"/>
    <w:rsid w:val="00AD29CB"/>
    <w:rsid w:val="00AD2E14"/>
    <w:rsid w:val="00AD4C1E"/>
    <w:rsid w:val="00AD5F20"/>
    <w:rsid w:val="00AD71E2"/>
    <w:rsid w:val="00AE03FA"/>
    <w:rsid w:val="00AE073C"/>
    <w:rsid w:val="00AE0C8F"/>
    <w:rsid w:val="00AE26D8"/>
    <w:rsid w:val="00AE2858"/>
    <w:rsid w:val="00AE2AEA"/>
    <w:rsid w:val="00AE2C4D"/>
    <w:rsid w:val="00AE437D"/>
    <w:rsid w:val="00AE5AA7"/>
    <w:rsid w:val="00AE5E48"/>
    <w:rsid w:val="00AF037B"/>
    <w:rsid w:val="00AF3C63"/>
    <w:rsid w:val="00AF5AD3"/>
    <w:rsid w:val="00AF5D61"/>
    <w:rsid w:val="00AF63AC"/>
    <w:rsid w:val="00AF71AF"/>
    <w:rsid w:val="00AF79BD"/>
    <w:rsid w:val="00AF79EF"/>
    <w:rsid w:val="00B00512"/>
    <w:rsid w:val="00B02355"/>
    <w:rsid w:val="00B027ED"/>
    <w:rsid w:val="00B03F8C"/>
    <w:rsid w:val="00B04857"/>
    <w:rsid w:val="00B05518"/>
    <w:rsid w:val="00B10360"/>
    <w:rsid w:val="00B11764"/>
    <w:rsid w:val="00B118C0"/>
    <w:rsid w:val="00B130F3"/>
    <w:rsid w:val="00B152F8"/>
    <w:rsid w:val="00B1771A"/>
    <w:rsid w:val="00B205B9"/>
    <w:rsid w:val="00B23557"/>
    <w:rsid w:val="00B2464A"/>
    <w:rsid w:val="00B24C89"/>
    <w:rsid w:val="00B25819"/>
    <w:rsid w:val="00B2658E"/>
    <w:rsid w:val="00B277C6"/>
    <w:rsid w:val="00B32C8C"/>
    <w:rsid w:val="00B33264"/>
    <w:rsid w:val="00B33B49"/>
    <w:rsid w:val="00B33D14"/>
    <w:rsid w:val="00B33D98"/>
    <w:rsid w:val="00B33F6E"/>
    <w:rsid w:val="00B35B6D"/>
    <w:rsid w:val="00B36B5D"/>
    <w:rsid w:val="00B36C53"/>
    <w:rsid w:val="00B37471"/>
    <w:rsid w:val="00B37A15"/>
    <w:rsid w:val="00B4029D"/>
    <w:rsid w:val="00B438B9"/>
    <w:rsid w:val="00B46022"/>
    <w:rsid w:val="00B4690B"/>
    <w:rsid w:val="00B46DE1"/>
    <w:rsid w:val="00B47CAD"/>
    <w:rsid w:val="00B503C2"/>
    <w:rsid w:val="00B506B4"/>
    <w:rsid w:val="00B5213E"/>
    <w:rsid w:val="00B52E6C"/>
    <w:rsid w:val="00B53873"/>
    <w:rsid w:val="00B53F04"/>
    <w:rsid w:val="00B5426A"/>
    <w:rsid w:val="00B567EC"/>
    <w:rsid w:val="00B57E9F"/>
    <w:rsid w:val="00B60FF3"/>
    <w:rsid w:val="00B6173A"/>
    <w:rsid w:val="00B63D6E"/>
    <w:rsid w:val="00B63EFF"/>
    <w:rsid w:val="00B645F3"/>
    <w:rsid w:val="00B655D9"/>
    <w:rsid w:val="00B65800"/>
    <w:rsid w:val="00B71C6A"/>
    <w:rsid w:val="00B71E0E"/>
    <w:rsid w:val="00B72165"/>
    <w:rsid w:val="00B72AB0"/>
    <w:rsid w:val="00B72B40"/>
    <w:rsid w:val="00B737F2"/>
    <w:rsid w:val="00B73B91"/>
    <w:rsid w:val="00B73C1B"/>
    <w:rsid w:val="00B75A48"/>
    <w:rsid w:val="00B76CEC"/>
    <w:rsid w:val="00B7713C"/>
    <w:rsid w:val="00B7779D"/>
    <w:rsid w:val="00B80BC0"/>
    <w:rsid w:val="00B817AD"/>
    <w:rsid w:val="00B82F12"/>
    <w:rsid w:val="00B8458C"/>
    <w:rsid w:val="00B85E2C"/>
    <w:rsid w:val="00B86D3C"/>
    <w:rsid w:val="00B93026"/>
    <w:rsid w:val="00B95151"/>
    <w:rsid w:val="00B96031"/>
    <w:rsid w:val="00B960AA"/>
    <w:rsid w:val="00BA181E"/>
    <w:rsid w:val="00BA1B1E"/>
    <w:rsid w:val="00BA1C0A"/>
    <w:rsid w:val="00BA38BE"/>
    <w:rsid w:val="00BA5448"/>
    <w:rsid w:val="00BA5C87"/>
    <w:rsid w:val="00BA670A"/>
    <w:rsid w:val="00BB03F2"/>
    <w:rsid w:val="00BB03FD"/>
    <w:rsid w:val="00BB068F"/>
    <w:rsid w:val="00BB1941"/>
    <w:rsid w:val="00BB1A0F"/>
    <w:rsid w:val="00BB33E6"/>
    <w:rsid w:val="00BB57BE"/>
    <w:rsid w:val="00BB70B7"/>
    <w:rsid w:val="00BC0E1F"/>
    <w:rsid w:val="00BC28F2"/>
    <w:rsid w:val="00BC2A67"/>
    <w:rsid w:val="00BC2E4C"/>
    <w:rsid w:val="00BC3C3B"/>
    <w:rsid w:val="00BC51BB"/>
    <w:rsid w:val="00BC5E52"/>
    <w:rsid w:val="00BC7F74"/>
    <w:rsid w:val="00BD15E2"/>
    <w:rsid w:val="00BD19DB"/>
    <w:rsid w:val="00BD220B"/>
    <w:rsid w:val="00BD24AA"/>
    <w:rsid w:val="00BD3229"/>
    <w:rsid w:val="00BD5756"/>
    <w:rsid w:val="00BD65CE"/>
    <w:rsid w:val="00BD6DDE"/>
    <w:rsid w:val="00BD7619"/>
    <w:rsid w:val="00BE09B0"/>
    <w:rsid w:val="00BF1182"/>
    <w:rsid w:val="00BF7199"/>
    <w:rsid w:val="00BF7FA1"/>
    <w:rsid w:val="00C00535"/>
    <w:rsid w:val="00C00652"/>
    <w:rsid w:val="00C00B0C"/>
    <w:rsid w:val="00C02C2F"/>
    <w:rsid w:val="00C0321C"/>
    <w:rsid w:val="00C03B3C"/>
    <w:rsid w:val="00C03DDD"/>
    <w:rsid w:val="00C066DB"/>
    <w:rsid w:val="00C06FFD"/>
    <w:rsid w:val="00C071BB"/>
    <w:rsid w:val="00C075F1"/>
    <w:rsid w:val="00C076FB"/>
    <w:rsid w:val="00C077B0"/>
    <w:rsid w:val="00C10DAD"/>
    <w:rsid w:val="00C135B7"/>
    <w:rsid w:val="00C13A80"/>
    <w:rsid w:val="00C150F7"/>
    <w:rsid w:val="00C16940"/>
    <w:rsid w:val="00C17B78"/>
    <w:rsid w:val="00C20030"/>
    <w:rsid w:val="00C21484"/>
    <w:rsid w:val="00C21666"/>
    <w:rsid w:val="00C232DE"/>
    <w:rsid w:val="00C241E2"/>
    <w:rsid w:val="00C24230"/>
    <w:rsid w:val="00C26B1C"/>
    <w:rsid w:val="00C306F6"/>
    <w:rsid w:val="00C30738"/>
    <w:rsid w:val="00C313B7"/>
    <w:rsid w:val="00C33889"/>
    <w:rsid w:val="00C33AB1"/>
    <w:rsid w:val="00C34382"/>
    <w:rsid w:val="00C348A5"/>
    <w:rsid w:val="00C34EB8"/>
    <w:rsid w:val="00C34EF4"/>
    <w:rsid w:val="00C36028"/>
    <w:rsid w:val="00C368D9"/>
    <w:rsid w:val="00C36E8A"/>
    <w:rsid w:val="00C36F9E"/>
    <w:rsid w:val="00C37227"/>
    <w:rsid w:val="00C37516"/>
    <w:rsid w:val="00C3767D"/>
    <w:rsid w:val="00C412FA"/>
    <w:rsid w:val="00C41F42"/>
    <w:rsid w:val="00C42045"/>
    <w:rsid w:val="00C431CD"/>
    <w:rsid w:val="00C4363D"/>
    <w:rsid w:val="00C45269"/>
    <w:rsid w:val="00C456BF"/>
    <w:rsid w:val="00C45A12"/>
    <w:rsid w:val="00C45BF3"/>
    <w:rsid w:val="00C45FE5"/>
    <w:rsid w:val="00C47277"/>
    <w:rsid w:val="00C47364"/>
    <w:rsid w:val="00C52F37"/>
    <w:rsid w:val="00C52F43"/>
    <w:rsid w:val="00C533F9"/>
    <w:rsid w:val="00C61851"/>
    <w:rsid w:val="00C62AA6"/>
    <w:rsid w:val="00C62F23"/>
    <w:rsid w:val="00C64840"/>
    <w:rsid w:val="00C64942"/>
    <w:rsid w:val="00C65FFF"/>
    <w:rsid w:val="00C67CEC"/>
    <w:rsid w:val="00C67E1A"/>
    <w:rsid w:val="00C714E8"/>
    <w:rsid w:val="00C71682"/>
    <w:rsid w:val="00C753B8"/>
    <w:rsid w:val="00C76559"/>
    <w:rsid w:val="00C801ED"/>
    <w:rsid w:val="00C80CDA"/>
    <w:rsid w:val="00C8184C"/>
    <w:rsid w:val="00C82FE8"/>
    <w:rsid w:val="00C848F1"/>
    <w:rsid w:val="00C8725A"/>
    <w:rsid w:val="00C87843"/>
    <w:rsid w:val="00C912A1"/>
    <w:rsid w:val="00C93354"/>
    <w:rsid w:val="00C9383F"/>
    <w:rsid w:val="00C953D2"/>
    <w:rsid w:val="00C9666A"/>
    <w:rsid w:val="00C96BD8"/>
    <w:rsid w:val="00C97092"/>
    <w:rsid w:val="00C97454"/>
    <w:rsid w:val="00CA08D0"/>
    <w:rsid w:val="00CA1C37"/>
    <w:rsid w:val="00CA24E4"/>
    <w:rsid w:val="00CA2FC7"/>
    <w:rsid w:val="00CA3594"/>
    <w:rsid w:val="00CA422C"/>
    <w:rsid w:val="00CA47EE"/>
    <w:rsid w:val="00CA6291"/>
    <w:rsid w:val="00CB185D"/>
    <w:rsid w:val="00CB1FDF"/>
    <w:rsid w:val="00CB48CA"/>
    <w:rsid w:val="00CB4D28"/>
    <w:rsid w:val="00CB6CA2"/>
    <w:rsid w:val="00CB7FB8"/>
    <w:rsid w:val="00CC0E87"/>
    <w:rsid w:val="00CC0E9F"/>
    <w:rsid w:val="00CC3BDF"/>
    <w:rsid w:val="00CC4D38"/>
    <w:rsid w:val="00CC598B"/>
    <w:rsid w:val="00CC767D"/>
    <w:rsid w:val="00CD390C"/>
    <w:rsid w:val="00CD394A"/>
    <w:rsid w:val="00CD4264"/>
    <w:rsid w:val="00CD6A7F"/>
    <w:rsid w:val="00CE0747"/>
    <w:rsid w:val="00CE23C4"/>
    <w:rsid w:val="00CE324D"/>
    <w:rsid w:val="00CE5836"/>
    <w:rsid w:val="00CE5F54"/>
    <w:rsid w:val="00CE70E2"/>
    <w:rsid w:val="00CF23CC"/>
    <w:rsid w:val="00CF2B15"/>
    <w:rsid w:val="00CF2E6D"/>
    <w:rsid w:val="00CF33F6"/>
    <w:rsid w:val="00CF35CE"/>
    <w:rsid w:val="00CF3CDA"/>
    <w:rsid w:val="00CF415A"/>
    <w:rsid w:val="00CF4A6B"/>
    <w:rsid w:val="00CF5293"/>
    <w:rsid w:val="00CF74F5"/>
    <w:rsid w:val="00CF7CF3"/>
    <w:rsid w:val="00D00029"/>
    <w:rsid w:val="00D0053E"/>
    <w:rsid w:val="00D00676"/>
    <w:rsid w:val="00D01927"/>
    <w:rsid w:val="00D01BBF"/>
    <w:rsid w:val="00D02383"/>
    <w:rsid w:val="00D031A6"/>
    <w:rsid w:val="00D03568"/>
    <w:rsid w:val="00D054FC"/>
    <w:rsid w:val="00D05A27"/>
    <w:rsid w:val="00D05F33"/>
    <w:rsid w:val="00D072F2"/>
    <w:rsid w:val="00D07ABA"/>
    <w:rsid w:val="00D1011C"/>
    <w:rsid w:val="00D10D22"/>
    <w:rsid w:val="00D11275"/>
    <w:rsid w:val="00D11359"/>
    <w:rsid w:val="00D113B5"/>
    <w:rsid w:val="00D113F6"/>
    <w:rsid w:val="00D11AB8"/>
    <w:rsid w:val="00D1335B"/>
    <w:rsid w:val="00D13634"/>
    <w:rsid w:val="00D14A2A"/>
    <w:rsid w:val="00D15A57"/>
    <w:rsid w:val="00D2074F"/>
    <w:rsid w:val="00D20F06"/>
    <w:rsid w:val="00D22BEE"/>
    <w:rsid w:val="00D23A3D"/>
    <w:rsid w:val="00D2467C"/>
    <w:rsid w:val="00D24754"/>
    <w:rsid w:val="00D25229"/>
    <w:rsid w:val="00D260F9"/>
    <w:rsid w:val="00D30FA8"/>
    <w:rsid w:val="00D317C9"/>
    <w:rsid w:val="00D33D13"/>
    <w:rsid w:val="00D33D3B"/>
    <w:rsid w:val="00D350A9"/>
    <w:rsid w:val="00D35CD4"/>
    <w:rsid w:val="00D3670C"/>
    <w:rsid w:val="00D37E5C"/>
    <w:rsid w:val="00D4050E"/>
    <w:rsid w:val="00D40CED"/>
    <w:rsid w:val="00D44361"/>
    <w:rsid w:val="00D44B41"/>
    <w:rsid w:val="00D45C7E"/>
    <w:rsid w:val="00D46E36"/>
    <w:rsid w:val="00D47854"/>
    <w:rsid w:val="00D518C7"/>
    <w:rsid w:val="00D52860"/>
    <w:rsid w:val="00D53DD0"/>
    <w:rsid w:val="00D56532"/>
    <w:rsid w:val="00D567EB"/>
    <w:rsid w:val="00D61A5B"/>
    <w:rsid w:val="00D633D5"/>
    <w:rsid w:val="00D64698"/>
    <w:rsid w:val="00D647E4"/>
    <w:rsid w:val="00D64F0D"/>
    <w:rsid w:val="00D67A41"/>
    <w:rsid w:val="00D67AA8"/>
    <w:rsid w:val="00D70D91"/>
    <w:rsid w:val="00D726B8"/>
    <w:rsid w:val="00D72976"/>
    <w:rsid w:val="00D7353E"/>
    <w:rsid w:val="00D736EB"/>
    <w:rsid w:val="00D73DAC"/>
    <w:rsid w:val="00D763DE"/>
    <w:rsid w:val="00D76A06"/>
    <w:rsid w:val="00D8169B"/>
    <w:rsid w:val="00D82EAE"/>
    <w:rsid w:val="00D833E8"/>
    <w:rsid w:val="00D83723"/>
    <w:rsid w:val="00D86953"/>
    <w:rsid w:val="00D8697A"/>
    <w:rsid w:val="00D87F1F"/>
    <w:rsid w:val="00D93B87"/>
    <w:rsid w:val="00D94A7C"/>
    <w:rsid w:val="00D96634"/>
    <w:rsid w:val="00DA005C"/>
    <w:rsid w:val="00DA18C6"/>
    <w:rsid w:val="00DA1908"/>
    <w:rsid w:val="00DA1B97"/>
    <w:rsid w:val="00DA2227"/>
    <w:rsid w:val="00DA2C72"/>
    <w:rsid w:val="00DA544B"/>
    <w:rsid w:val="00DA65A7"/>
    <w:rsid w:val="00DA7686"/>
    <w:rsid w:val="00DA7F80"/>
    <w:rsid w:val="00DB04F3"/>
    <w:rsid w:val="00DB2A5D"/>
    <w:rsid w:val="00DB340D"/>
    <w:rsid w:val="00DB51A0"/>
    <w:rsid w:val="00DB5C8D"/>
    <w:rsid w:val="00DB6342"/>
    <w:rsid w:val="00DB6BA4"/>
    <w:rsid w:val="00DB79C6"/>
    <w:rsid w:val="00DC02DD"/>
    <w:rsid w:val="00DC0F24"/>
    <w:rsid w:val="00DC2B59"/>
    <w:rsid w:val="00DC3BE7"/>
    <w:rsid w:val="00DC3F86"/>
    <w:rsid w:val="00DC4852"/>
    <w:rsid w:val="00DC601E"/>
    <w:rsid w:val="00DD40D0"/>
    <w:rsid w:val="00DD574A"/>
    <w:rsid w:val="00DD5EEE"/>
    <w:rsid w:val="00DE0323"/>
    <w:rsid w:val="00DE2194"/>
    <w:rsid w:val="00DE2F27"/>
    <w:rsid w:val="00DE5070"/>
    <w:rsid w:val="00DE6B10"/>
    <w:rsid w:val="00DE6EDF"/>
    <w:rsid w:val="00DF1134"/>
    <w:rsid w:val="00DF204A"/>
    <w:rsid w:val="00DF29CB"/>
    <w:rsid w:val="00DF41E4"/>
    <w:rsid w:val="00DF6BD8"/>
    <w:rsid w:val="00E0159C"/>
    <w:rsid w:val="00E02329"/>
    <w:rsid w:val="00E0279A"/>
    <w:rsid w:val="00E02962"/>
    <w:rsid w:val="00E03B00"/>
    <w:rsid w:val="00E05329"/>
    <w:rsid w:val="00E05E69"/>
    <w:rsid w:val="00E06264"/>
    <w:rsid w:val="00E07726"/>
    <w:rsid w:val="00E11FCE"/>
    <w:rsid w:val="00E121BB"/>
    <w:rsid w:val="00E1310E"/>
    <w:rsid w:val="00E1424E"/>
    <w:rsid w:val="00E14C41"/>
    <w:rsid w:val="00E15513"/>
    <w:rsid w:val="00E17491"/>
    <w:rsid w:val="00E20513"/>
    <w:rsid w:val="00E207CE"/>
    <w:rsid w:val="00E21BE3"/>
    <w:rsid w:val="00E23F11"/>
    <w:rsid w:val="00E24BA7"/>
    <w:rsid w:val="00E253ED"/>
    <w:rsid w:val="00E25B77"/>
    <w:rsid w:val="00E25C23"/>
    <w:rsid w:val="00E26D31"/>
    <w:rsid w:val="00E275E2"/>
    <w:rsid w:val="00E3001C"/>
    <w:rsid w:val="00E310E6"/>
    <w:rsid w:val="00E3143A"/>
    <w:rsid w:val="00E3243F"/>
    <w:rsid w:val="00E331DA"/>
    <w:rsid w:val="00E362D6"/>
    <w:rsid w:val="00E37F97"/>
    <w:rsid w:val="00E4083A"/>
    <w:rsid w:val="00E44FFA"/>
    <w:rsid w:val="00E45B30"/>
    <w:rsid w:val="00E4764D"/>
    <w:rsid w:val="00E47B7E"/>
    <w:rsid w:val="00E50D27"/>
    <w:rsid w:val="00E51256"/>
    <w:rsid w:val="00E51939"/>
    <w:rsid w:val="00E51B55"/>
    <w:rsid w:val="00E5300E"/>
    <w:rsid w:val="00E531EE"/>
    <w:rsid w:val="00E532B3"/>
    <w:rsid w:val="00E53537"/>
    <w:rsid w:val="00E53577"/>
    <w:rsid w:val="00E5390E"/>
    <w:rsid w:val="00E53B1A"/>
    <w:rsid w:val="00E54BAE"/>
    <w:rsid w:val="00E55D57"/>
    <w:rsid w:val="00E607BA"/>
    <w:rsid w:val="00E618E9"/>
    <w:rsid w:val="00E62459"/>
    <w:rsid w:val="00E6307A"/>
    <w:rsid w:val="00E6330D"/>
    <w:rsid w:val="00E640D1"/>
    <w:rsid w:val="00E70818"/>
    <w:rsid w:val="00E709FF"/>
    <w:rsid w:val="00E736EA"/>
    <w:rsid w:val="00E744AE"/>
    <w:rsid w:val="00E74812"/>
    <w:rsid w:val="00E77B9D"/>
    <w:rsid w:val="00E77F63"/>
    <w:rsid w:val="00E80F36"/>
    <w:rsid w:val="00E810C1"/>
    <w:rsid w:val="00E81804"/>
    <w:rsid w:val="00E81CA4"/>
    <w:rsid w:val="00E826B4"/>
    <w:rsid w:val="00E82832"/>
    <w:rsid w:val="00E83D91"/>
    <w:rsid w:val="00E84ABC"/>
    <w:rsid w:val="00E84EEE"/>
    <w:rsid w:val="00E8508B"/>
    <w:rsid w:val="00E86DFF"/>
    <w:rsid w:val="00E901B0"/>
    <w:rsid w:val="00E907B1"/>
    <w:rsid w:val="00E9393A"/>
    <w:rsid w:val="00E943B6"/>
    <w:rsid w:val="00E94653"/>
    <w:rsid w:val="00E94665"/>
    <w:rsid w:val="00E94C3C"/>
    <w:rsid w:val="00E96A2E"/>
    <w:rsid w:val="00E96A82"/>
    <w:rsid w:val="00E96CE3"/>
    <w:rsid w:val="00E976E6"/>
    <w:rsid w:val="00EA0ADB"/>
    <w:rsid w:val="00EA17C7"/>
    <w:rsid w:val="00EA23C9"/>
    <w:rsid w:val="00EA27A0"/>
    <w:rsid w:val="00EA2E3A"/>
    <w:rsid w:val="00EA47A3"/>
    <w:rsid w:val="00EA4B7F"/>
    <w:rsid w:val="00EA58E5"/>
    <w:rsid w:val="00EA5E7E"/>
    <w:rsid w:val="00EA6DFC"/>
    <w:rsid w:val="00EA7045"/>
    <w:rsid w:val="00EB0AFA"/>
    <w:rsid w:val="00EB328E"/>
    <w:rsid w:val="00EB3FF9"/>
    <w:rsid w:val="00EB5623"/>
    <w:rsid w:val="00EB5BE6"/>
    <w:rsid w:val="00EB6438"/>
    <w:rsid w:val="00EB6E73"/>
    <w:rsid w:val="00EC3161"/>
    <w:rsid w:val="00EC32D5"/>
    <w:rsid w:val="00EC3C4D"/>
    <w:rsid w:val="00EC4DFF"/>
    <w:rsid w:val="00EC5342"/>
    <w:rsid w:val="00EC58B7"/>
    <w:rsid w:val="00EC6BFD"/>
    <w:rsid w:val="00EC7127"/>
    <w:rsid w:val="00EC72C9"/>
    <w:rsid w:val="00ED54B7"/>
    <w:rsid w:val="00ED71CE"/>
    <w:rsid w:val="00ED79CA"/>
    <w:rsid w:val="00EE0F72"/>
    <w:rsid w:val="00EE0F73"/>
    <w:rsid w:val="00EE21F3"/>
    <w:rsid w:val="00EE3019"/>
    <w:rsid w:val="00EE3779"/>
    <w:rsid w:val="00EE4D1F"/>
    <w:rsid w:val="00EE4EEB"/>
    <w:rsid w:val="00EE522E"/>
    <w:rsid w:val="00EE5935"/>
    <w:rsid w:val="00EE5ECD"/>
    <w:rsid w:val="00EE6EBB"/>
    <w:rsid w:val="00EF02AC"/>
    <w:rsid w:val="00EF1EEF"/>
    <w:rsid w:val="00EF2AA9"/>
    <w:rsid w:val="00EF4D27"/>
    <w:rsid w:val="00EF50C6"/>
    <w:rsid w:val="00EF694A"/>
    <w:rsid w:val="00EF6A55"/>
    <w:rsid w:val="00EF7CF6"/>
    <w:rsid w:val="00F01477"/>
    <w:rsid w:val="00F02601"/>
    <w:rsid w:val="00F060AE"/>
    <w:rsid w:val="00F0706A"/>
    <w:rsid w:val="00F07E21"/>
    <w:rsid w:val="00F10B46"/>
    <w:rsid w:val="00F12DA3"/>
    <w:rsid w:val="00F12E06"/>
    <w:rsid w:val="00F1356A"/>
    <w:rsid w:val="00F13855"/>
    <w:rsid w:val="00F15AE5"/>
    <w:rsid w:val="00F176F9"/>
    <w:rsid w:val="00F20517"/>
    <w:rsid w:val="00F215CC"/>
    <w:rsid w:val="00F2369E"/>
    <w:rsid w:val="00F24703"/>
    <w:rsid w:val="00F2483C"/>
    <w:rsid w:val="00F24DBE"/>
    <w:rsid w:val="00F26547"/>
    <w:rsid w:val="00F274F6"/>
    <w:rsid w:val="00F31061"/>
    <w:rsid w:val="00F31EC1"/>
    <w:rsid w:val="00F3408F"/>
    <w:rsid w:val="00F34271"/>
    <w:rsid w:val="00F34DA0"/>
    <w:rsid w:val="00F36074"/>
    <w:rsid w:val="00F4103B"/>
    <w:rsid w:val="00F42066"/>
    <w:rsid w:val="00F43464"/>
    <w:rsid w:val="00F4358F"/>
    <w:rsid w:val="00F44434"/>
    <w:rsid w:val="00F44D15"/>
    <w:rsid w:val="00F44D5E"/>
    <w:rsid w:val="00F45450"/>
    <w:rsid w:val="00F46D55"/>
    <w:rsid w:val="00F47900"/>
    <w:rsid w:val="00F523B0"/>
    <w:rsid w:val="00F53D97"/>
    <w:rsid w:val="00F54770"/>
    <w:rsid w:val="00F54794"/>
    <w:rsid w:val="00F55AAB"/>
    <w:rsid w:val="00F562C9"/>
    <w:rsid w:val="00F61210"/>
    <w:rsid w:val="00F6196C"/>
    <w:rsid w:val="00F61F4C"/>
    <w:rsid w:val="00F623D3"/>
    <w:rsid w:val="00F62490"/>
    <w:rsid w:val="00F65095"/>
    <w:rsid w:val="00F666F0"/>
    <w:rsid w:val="00F704AF"/>
    <w:rsid w:val="00F71524"/>
    <w:rsid w:val="00F71A66"/>
    <w:rsid w:val="00F72ADA"/>
    <w:rsid w:val="00F738AF"/>
    <w:rsid w:val="00F74125"/>
    <w:rsid w:val="00F75394"/>
    <w:rsid w:val="00F81408"/>
    <w:rsid w:val="00F818EA"/>
    <w:rsid w:val="00F81F47"/>
    <w:rsid w:val="00F82504"/>
    <w:rsid w:val="00F82611"/>
    <w:rsid w:val="00F83250"/>
    <w:rsid w:val="00F83935"/>
    <w:rsid w:val="00F83974"/>
    <w:rsid w:val="00F84F6B"/>
    <w:rsid w:val="00F84FE0"/>
    <w:rsid w:val="00F868D1"/>
    <w:rsid w:val="00F86AFD"/>
    <w:rsid w:val="00F915D0"/>
    <w:rsid w:val="00F92314"/>
    <w:rsid w:val="00F931C8"/>
    <w:rsid w:val="00F956AC"/>
    <w:rsid w:val="00F95FFD"/>
    <w:rsid w:val="00F963FF"/>
    <w:rsid w:val="00F96E5E"/>
    <w:rsid w:val="00F97BD6"/>
    <w:rsid w:val="00FA0507"/>
    <w:rsid w:val="00FA1DAF"/>
    <w:rsid w:val="00FA1E54"/>
    <w:rsid w:val="00FA5573"/>
    <w:rsid w:val="00FA5A69"/>
    <w:rsid w:val="00FA66DD"/>
    <w:rsid w:val="00FA6A30"/>
    <w:rsid w:val="00FB0B3C"/>
    <w:rsid w:val="00FB0DD2"/>
    <w:rsid w:val="00FB21E2"/>
    <w:rsid w:val="00FB2CF8"/>
    <w:rsid w:val="00FB349C"/>
    <w:rsid w:val="00FB5043"/>
    <w:rsid w:val="00FB5165"/>
    <w:rsid w:val="00FB5A94"/>
    <w:rsid w:val="00FB5D3F"/>
    <w:rsid w:val="00FB5E6E"/>
    <w:rsid w:val="00FC01DD"/>
    <w:rsid w:val="00FC043E"/>
    <w:rsid w:val="00FC08EE"/>
    <w:rsid w:val="00FC3411"/>
    <w:rsid w:val="00FC3EA5"/>
    <w:rsid w:val="00FC5279"/>
    <w:rsid w:val="00FC54D3"/>
    <w:rsid w:val="00FC603E"/>
    <w:rsid w:val="00FC6818"/>
    <w:rsid w:val="00FC6E2C"/>
    <w:rsid w:val="00FC75C8"/>
    <w:rsid w:val="00FD0B4D"/>
    <w:rsid w:val="00FD17D7"/>
    <w:rsid w:val="00FD3248"/>
    <w:rsid w:val="00FD3F30"/>
    <w:rsid w:val="00FD6AA4"/>
    <w:rsid w:val="00FD79E9"/>
    <w:rsid w:val="00FD7A89"/>
    <w:rsid w:val="00FD7B20"/>
    <w:rsid w:val="00FE009F"/>
    <w:rsid w:val="00FE077A"/>
    <w:rsid w:val="00FE08C9"/>
    <w:rsid w:val="00FE1082"/>
    <w:rsid w:val="00FE1FD9"/>
    <w:rsid w:val="00FE25B7"/>
    <w:rsid w:val="00FE2B2D"/>
    <w:rsid w:val="00FE2CC6"/>
    <w:rsid w:val="00FE3318"/>
    <w:rsid w:val="00FE33C5"/>
    <w:rsid w:val="00FE33CD"/>
    <w:rsid w:val="00FE6511"/>
    <w:rsid w:val="00FE6AD4"/>
    <w:rsid w:val="00FE752F"/>
    <w:rsid w:val="00FF1046"/>
    <w:rsid w:val="00FF23F5"/>
    <w:rsid w:val="00FF2453"/>
    <w:rsid w:val="00FF3C57"/>
    <w:rsid w:val="00FF3D77"/>
    <w:rsid w:val="00FF3FC7"/>
    <w:rsid w:val="00FF56CC"/>
    <w:rsid w:val="00FF6261"/>
    <w:rsid w:val="00FF6379"/>
    <w:rsid w:val="00FF64EB"/>
    <w:rsid w:val="00FF72C0"/>
    <w:rsid w:val="00FF72E9"/>
    <w:rsid w:val="2DC09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FFA1"/>
  <w15:docId w15:val="{E90354CF-D96F-447C-BBC9-D988E865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ind w:left="284" w:hanging="284"/>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B80BC0"/>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0B75D1"/>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DF29CB"/>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576D80"/>
    <w:rPr>
      <w:sz w:val="16"/>
      <w:szCs w:val="16"/>
    </w:rPr>
  </w:style>
  <w:style w:type="paragraph" w:styleId="CommentText">
    <w:name w:val="annotation text"/>
    <w:basedOn w:val="Normal"/>
    <w:link w:val="CommentTextChar"/>
    <w:uiPriority w:val="99"/>
    <w:unhideWhenUsed/>
    <w:rsid w:val="00576D80"/>
    <w:pPr>
      <w:spacing w:line="240" w:lineRule="auto"/>
    </w:pPr>
    <w:rPr>
      <w:sz w:val="20"/>
      <w:szCs w:val="20"/>
    </w:rPr>
  </w:style>
  <w:style w:type="character" w:customStyle="1" w:styleId="CommentTextChar">
    <w:name w:val="Comment Text Char"/>
    <w:basedOn w:val="DefaultParagraphFont"/>
    <w:link w:val="CommentText"/>
    <w:uiPriority w:val="99"/>
    <w:rsid w:val="00576D80"/>
    <w:rPr>
      <w:sz w:val="20"/>
      <w:szCs w:val="20"/>
      <w:lang w:val="en-AU"/>
    </w:rPr>
  </w:style>
  <w:style w:type="paragraph" w:styleId="CommentSubject">
    <w:name w:val="annotation subject"/>
    <w:basedOn w:val="CommentText"/>
    <w:next w:val="CommentText"/>
    <w:link w:val="CommentSubjectChar"/>
    <w:uiPriority w:val="99"/>
    <w:semiHidden/>
    <w:unhideWhenUsed/>
    <w:rsid w:val="00576D80"/>
    <w:rPr>
      <w:b/>
      <w:bCs/>
    </w:rPr>
  </w:style>
  <w:style w:type="character" w:customStyle="1" w:styleId="CommentSubjectChar">
    <w:name w:val="Comment Subject Char"/>
    <w:basedOn w:val="CommentTextChar"/>
    <w:link w:val="CommentSubject"/>
    <w:uiPriority w:val="99"/>
    <w:semiHidden/>
    <w:rsid w:val="00576D80"/>
    <w:rPr>
      <w:b/>
      <w:bCs/>
      <w:sz w:val="20"/>
      <w:szCs w:val="20"/>
      <w:lang w:val="en-AU"/>
    </w:rPr>
  </w:style>
  <w:style w:type="paragraph" w:styleId="Revision">
    <w:name w:val="Revision"/>
    <w:hidden/>
    <w:uiPriority w:val="99"/>
    <w:semiHidden/>
    <w:rsid w:val="00D35CD4"/>
    <w:pPr>
      <w:spacing w:after="0" w:line="240" w:lineRule="auto"/>
    </w:pPr>
    <w:rPr>
      <w:lang w:val="en-AU"/>
    </w:rPr>
  </w:style>
  <w:style w:type="character" w:styleId="UnresolvedMention">
    <w:name w:val="Unresolved Mention"/>
    <w:basedOn w:val="DefaultParagraphFont"/>
    <w:uiPriority w:val="99"/>
    <w:semiHidden/>
    <w:unhideWhenUsed/>
    <w:rsid w:val="00C232DE"/>
    <w:rPr>
      <w:color w:val="605E5C"/>
      <w:shd w:val="clear" w:color="auto" w:fill="E1DFDD"/>
    </w:rPr>
  </w:style>
  <w:style w:type="character" w:styleId="Mention">
    <w:name w:val="Mention"/>
    <w:basedOn w:val="DefaultParagraphFont"/>
    <w:uiPriority w:val="99"/>
    <w:unhideWhenUsed/>
    <w:rsid w:val="003941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5565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9558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0.xml"/><Relationship Id="rId21" Type="http://schemas.openxmlformats.org/officeDocument/2006/relationships/footer" Target="footer2.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4.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Pr>
              <w:highlight w:val="lightGray"/>
            </w:rPr>
            <w:t>[Subtitle]</w:t>
          </w:r>
        </w:p>
      </w:docPartBody>
    </w:docPart>
    <w:docPart>
      <w:docPartPr>
        <w:name w:val="96481528163E47148202FE7F807A6399"/>
        <w:category>
          <w:name w:val="General"/>
          <w:gallery w:val="placeholder"/>
        </w:category>
        <w:types>
          <w:type w:val="bbPlcHdr"/>
        </w:types>
        <w:behaviors>
          <w:behavior w:val="content"/>
        </w:behaviors>
        <w:guid w:val="{71C7F7C6-9698-4818-AC76-7E1EAEB19B67}"/>
      </w:docPartPr>
      <w:docPartBody>
        <w:p w:rsidR="006F40CD" w:rsidRDefault="00833905" w:rsidP="00833905">
          <w:pPr>
            <w:pStyle w:val="96481528163E47148202FE7F807A6399"/>
          </w:pPr>
          <w:r>
            <w:rPr>
              <w:highlight w:val="lightGray"/>
            </w:rPr>
            <w:t>[Click to select a date]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Pr>
              <w:highlight w:val="lightGray"/>
            </w:rPr>
            <w:t>[Title]</w:t>
          </w:r>
        </w:p>
      </w:docPartBody>
    </w:docPart>
    <w:docPart>
      <w:docPartPr>
        <w:name w:val="575C1C1CBBA541C38719C610D7CAFD08"/>
        <w:category>
          <w:name w:val="General"/>
          <w:gallery w:val="placeholder"/>
        </w:category>
        <w:types>
          <w:type w:val="bbPlcHdr"/>
        </w:types>
        <w:behaviors>
          <w:behavior w:val="content"/>
        </w:behaviors>
        <w:guid w:val="{040F08AB-05C0-43B6-96D1-8BA8B3D01908}"/>
      </w:docPartPr>
      <w:docPartBody>
        <w:p w:rsidR="002E59BD" w:rsidRDefault="00005252" w:rsidP="00005252">
          <w:pPr>
            <w:pStyle w:val="575C1C1CBBA541C38719C610D7CAFD08"/>
          </w:pPr>
          <w:r>
            <w:rPr>
              <w:b/>
              <w:highlight w:val="lightGray"/>
            </w:rPr>
            <w:t>[Title]</w:t>
          </w:r>
        </w:p>
      </w:docPartBody>
    </w:docPart>
    <w:docPart>
      <w:docPartPr>
        <w:name w:val="0B652115F2054B15948FC026444E9A13"/>
        <w:category>
          <w:name w:val="General"/>
          <w:gallery w:val="placeholder"/>
        </w:category>
        <w:types>
          <w:type w:val="bbPlcHdr"/>
        </w:types>
        <w:behaviors>
          <w:behavior w:val="content"/>
        </w:behaviors>
        <w:guid w:val="{4395D1D6-7EC5-4E09-9763-7B9548CE9591}"/>
      </w:docPartPr>
      <w:docPartBody>
        <w:p w:rsidR="00C93DE6" w:rsidRDefault="00C21484" w:rsidP="00C21484">
          <w:pPr>
            <w:pStyle w:val="0B652115F2054B15948FC026444E9A13"/>
          </w:pPr>
          <w:r>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05252"/>
    <w:rsid w:val="000150E0"/>
    <w:rsid w:val="000671E2"/>
    <w:rsid w:val="00081FD0"/>
    <w:rsid w:val="001073B7"/>
    <w:rsid w:val="00113D8E"/>
    <w:rsid w:val="00115774"/>
    <w:rsid w:val="0011779C"/>
    <w:rsid w:val="0015192D"/>
    <w:rsid w:val="00155528"/>
    <w:rsid w:val="001760DE"/>
    <w:rsid w:val="001823EE"/>
    <w:rsid w:val="00182F21"/>
    <w:rsid w:val="00196852"/>
    <w:rsid w:val="001A2ADC"/>
    <w:rsid w:val="001B2DFF"/>
    <w:rsid w:val="001D021B"/>
    <w:rsid w:val="001D40E8"/>
    <w:rsid w:val="0023220C"/>
    <w:rsid w:val="00246B40"/>
    <w:rsid w:val="00263C03"/>
    <w:rsid w:val="002772C7"/>
    <w:rsid w:val="002A2901"/>
    <w:rsid w:val="002D75E4"/>
    <w:rsid w:val="002E59BD"/>
    <w:rsid w:val="00333A75"/>
    <w:rsid w:val="003467B7"/>
    <w:rsid w:val="00362320"/>
    <w:rsid w:val="003731BB"/>
    <w:rsid w:val="00381D0A"/>
    <w:rsid w:val="0038719F"/>
    <w:rsid w:val="003A0FB4"/>
    <w:rsid w:val="003D34D2"/>
    <w:rsid w:val="003E4284"/>
    <w:rsid w:val="004173F2"/>
    <w:rsid w:val="00437252"/>
    <w:rsid w:val="004804C2"/>
    <w:rsid w:val="004B7B85"/>
    <w:rsid w:val="004E5249"/>
    <w:rsid w:val="004F0A73"/>
    <w:rsid w:val="00533C53"/>
    <w:rsid w:val="005825D2"/>
    <w:rsid w:val="00594461"/>
    <w:rsid w:val="005A7ECF"/>
    <w:rsid w:val="005B3A0F"/>
    <w:rsid w:val="005B48BB"/>
    <w:rsid w:val="005B5ECA"/>
    <w:rsid w:val="005D0AB1"/>
    <w:rsid w:val="005F2B3A"/>
    <w:rsid w:val="0060103D"/>
    <w:rsid w:val="006252B6"/>
    <w:rsid w:val="00647657"/>
    <w:rsid w:val="006A79A8"/>
    <w:rsid w:val="006B5534"/>
    <w:rsid w:val="006C3D49"/>
    <w:rsid w:val="006F40CD"/>
    <w:rsid w:val="0074417F"/>
    <w:rsid w:val="0077050C"/>
    <w:rsid w:val="007A5BA5"/>
    <w:rsid w:val="00833905"/>
    <w:rsid w:val="008A2B98"/>
    <w:rsid w:val="008E56CE"/>
    <w:rsid w:val="009350A0"/>
    <w:rsid w:val="009422A6"/>
    <w:rsid w:val="00945312"/>
    <w:rsid w:val="009B6385"/>
    <w:rsid w:val="009C4572"/>
    <w:rsid w:val="009D37B9"/>
    <w:rsid w:val="009E2B48"/>
    <w:rsid w:val="009F7618"/>
    <w:rsid w:val="00A159A8"/>
    <w:rsid w:val="00A65D2F"/>
    <w:rsid w:val="00AC7229"/>
    <w:rsid w:val="00AD0BDA"/>
    <w:rsid w:val="00BA5448"/>
    <w:rsid w:val="00BB3B22"/>
    <w:rsid w:val="00BD5756"/>
    <w:rsid w:val="00C00535"/>
    <w:rsid w:val="00C21484"/>
    <w:rsid w:val="00C26D29"/>
    <w:rsid w:val="00C35EA9"/>
    <w:rsid w:val="00C52578"/>
    <w:rsid w:val="00C908AB"/>
    <w:rsid w:val="00C93DE6"/>
    <w:rsid w:val="00CD361A"/>
    <w:rsid w:val="00CE6AE8"/>
    <w:rsid w:val="00D33D13"/>
    <w:rsid w:val="00D96634"/>
    <w:rsid w:val="00DA1908"/>
    <w:rsid w:val="00DD2381"/>
    <w:rsid w:val="00DD5FD1"/>
    <w:rsid w:val="00E06264"/>
    <w:rsid w:val="00E230D5"/>
    <w:rsid w:val="00E40612"/>
    <w:rsid w:val="00EE41A2"/>
    <w:rsid w:val="00EE522E"/>
    <w:rsid w:val="00EF1A3F"/>
    <w:rsid w:val="00EF1EEF"/>
    <w:rsid w:val="00EF43ED"/>
    <w:rsid w:val="00F15146"/>
    <w:rsid w:val="00F71A66"/>
    <w:rsid w:val="00F96E5E"/>
    <w:rsid w:val="00FF0C89"/>
    <w:rsid w:val="00FF23F5"/>
    <w:rsid w:val="00FF3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0E2841"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0E2841"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sid w:val="006252B6"/>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96481528163E47148202FE7F807A6399">
    <w:name w:val="96481528163E47148202FE7F807A6399"/>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575C1C1CBBA541C38719C610D7CAFD08">
    <w:name w:val="575C1C1CBBA541C38719C610D7CAFD08"/>
    <w:rsid w:val="00005252"/>
    <w:rPr>
      <w:kern w:val="2"/>
      <w14:ligatures w14:val="standardContextual"/>
    </w:rPr>
  </w:style>
  <w:style w:type="paragraph" w:customStyle="1" w:styleId="0B652115F2054B15948FC026444E9A13">
    <w:name w:val="0B652115F2054B15948FC026444E9A13"/>
    <w:rsid w:val="00C214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F79D47A3BF7B408B434098A259DFF3" ma:contentTypeVersion="13" ma:contentTypeDescription="Create a new document." ma:contentTypeScope="" ma:versionID="f54dec4d2a4589e1b57172151a2f7bd2">
  <xsd:schema xmlns:xsd="http://www.w3.org/2001/XMLSchema" xmlns:xs="http://www.w3.org/2001/XMLSchema" xmlns:p="http://schemas.microsoft.com/office/2006/metadata/properties" xmlns:ns2="c4968f4f-4283-4438-b250-a2bc27aa04e9" xmlns:ns3="a4fbf8de-3250-4a5a-bae8-d57f1e3a24ef" targetNamespace="http://schemas.microsoft.com/office/2006/metadata/properties" ma:root="true" ma:fieldsID="0f678cbfd14998bbe16a83acb3f156d5" ns2:_="" ns3:_="">
    <xsd:import namespace="c4968f4f-4283-4438-b250-a2bc27aa04e9"/>
    <xsd:import namespace="a4fbf8de-3250-4a5a-bae8-d57f1e3a24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68f4f-4283-4438-b250-a2bc27aa0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bf8de-3250-4a5a-bae8-d57f1e3a24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578cdc7-bfdc-4204-b295-929024b4138c}" ma:internalName="TaxCatchAll" ma:showField="CatchAllData" ma:web="a4fbf8de-3250-4a5a-bae8-d57f1e3a2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68f4f-4283-4438-b250-a2bc27aa04e9">
      <Terms xmlns="http://schemas.microsoft.com/office/infopath/2007/PartnerControls"/>
    </lcf76f155ced4ddcb4097134ff3c332f>
    <TaxCatchAll xmlns="a4fbf8de-3250-4a5a-bae8-d57f1e3a24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2.xml><?xml version="1.0" encoding="utf-8"?>
<ds:datastoreItem xmlns:ds="http://schemas.openxmlformats.org/officeDocument/2006/customXml" ds:itemID="{FC420728-8E53-4624-BB54-FE8DBDEF3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68f4f-4283-4438-b250-a2bc27aa04e9"/>
    <ds:schemaRef ds:uri="a4fbf8de-3250-4a5a-bae8-d57f1e3a2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D423F-2E18-41FE-950F-7AB2352AE0D1}">
  <ds:schemaRefs>
    <ds:schemaRef ds:uri="http://schemas.microsoft.com/office/2006/metadata/properties"/>
    <ds:schemaRef ds:uri="http://schemas.microsoft.com/office/infopath/2007/PartnerControls"/>
    <ds:schemaRef ds:uri="c4968f4f-4283-4438-b250-a2bc27aa04e9"/>
    <ds:schemaRef ds:uri="a4fbf8de-3250-4a5a-bae8-d57f1e3a24ef"/>
  </ds:schemaRefs>
</ds:datastoreItem>
</file>

<file path=customXml/itemProps4.xml><?xml version="1.0" encoding="utf-8"?>
<ds:datastoreItem xmlns:ds="http://schemas.openxmlformats.org/officeDocument/2006/customXml" ds:itemID="{155B31E4-9B3B-4691-B164-39DFFA1EB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3869</Words>
  <Characters>22058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Unbooked Taxi Fare Annual Adjustment 2025</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Unbooked Taxi Fare Annual Adjustment 2025</dc:title>
  <dc:subject/>
  <dc:creator>Joel Eversham (ESC)</dc:creator>
  <cp:keywords>[SEC=OFFICIAL]</cp:keywords>
  <dc:description>Commission Assessment</dc:description>
  <cp:lastModifiedBy>Emily Evans (ESC)</cp:lastModifiedBy>
  <cp:revision>2</cp:revision>
  <cp:lastPrinted>2023-08-16T16:17:00Z</cp:lastPrinted>
  <dcterms:created xsi:type="dcterms:W3CDTF">2025-08-28T05:30:00Z</dcterms:created>
  <dcterms:modified xsi:type="dcterms:W3CDTF">2025-08-28T05:30:00Z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D74BDF002CFD452E84F6F4A09F8EF28F</vt:lpwstr>
  </property>
  <property fmtid="{D5CDD505-2E9C-101B-9397-08002B2CF9AE}" pid="9" name="PM_ProtectiveMarkingValue_Footer">
    <vt:lpwstr>OFFICIAL</vt:lpwstr>
  </property>
  <property fmtid="{D5CDD505-2E9C-101B-9397-08002B2CF9AE}" pid="10" name="PM_Originator_Hash_SHA1">
    <vt:lpwstr>DC3E054FAA70B0591FAE1B666BAEC931E16F73D8</vt:lpwstr>
  </property>
  <property fmtid="{D5CDD505-2E9C-101B-9397-08002B2CF9AE}" pid="11" name="PM_OriginationTimeStamp">
    <vt:lpwstr>2023-08-21T01:27:58Z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9C747F20744D3BAD4FD40D7E75C40015</vt:lpwstr>
  </property>
  <property fmtid="{D5CDD505-2E9C-101B-9397-08002B2CF9AE}" pid="23" name="PM_Hash_Salt">
    <vt:lpwstr>B8175555FF7C2E4E278F6628444F5ABF</vt:lpwstr>
  </property>
  <property fmtid="{D5CDD505-2E9C-101B-9397-08002B2CF9AE}" pid="24" name="PM_Hash_SHA1">
    <vt:lpwstr>19DD2FAC60CF9000D67EC35BEA69F8E56468C6EB</vt:lpwstr>
  </property>
  <property fmtid="{D5CDD505-2E9C-101B-9397-08002B2CF9AE}" pid="25" name="PM_OriginatorUserAccountName_SHA256">
    <vt:lpwstr>B0E41C6945DDF5406A32EA8D590342DC66432653C98914DB11757DDAFF35C5CC</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0x010100DAF79D47A3BF7B408B434098A259DFF3</vt:lpwstr>
  </property>
  <property fmtid="{D5CDD505-2E9C-101B-9397-08002B2CF9AE}" pid="30" name="MediaServiceImageTags">
    <vt:lpwstr/>
  </property>
  <property fmtid="{D5CDD505-2E9C-101B-9397-08002B2CF9AE}" pid="31" name="MSIP_Label_90e7f466-423d-4722-af16-ba0e3ba437ba_Enabled">
    <vt:lpwstr>true</vt:lpwstr>
  </property>
  <property fmtid="{D5CDD505-2E9C-101B-9397-08002B2CF9AE}" pid="32" name="MSIP_Label_90e7f466-423d-4722-af16-ba0e3ba437ba_SetDate">
    <vt:lpwstr>2025-08-28T04:06:12Z</vt:lpwstr>
  </property>
  <property fmtid="{D5CDD505-2E9C-101B-9397-08002B2CF9AE}" pid="33" name="MSIP_Label_90e7f466-423d-4722-af16-ba0e3ba437ba_Method">
    <vt:lpwstr>Privileged</vt:lpwstr>
  </property>
  <property fmtid="{D5CDD505-2E9C-101B-9397-08002B2CF9AE}" pid="34" name="MSIP_Label_90e7f466-423d-4722-af16-ba0e3ba437ba_Name">
    <vt:lpwstr>No Marking</vt:lpwstr>
  </property>
  <property fmtid="{D5CDD505-2E9C-101B-9397-08002B2CF9AE}" pid="35" name="MSIP_Label_90e7f466-423d-4722-af16-ba0e3ba437ba_SiteId">
    <vt:lpwstr>5f894de5-5651-487a-aaff-5a8c899b254d</vt:lpwstr>
  </property>
  <property fmtid="{D5CDD505-2E9C-101B-9397-08002B2CF9AE}" pid="36" name="MSIP_Label_90e7f466-423d-4722-af16-ba0e3ba437ba_ActionId">
    <vt:lpwstr>071e90f0-3fd6-4aeb-b107-ebe1b19d541a</vt:lpwstr>
  </property>
  <property fmtid="{D5CDD505-2E9C-101B-9397-08002B2CF9AE}" pid="37" name="MSIP_Label_90e7f466-423d-4722-af16-ba0e3ba437ba_ContentBits">
    <vt:lpwstr>0</vt:lpwstr>
  </property>
  <property fmtid="{D5CDD505-2E9C-101B-9397-08002B2CF9AE}" pid="38" name="MSIP_Label_90e7f466-423d-4722-af16-ba0e3ba437ba_Tag">
    <vt:lpwstr>10, 0, 1, 1</vt:lpwstr>
  </property>
</Properties>
</file>